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McCormick &amp; Company, Incorporated</w:t>
      </w:r>
    </w:p>
    <w:p>
      <w:pPr>
        <w:spacing w:after="0" w:line="238" w:lineRule="auto"/>
        <w:rPr>
          <w:sz w:val="20"/>
          <w:szCs w:val="20"/>
          <w:color w:val="auto"/>
        </w:rPr>
      </w:pPr>
      <w:r>
        <w:rPr>
          <w:rFonts w:ascii="Courier New" w:cs="Courier New" w:eastAsia="Courier New" w:hAnsi="Courier New"/>
          <w:sz w:val="18"/>
          <w:szCs w:val="18"/>
          <w:color w:val="auto"/>
        </w:rPr>
        <w:t>1994 Annual Report</w:t>
      </w:r>
    </w:p>
    <w:p>
      <w:pPr>
        <w:spacing w:after="0" w:line="207" w:lineRule="exact"/>
        <w:rPr>
          <w:sz w:val="24"/>
          <w:szCs w:val="24"/>
          <w:color w:val="auto"/>
        </w:rPr>
      </w:pPr>
    </w:p>
    <w:p>
      <w:pPr>
        <w:ind w:right="3159"/>
        <w:spacing w:after="0" w:line="272" w:lineRule="auto"/>
        <w:rPr>
          <w:sz w:val="20"/>
          <w:szCs w:val="20"/>
          <w:color w:val="auto"/>
        </w:rPr>
      </w:pPr>
      <w:r>
        <w:rPr>
          <w:rFonts w:ascii="Courier New" w:cs="Courier New" w:eastAsia="Courier New" w:hAnsi="Courier New"/>
          <w:sz w:val="16"/>
          <w:szCs w:val="16"/>
          <w:color w:val="auto"/>
        </w:rPr>
        <w:t>McCORMICK &amp; COMPANY, INCORPORATED is the largest spice company in the world. The Company is the leader in the manufacture, marketing and distribution of spices, seasonings, flavors, and other food products to the food industry - retail outlets, foodservice and food processors. A packaging group manufactures and markets plastic bottles and tubes for food, personal care and other industries.</w:t>
      </w:r>
    </w:p>
    <w:p>
      <w:pPr>
        <w:spacing w:after="0" w:line="186" w:lineRule="exact"/>
        <w:rPr>
          <w:sz w:val="24"/>
          <w:szCs w:val="24"/>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Founded in 1889, McCormick "pioneered with products and people," and in 1932 started participative management. For more than 60 years, McCormick has thrived with Multiple Management - a philosophy and system of management development - which, along with enlightened leadership, helps shape our corporate culture. Multiple Management encourages a belief in the "power of people," recognizes the dignity of the individual, the dynamics of human relationships, the need for participation at all levels of employment, and the importance of sharing the rewards of success.</w:t>
      </w:r>
    </w:p>
    <w:p>
      <w:pPr>
        <w:spacing w:after="0" w:line="214" w:lineRule="exact"/>
        <w:rPr>
          <w:sz w:val="24"/>
          <w:szCs w:val="24"/>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Headquartered in Sparks, Maryland, McCormick has sales of $1.7 billion. Recently, Fortune magazine ranked the Company 270 on the Fortune 500. Worldwide, McCormick has 9,000 employees - people loyal to a heritage of product quality and customer service which has made McCormick a success over the years. Publicly held and traded on NASDAQ, the Company has more than 25,000 shareholders - many are employees. McCormick has paid dividends every year since 1925.</w:t>
      </w:r>
    </w:p>
    <w:p>
      <w:pPr>
        <w:spacing w:after="0" w:line="200" w:lineRule="exact"/>
        <w:rPr>
          <w:sz w:val="24"/>
          <w:szCs w:val="24"/>
          <w:color w:val="auto"/>
        </w:rPr>
      </w:pPr>
    </w:p>
    <w:p>
      <w:pPr>
        <w:spacing w:after="0" w:line="215" w:lineRule="exact"/>
        <w:rPr>
          <w:sz w:val="24"/>
          <w:szCs w:val="24"/>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1995 Annual Meeting will be held at 10:00 a.m., Wednesday, March 15, 1995, at Marriott's Hunt Valley Inn, 245</w:t>
      </w:r>
    </w:p>
    <w:p>
      <w:pPr>
        <w:ind w:right="3479"/>
        <w:spacing w:after="0" w:line="235" w:lineRule="auto"/>
        <w:rPr>
          <w:sz w:val="20"/>
          <w:szCs w:val="20"/>
          <w:color w:val="auto"/>
        </w:rPr>
      </w:pPr>
      <w:r>
        <w:rPr>
          <w:rFonts w:ascii="Courier New" w:cs="Courier New" w:eastAsia="Courier New" w:hAnsi="Courier New"/>
          <w:sz w:val="18"/>
          <w:szCs w:val="18"/>
          <w:color w:val="auto"/>
        </w:rPr>
        <w:t>Shawan Road (exit 20A off I-83 north of Baltimore), Hunt Valley, Maryland 21031.</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DEDICATION TO BAILEY A. THOMAS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Following the sudden death last July of Bailey A. Thomas, our</w:t>
      </w:r>
    </w:p>
    <w:p>
      <w:pPr>
        <w:spacing w:after="0" w:line="238" w:lineRule="auto"/>
        <w:rPr>
          <w:sz w:val="20"/>
          <w:szCs w:val="20"/>
          <w:color w:val="auto"/>
        </w:rPr>
      </w:pPr>
      <w:r>
        <w:rPr>
          <w:rFonts w:ascii="Courier New" w:cs="Courier New" w:eastAsia="Courier New" w:hAnsi="Courier New"/>
          <w:sz w:val="18"/>
          <w:szCs w:val="18"/>
          <w:color w:val="auto"/>
        </w:rPr>
        <w:t>Chairman and CEO, an editorial in THE BALTIMORE SUN</w:t>
      </w:r>
    </w:p>
    <w:p>
      <w:pPr>
        <w:spacing w:after="0"/>
        <w:rPr>
          <w:sz w:val="20"/>
          <w:szCs w:val="20"/>
          <w:color w:val="auto"/>
        </w:rPr>
      </w:pPr>
      <w:r>
        <w:rPr>
          <w:rFonts w:ascii="Courier New" w:cs="Courier New" w:eastAsia="Courier New" w:hAnsi="Courier New"/>
          <w:sz w:val="18"/>
          <w:szCs w:val="18"/>
          <w:color w:val="auto"/>
        </w:rPr>
        <w:t>referred to him as the "Spicemeister," one who "knew the spice</w:t>
      </w:r>
    </w:p>
    <w:p>
      <w:pPr>
        <w:spacing w:after="0" w:line="237" w:lineRule="auto"/>
        <w:rPr>
          <w:sz w:val="20"/>
          <w:szCs w:val="20"/>
          <w:color w:val="auto"/>
        </w:rPr>
      </w:pPr>
      <w:r>
        <w:rPr>
          <w:rFonts w:ascii="Courier New" w:cs="Courier New" w:eastAsia="Courier New" w:hAnsi="Courier New"/>
          <w:sz w:val="18"/>
          <w:szCs w:val="18"/>
          <w:color w:val="auto"/>
        </w:rPr>
        <w:t>business inside and out," and a man who "had a</w:t>
      </w:r>
    </w:p>
    <w:p>
      <w:pPr>
        <w:spacing w:after="0" w:line="238" w:lineRule="auto"/>
        <w:rPr>
          <w:sz w:val="20"/>
          <w:szCs w:val="20"/>
          <w:color w:val="auto"/>
        </w:rPr>
      </w:pPr>
      <w:r>
        <w:rPr>
          <w:rFonts w:ascii="Courier New" w:cs="Courier New" w:eastAsia="Courier New" w:hAnsi="Courier New"/>
          <w:sz w:val="18"/>
          <w:szCs w:val="18"/>
          <w:color w:val="auto"/>
        </w:rPr>
        <w:t>global vision for McCormick that has paid off handsomely."</w:t>
      </w:r>
    </w:p>
    <w:p>
      <w:pPr>
        <w:spacing w:after="0" w:line="208" w:lineRule="exact"/>
        <w:rPr>
          <w:sz w:val="24"/>
          <w:szCs w:val="24"/>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The editorial also stated, "His folksy manner was genuine. He liked people. His colleagues were amazed that he knew everyone by first name. He also would conjure up hilarious stunts to keep workers and managers laughing. But there was no mistaking his sharp mind and deep devotion to his company."</w:t>
      </w:r>
    </w:p>
    <w:p>
      <w:pPr>
        <w:spacing w:after="0" w:line="209" w:lineRule="exact"/>
        <w:rPr>
          <w:sz w:val="24"/>
          <w:szCs w:val="24"/>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Born on a small truck farm on the Eastern Shore of Maryland, Bailey attended a four-room schoolhouse which had neither electricity nor running water. By age 11, he had started his own business selling Christmas cards. His life story from rural farm boy to Chairman of one of the nation's Fortune 300 corporations is a real Horatio Alger story.</w:t>
      </w:r>
    </w:p>
    <w:p>
      <w:pPr>
        <w:spacing w:after="0" w:line="210" w:lineRule="exact"/>
        <w:rPr>
          <w:sz w:val="24"/>
          <w:szCs w:val="24"/>
          <w:color w:val="auto"/>
        </w:rPr>
      </w:pPr>
    </w:p>
    <w:p>
      <w:pPr>
        <w:ind w:right="3159" w:firstLine="1369"/>
        <w:spacing w:after="0" w:line="237" w:lineRule="auto"/>
        <w:rPr>
          <w:sz w:val="20"/>
          <w:szCs w:val="20"/>
          <w:color w:val="auto"/>
        </w:rPr>
      </w:pPr>
      <w:r>
        <w:rPr>
          <w:rFonts w:ascii="Courier New" w:cs="Courier New" w:eastAsia="Courier New" w:hAnsi="Courier New"/>
          <w:sz w:val="18"/>
          <w:szCs w:val="18"/>
          <w:color w:val="auto"/>
        </w:rPr>
        <w:t>Bailey's 33-year McCormick career was marked by numerous business accomplishments, a reputation for integrity, and his ability to smile and create smiles in others. He played a major role in leading the Company to its most profitable years ever and a commitment to major global expansion. To many, Bailey was a very sharp businessman. To us, he was a friend.</w:t>
      </w:r>
    </w:p>
    <w:p>
      <w:pPr>
        <w:spacing w:after="0" w:line="210" w:lineRule="exact"/>
        <w:rPr>
          <w:sz w:val="24"/>
          <w:szCs w:val="24"/>
          <w:color w:val="auto"/>
        </w:rPr>
      </w:pPr>
    </w:p>
    <w:p>
      <w:pPr>
        <w:ind w:right="3259"/>
        <w:spacing w:after="0" w:line="268" w:lineRule="auto"/>
        <w:rPr>
          <w:sz w:val="20"/>
          <w:szCs w:val="20"/>
          <w:color w:val="auto"/>
        </w:rPr>
      </w:pPr>
      <w:r>
        <w:rPr>
          <w:rFonts w:ascii="Courier New" w:cs="Courier New" w:eastAsia="Courier New" w:hAnsi="Courier New"/>
          <w:sz w:val="16"/>
          <w:szCs w:val="16"/>
          <w:color w:val="auto"/>
        </w:rPr>
        <w:t>[Photograph of Bailey A. Thomas, former Chairman and CEO, omitted] [Photograph of Company product encircled by globe, which appears at the bottom of each odd-numbered page beginning on page 1 and ending on page 21, and also pages 37 and 39, omitted]</w:t>
      </w:r>
    </w:p>
    <w:p>
      <w:pPr>
        <w:spacing w:after="0" w:line="1" w:lineRule="exact"/>
        <w:rPr>
          <w:sz w:val="24"/>
          <w:szCs w:val="24"/>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[Stamps stating the name of some of the source countries for the Company's products, and a drawing of those products, which appear throughout the report, omitted]</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rPr>
              <w:t>Contents</w:t>
            </w:r>
          </w:p>
        </w:tc>
        <w:tc>
          <w:tcPr>
            <w:tcW w:w="37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Dedication to Bailey A. Thomas</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Mission,</w:t>
            </w:r>
          </w:p>
        </w:tc>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Objectives</w:t>
            </w:r>
          </w:p>
        </w:tc>
        <w:tc>
          <w:tcPr>
            <w:tcW w:w="170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Core</w:t>
            </w:r>
          </w:p>
        </w:tc>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Values. . .</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Financial</w:t>
            </w:r>
          </w:p>
        </w:tc>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Highlights. .</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Letter to</w:t>
            </w:r>
          </w:p>
        </w:tc>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Shareholders.</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 on</w:t>
            </w:r>
          </w:p>
        </w:tc>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Operations. .</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bl>
    <w:p>
      <w:pPr>
        <w:sectPr>
          <w:pgSz w:w="11900" w:h="16855"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20"/>
                <w:szCs w:val="20"/>
                <w:color w:val="auto"/>
              </w:rPr>
            </w:pPr>
            <w:r>
              <w:rPr>
                <w:rFonts w:ascii="Courier New" w:cs="Courier New" w:eastAsia="Courier New" w:hAnsi="Courier New"/>
                <w:sz w:val="18"/>
                <w:szCs w:val="18"/>
                <w:color w:val="auto"/>
              </w:rPr>
              <w:t>Management's Discussion and Analysis</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Historical Financial Summary</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 . . . . . . .</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 . . . . .</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 of Shareholders' Equity</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 . . . . .</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to Financial Statements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Management's Responsibility for</w:t>
            </w:r>
          </w:p>
        </w:tc>
        <w:tc>
          <w:tcPr>
            <w:tcW w:w="1380" w:type="dxa"/>
            <w:vAlign w:val="bottom"/>
          </w:tcPr>
          <w:p>
            <w:pPr>
              <w:spacing w:after="0"/>
              <w:rPr>
                <w:sz w:val="17"/>
                <w:szCs w:val="17"/>
                <w:color w:val="auto"/>
              </w:rPr>
            </w:pP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 of Independent Auditors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Directors and Officers.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McCormick Worldwide . .</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Investor Information Inside back cover</w:t>
            </w:r>
          </w:p>
        </w:tc>
        <w:tc>
          <w:tcPr>
            <w:tcW w:w="13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3900"/>
        <w:spacing w:after="0" w:line="235" w:lineRule="auto"/>
        <w:rPr>
          <w:sz w:val="20"/>
          <w:szCs w:val="20"/>
          <w:color w:val="auto"/>
        </w:rPr>
      </w:pPr>
      <w:r>
        <w:rPr>
          <w:rFonts w:ascii="Courier New" w:cs="Courier New" w:eastAsia="Courier New" w:hAnsi="Courier New"/>
          <w:sz w:val="18"/>
          <w:szCs w:val="18"/>
          <w:color w:val="auto"/>
        </w:rPr>
        <w:t>The scent of this year's annual report is Vanilla Butter &amp; Nut Flavor.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MISSION</w:t>
      </w:r>
    </w:p>
    <w:p>
      <w:pPr>
        <w:spacing w:after="0" w:line="207" w:lineRule="exact"/>
        <w:rPr>
          <w:sz w:val="20"/>
          <w:szCs w:val="20"/>
          <w:color w:val="auto"/>
        </w:rPr>
      </w:pPr>
    </w:p>
    <w:p>
      <w:pPr>
        <w:ind w:right="3700"/>
        <w:spacing w:after="0" w:line="236" w:lineRule="auto"/>
        <w:rPr>
          <w:sz w:val="20"/>
          <w:szCs w:val="20"/>
          <w:color w:val="auto"/>
        </w:rPr>
      </w:pPr>
      <w:r>
        <w:rPr>
          <w:rFonts w:ascii="Courier New" w:cs="Courier New" w:eastAsia="Courier New" w:hAnsi="Courier New"/>
          <w:sz w:val="18"/>
          <w:szCs w:val="18"/>
          <w:color w:val="auto"/>
        </w:rPr>
        <w:t>The primary mission of McCormick &amp; Company, Incorporated is to expand its worldwide leadership position in the spice, seasoning and flavoring markets.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OBJECTIVES</w:t>
      </w:r>
    </w:p>
    <w:p>
      <w:pPr>
        <w:spacing w:after="0" w:line="207" w:lineRule="exact"/>
        <w:rPr>
          <w:sz w:val="20"/>
          <w:szCs w:val="20"/>
          <w:color w:val="auto"/>
        </w:rPr>
      </w:pPr>
    </w:p>
    <w:p>
      <w:pPr>
        <w:ind w:right="4320"/>
        <w:spacing w:after="0" w:line="235" w:lineRule="auto"/>
        <w:rPr>
          <w:sz w:val="20"/>
          <w:szCs w:val="20"/>
          <w:color w:val="auto"/>
        </w:rPr>
      </w:pPr>
      <w:r>
        <w:rPr>
          <w:rFonts w:ascii="Courier New" w:cs="Courier New" w:eastAsia="Courier New" w:hAnsi="Courier New"/>
          <w:sz w:val="18"/>
          <w:szCs w:val="18"/>
          <w:color w:val="auto"/>
        </w:rPr>
        <w:t>These objectives are highlighted on pages 20 and 21 in the Historical Financial Summary.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Exceed a 20% return on equity.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Achieve an average net sales growth rate of 10% per year.</w:t>
      </w:r>
    </w:p>
    <w:p>
      <w:pPr>
        <w:spacing w:after="0" w:line="207" w:lineRule="exact"/>
        <w:rPr>
          <w:sz w:val="20"/>
          <w:szCs w:val="20"/>
          <w:color w:val="auto"/>
        </w:rPr>
      </w:pPr>
    </w:p>
    <w:p>
      <w:pPr>
        <w:ind w:right="3480"/>
        <w:spacing w:after="0" w:line="235" w:lineRule="auto"/>
        <w:rPr>
          <w:sz w:val="20"/>
          <w:szCs w:val="20"/>
          <w:color w:val="auto"/>
        </w:rPr>
      </w:pPr>
      <w:r>
        <w:rPr>
          <w:rFonts w:ascii="Courier New" w:cs="Courier New" w:eastAsia="Courier New" w:hAnsi="Courier New"/>
          <w:sz w:val="18"/>
          <w:szCs w:val="18"/>
          <w:color w:val="auto"/>
        </w:rPr>
        <w:t>Maintain an average earnings per share growth rate of 15% per year over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 out 25% to 35% of net income in dividends.</w:t>
      </w:r>
    </w:p>
    <w:p>
      <w:pPr>
        <w:spacing w:after="0" w:line="207" w:lineRule="exact"/>
        <w:rPr>
          <w:sz w:val="20"/>
          <w:szCs w:val="20"/>
          <w:color w:val="auto"/>
        </w:rPr>
      </w:pPr>
    </w:p>
    <w:p>
      <w:pPr>
        <w:ind w:right="3900"/>
        <w:spacing w:after="0" w:line="235" w:lineRule="auto"/>
        <w:rPr>
          <w:sz w:val="20"/>
          <w:szCs w:val="20"/>
          <w:color w:val="auto"/>
        </w:rPr>
      </w:pPr>
      <w:r>
        <w:rPr>
          <w:rFonts w:ascii="Courier New" w:cs="Courier New" w:eastAsia="Courier New" w:hAnsi="Courier New"/>
          <w:sz w:val="18"/>
          <w:szCs w:val="18"/>
          <w:color w:val="auto"/>
        </w:rPr>
        <w:t>Maintain total debt to total capital at 40% or less, excluding non-recourse debt.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CORE VALUES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believe in adding value for our shareholders.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believe customers are the reason we exist.</w:t>
      </w:r>
    </w:p>
    <w:p>
      <w:pPr>
        <w:spacing w:after="0" w:line="207" w:lineRule="exact"/>
        <w:rPr>
          <w:sz w:val="20"/>
          <w:szCs w:val="20"/>
          <w:color w:val="auto"/>
        </w:rPr>
      </w:pPr>
    </w:p>
    <w:p>
      <w:pPr>
        <w:ind w:right="4320"/>
        <w:spacing w:after="0" w:line="235" w:lineRule="auto"/>
        <w:rPr>
          <w:sz w:val="20"/>
          <w:szCs w:val="20"/>
          <w:color w:val="auto"/>
        </w:rPr>
      </w:pPr>
      <w:r>
        <w:rPr>
          <w:rFonts w:ascii="Courier New" w:cs="Courier New" w:eastAsia="Courier New" w:hAnsi="Courier New"/>
          <w:sz w:val="18"/>
          <w:szCs w:val="18"/>
          <w:color w:val="auto"/>
        </w:rPr>
        <w:t>We believe in successful achievement, through teamwork and participation.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believe in doing business ethically and honestly.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believe in respect and concern for one another.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FINANCIAL HIGHLIGHTS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Year ended November</w:t>
            </w:r>
          </w:p>
        </w:tc>
        <w:tc>
          <w:tcPr>
            <w:tcW w:w="1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c>
          <w:tcPr>
            <w:tcW w:w="2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1993</w:t>
            </w:r>
          </w:p>
        </w:tc>
        <w:tc>
          <w:tcPr>
            <w:tcW w:w="1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1992</w:t>
            </w:r>
          </w:p>
        </w:tc>
        <w:tc>
          <w:tcPr>
            <w:tcW w:w="15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1991</w:t>
            </w:r>
          </w:p>
        </w:tc>
        <w:tc>
          <w:tcPr>
            <w:tcW w:w="12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1990</w:t>
            </w:r>
          </w:p>
        </w:tc>
      </w:t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00" w:type="dxa"/>
            <w:vAlign w:val="bottom"/>
            <w:gridSpan w:val="7"/>
          </w:tcPr>
          <w:p>
            <w:pPr>
              <w:jc w:val="right"/>
              <w:ind w:right="872"/>
              <w:spacing w:after="0" w:line="203" w:lineRule="exact"/>
              <w:rPr>
                <w:sz w:val="20"/>
                <w:szCs w:val="20"/>
                <w:color w:val="auto"/>
              </w:rPr>
            </w:pPr>
            <w:r>
              <w:rPr>
                <w:rFonts w:ascii="Courier New" w:cs="Courier New" w:eastAsia="Courier New" w:hAnsi="Courier New"/>
                <w:sz w:val="18"/>
                <w:szCs w:val="18"/>
                <w:color w:val="auto"/>
              </w:rPr>
              <w:t>(dollars in millions except per-share data)</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Consolidated net sales</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1,694.8</w:t>
            </w:r>
          </w:p>
        </w:tc>
        <w:tc>
          <w:tcPr>
            <w:tcW w:w="640" w:type="dxa"/>
            <w:vAlign w:val="bottom"/>
          </w:tcPr>
          <w:p>
            <w:pPr>
              <w:ind w:left="520"/>
              <w:spacing w:after="0"/>
              <w:rPr>
                <w:sz w:val="20"/>
                <w:szCs w:val="20"/>
                <w:color w:val="auto"/>
              </w:rPr>
            </w:pPr>
            <w:r>
              <w:rPr>
                <w:rFonts w:ascii="Courier New" w:cs="Courier New" w:eastAsia="Courier New" w:hAnsi="Courier New"/>
                <w:sz w:val="18"/>
                <w:szCs w:val="18"/>
                <w:color w:val="auto"/>
                <w:w w:val="92"/>
              </w:rPr>
              <w:t>$</w:t>
            </w: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5"/>
              </w:rPr>
              <w:t>1,556.6</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1,471.4</w:t>
            </w:r>
          </w:p>
        </w:tc>
        <w:tc>
          <w:tcPr>
            <w:tcW w:w="380" w:type="dxa"/>
            <w:vAlign w:val="bottom"/>
          </w:tcPr>
          <w:p>
            <w:pPr>
              <w:ind w:left="260"/>
              <w:spacing w:after="0"/>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1,427.9</w:t>
            </w:r>
          </w:p>
        </w:tc>
        <w:tc>
          <w:tcPr>
            <w:tcW w:w="420" w:type="dxa"/>
            <w:vAlign w:val="bottom"/>
          </w:tcPr>
          <w:p>
            <w:pPr>
              <w:ind w:left="300"/>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1,323.0</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w w:val="98"/>
              </w:rPr>
              <w:t>Net income, before accounting</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change(F1)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61.2</w:t>
            </w:r>
          </w:p>
        </w:tc>
        <w:tc>
          <w:tcPr>
            <w:tcW w:w="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w:t>
            </w: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99.7</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95.2</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80.9</w:t>
            </w:r>
          </w:p>
        </w:tc>
        <w:tc>
          <w:tcPr>
            <w:tcW w:w="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69.4</w:t>
            </w: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Accounting change for postretirement</w:t>
            </w: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(26.6)</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61.2</w:t>
            </w:r>
          </w:p>
        </w:tc>
        <w:tc>
          <w:tcPr>
            <w:tcW w:w="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73.1</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95.2</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80.9</w:t>
            </w:r>
          </w:p>
        </w:tc>
        <w:tc>
          <w:tcPr>
            <w:tcW w:w="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69.4</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Earnings per share, before</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accounting change(F2)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w:t>
            </w:r>
          </w:p>
        </w:tc>
        <w:tc>
          <w:tcPr>
            <w:tcW w:w="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1.22</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1.16</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w:t>
            </w:r>
          </w:p>
        </w:tc>
        <w:tc>
          <w:tcPr>
            <w:tcW w:w="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w w:val="98"/>
              </w:rPr>
              <w:t>Earnings per share, total(F2)</w:t>
            </w:r>
          </w:p>
        </w:tc>
        <w:tc>
          <w:tcPr>
            <w:tcW w:w="16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.75</w:t>
            </w:r>
          </w:p>
        </w:tc>
        <w:tc>
          <w:tcPr>
            <w:tcW w:w="640" w:type="dxa"/>
            <w:vAlign w:val="bottom"/>
          </w:tcPr>
          <w:p>
            <w:pPr>
              <w:spacing w:after="0"/>
              <w:rPr>
                <w:sz w:val="24"/>
                <w:szCs w:val="24"/>
                <w:color w:val="auto"/>
              </w:rPr>
            </w:pPr>
          </w:p>
        </w:tc>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.89</w:t>
            </w:r>
          </w:p>
        </w:tc>
        <w:tc>
          <w:tcPr>
            <w:tcW w:w="16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1.16</w:t>
            </w:r>
          </w:p>
        </w:tc>
        <w:tc>
          <w:tcPr>
            <w:tcW w:w="38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.98</w:t>
            </w:r>
          </w:p>
        </w:tc>
        <w:tc>
          <w:tcPr>
            <w:tcW w:w="4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.83</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per share (paid)</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w:t>
            </w:r>
          </w:p>
        </w:tc>
        <w:tc>
          <w:tcPr>
            <w:tcW w:w="64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.44</w:t>
            </w:r>
          </w:p>
        </w:tc>
        <w:tc>
          <w:tcPr>
            <w:tcW w:w="16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.38</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Margins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Gross profit, consolidated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w:t>
            </w:r>
          </w:p>
        </w:tc>
        <w:tc>
          <w:tcPr>
            <w:tcW w:w="6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38.7%</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39.7%</w:t>
            </w:r>
          </w:p>
        </w:tc>
        <w:tc>
          <w:tcPr>
            <w:tcW w:w="3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37.9%</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w:t>
            </w:r>
          </w:p>
        </w:tc>
      </w:tr>
    </w:tbl>
    <w:p>
      <w:pPr>
        <w:ind w:left="120"/>
        <w:spacing w:after="0" w:line="238" w:lineRule="auto"/>
        <w:rPr>
          <w:sz w:val="20"/>
          <w:szCs w:val="20"/>
          <w:color w:val="auto"/>
        </w:rPr>
      </w:pPr>
      <w:r>
        <w:rPr>
          <w:rFonts w:ascii="Courier New" w:cs="Courier New" w:eastAsia="Courier New" w:hAnsi="Courier New"/>
          <w:sz w:val="18"/>
          <w:szCs w:val="18"/>
          <w:color w:val="auto"/>
        </w:rPr>
        <w:t>Operating profit, consolidated</w:t>
      </w:r>
    </w:p>
    <w:p>
      <w:pPr>
        <w:sectPr>
          <w:pgSz w:w="11900" w:h="16838" w:orient="portrait"/>
          <w:cols w:equalWidth="0" w:num="1">
            <w:col w:w="10440"/>
          </w:cols>
          <w:pgMar w:left="240" w:top="136" w:right="121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7.6%</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11.6%</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11.4%</w:t>
            </w: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10.2%</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9.6%</w:t>
            </w: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Income from consolidated</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w:t>
            </w: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34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8"/>
              </w:rPr>
              <w:t>Income before accounting change</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w:t>
            </w:r>
          </w:p>
        </w:tc>
      </w:tr>
      <w:tr>
        <w:trPr>
          <w:trHeight w:val="405"/>
        </w:trPr>
        <w:tc>
          <w:tcPr>
            <w:tcW w:w="3440" w:type="dxa"/>
            <w:vAlign w:val="bottom"/>
            <w:gridSpan w:val="3"/>
          </w:tcPr>
          <w:p>
            <w:pPr>
              <w:spacing w:after="0"/>
              <w:rPr>
                <w:sz w:val="20"/>
                <w:szCs w:val="20"/>
                <w:color w:val="auto"/>
              </w:rPr>
            </w:pPr>
            <w:r>
              <w:rPr>
                <w:rFonts w:ascii="Courier New" w:cs="Courier New" w:eastAsia="Courier New" w:hAnsi="Courier New"/>
                <w:sz w:val="18"/>
                <w:szCs w:val="18"/>
                <w:color w:val="auto"/>
              </w:rPr>
              <w:t>Debt to total capital excluding</w:t>
            </w: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non-recourse debt</w:t>
            </w:r>
          </w:p>
        </w:tc>
        <w:tc>
          <w:tcPr>
            <w:tcW w:w="28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52.0%</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44.3%</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37.4%</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36.4%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32.9%</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Debt to total capital</w:t>
            </w:r>
          </w:p>
        </w:tc>
        <w:tc>
          <w:tcPr>
            <w:tcW w:w="28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54.6%</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39.9%</w:t>
            </w:r>
          </w:p>
        </w:tc>
      </w:tr>
      <w:tr>
        <w:trPr>
          <w:trHeight w:val="405"/>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Shareholders' equity</w:t>
            </w:r>
          </w:p>
        </w:tc>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490.0</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466.8</w:t>
            </w:r>
          </w:p>
        </w:tc>
        <w:tc>
          <w:tcPr>
            <w:tcW w:w="15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  437.9</w:t>
            </w:r>
          </w:p>
        </w:tc>
        <w:tc>
          <w:tcPr>
            <w:tcW w:w="15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  389.2</w:t>
            </w: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364.4</w:t>
            </w:r>
          </w:p>
        </w:tc>
      </w:tr>
      <w:tr>
        <w:trPr>
          <w:trHeight w:val="203"/>
        </w:trPr>
        <w:tc>
          <w:tcPr>
            <w:tcW w:w="3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Return on shareholders' equity,</w:t>
            </w: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before accounting change(F3)</w:t>
            </w:r>
          </w:p>
        </w:tc>
        <w:tc>
          <w:tcPr>
            <w:tcW w:w="28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23.3%</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w:t>
            </w:r>
          </w:p>
        </w:tc>
      </w:tr>
      <w:tr>
        <w:trPr>
          <w:trHeight w:val="203"/>
        </w:trPr>
        <w:tc>
          <w:tcPr>
            <w:tcW w:w="3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Return on shareholders' equity,</w:t>
            </w: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total(F3)</w:t>
            </w: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23.3%</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w:t>
            </w:r>
          </w:p>
        </w:tc>
      </w:tr>
      <w:tr>
        <w:trPr>
          <w:trHeight w:val="405"/>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w w:val="96"/>
              </w:rPr>
              <w:t>Average shares outstanding and</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equivalents</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(000's)</w:t>
            </w:r>
          </w:p>
        </w:tc>
        <w:tc>
          <w:tcPr>
            <w:tcW w:w="280" w:type="dxa"/>
            <w:vAlign w:val="bottom"/>
          </w:tcPr>
          <w:p>
            <w:pPr>
              <w:spacing w:after="0"/>
              <w:rPr>
                <w:sz w:val="17"/>
                <w:szCs w:val="17"/>
                <w:color w:val="auto"/>
              </w:rPr>
            </w:pP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81,240</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81,766</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81,918</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82,396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83,720</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Ending shares outstanding and</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equivalents</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(000's)</w:t>
            </w:r>
          </w:p>
        </w:tc>
        <w:tc>
          <w:tcPr>
            <w:tcW w:w="280" w:type="dxa"/>
            <w:vAlign w:val="bottom"/>
          </w:tcPr>
          <w:p>
            <w:pPr>
              <w:spacing w:after="0"/>
              <w:rPr>
                <w:sz w:val="17"/>
                <w:szCs w:val="17"/>
                <w:color w:val="auto"/>
              </w:rPr>
            </w:pP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81,206</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81,916</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81,978</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81,978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82,176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Includes 1994 restructuring charge of $70.4.</w:t>
      </w:r>
    </w:p>
    <w:p>
      <w:pPr>
        <w:spacing w:after="0" w:line="238" w:lineRule="auto"/>
        <w:rPr>
          <w:sz w:val="20"/>
          <w:szCs w:val="20"/>
          <w:color w:val="auto"/>
        </w:rPr>
      </w:pPr>
      <w:r>
        <w:rPr>
          <w:rFonts w:ascii="Courier New" w:cs="Courier New" w:eastAsia="Courier New" w:hAnsi="Courier New"/>
          <w:sz w:val="18"/>
          <w:szCs w:val="18"/>
          <w:color w:val="auto"/>
        </w:rPr>
        <w:t>2 Includes 1994 restructuring charge of $.57 per share.</w:t>
      </w:r>
    </w:p>
    <w:p>
      <w:pPr>
        <w:spacing w:after="0"/>
        <w:rPr>
          <w:sz w:val="20"/>
          <w:szCs w:val="20"/>
          <w:color w:val="auto"/>
        </w:rPr>
      </w:pPr>
      <w:r>
        <w:rPr>
          <w:rFonts w:ascii="Courier New" w:cs="Courier New" w:eastAsia="Courier New" w:hAnsi="Courier New"/>
          <w:sz w:val="18"/>
          <w:szCs w:val="18"/>
          <w:color w:val="auto"/>
        </w:rPr>
        <w:t>3 Return on shareholders' equity before 1994 restructuring charge was 22.1%.</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All share information is adjusted for a 2-for-1 stock split in January 1992.</w:t>
      </w:r>
    </w:p>
    <w:p>
      <w:pPr>
        <w:spacing w:after="0" w:line="4" w:lineRule="exact"/>
        <w:rPr>
          <w:sz w:val="20"/>
          <w:szCs w:val="20"/>
          <w:color w:val="auto"/>
        </w:rPr>
      </w:pPr>
    </w:p>
    <w:p>
      <w:pPr>
        <w:ind w:left="220" w:right="1060"/>
        <w:spacing w:after="0" w:line="235" w:lineRule="auto"/>
        <w:rPr>
          <w:sz w:val="20"/>
          <w:szCs w:val="20"/>
          <w:color w:val="auto"/>
        </w:rPr>
      </w:pPr>
      <w:r>
        <w:rPr>
          <w:rFonts w:ascii="Courier New" w:cs="Courier New" w:eastAsia="Courier New" w:hAnsi="Courier New"/>
          <w:sz w:val="18"/>
          <w:szCs w:val="18"/>
          <w:color w:val="auto"/>
        </w:rPr>
        <w:t>Margin and return information for consolidated operations excludes the accounting change for postretirement benefits in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SALES DOLLAR DISTRIBUTION</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(excludes share of unconsolidated earnings and 1994 restructuring</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charge)</w:t>
            </w:r>
          </w:p>
        </w:tc>
        <w:tc>
          <w:tcPr>
            <w:tcW w:w="106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13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1994</w:t>
            </w: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1993</w:t>
            </w:r>
          </w:p>
        </w:tc>
        <w:tc>
          <w:tcPr>
            <w:tcW w:w="1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1992</w:t>
            </w: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1991</w:t>
            </w:r>
          </w:p>
        </w:tc>
        <w:tc>
          <w:tcPr>
            <w:tcW w:w="10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7"/>
              </w:rPr>
              <w:t>1990</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Materials and Related</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48.8cents</w:t>
            </w:r>
          </w:p>
        </w:tc>
        <w:tc>
          <w:tcPr>
            <w:tcW w:w="1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47.4cents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48.7cents</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49.6cents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51.0cents</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Salaries, Wages and</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Employee Benefits</w:t>
            </w:r>
          </w:p>
        </w:tc>
        <w:tc>
          <w:tcPr>
            <w:tcW w:w="13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21.9</w:t>
            </w: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22.7</w:t>
            </w:r>
          </w:p>
        </w:tc>
        <w:tc>
          <w:tcPr>
            <w:tcW w:w="1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21.3</w:t>
            </w: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20.7</w:t>
            </w:r>
          </w:p>
        </w:tc>
        <w:tc>
          <w:tcPr>
            <w:tcW w:w="10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7"/>
              </w:rPr>
              <w:t>20.4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Marketing, Administrative</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Related Expenses</w:t>
            </w:r>
          </w:p>
        </w:tc>
        <w:tc>
          <w:tcPr>
            <w:tcW w:w="13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11.6</w:t>
            </w: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12.6</w:t>
            </w:r>
          </w:p>
        </w:tc>
        <w:tc>
          <w:tcPr>
            <w:tcW w:w="1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13.1</w:t>
            </w: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14.0</w:t>
            </w:r>
          </w:p>
        </w:tc>
        <w:tc>
          <w:tcPr>
            <w:tcW w:w="10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7"/>
              </w:rPr>
              <w:t>13.1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3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3.6</w:t>
            </w: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3.5</w:t>
            </w:r>
          </w:p>
        </w:tc>
        <w:tc>
          <w:tcPr>
            <w:tcW w:w="1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3.7</w:t>
            </w: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3.8</w:t>
            </w:r>
          </w:p>
        </w:tc>
        <w:tc>
          <w:tcPr>
            <w:tcW w:w="10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13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3.4</w:t>
            </w: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3.9</w:t>
            </w:r>
          </w:p>
        </w:tc>
        <w:tc>
          <w:tcPr>
            <w:tcW w:w="1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3.6</w:t>
            </w: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3.0</w:t>
            </w:r>
          </w:p>
        </w:tc>
        <w:tc>
          <w:tcPr>
            <w:tcW w:w="10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13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3.4</w:t>
            </w: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w:t>
            </w:r>
          </w:p>
        </w:tc>
        <w:tc>
          <w:tcPr>
            <w:tcW w:w="1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2.7</w:t>
            </w: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2.6</w:t>
            </w:r>
          </w:p>
        </w:tc>
        <w:tc>
          <w:tcPr>
            <w:tcW w:w="10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 and Warehousing</w:t>
            </w:r>
          </w:p>
        </w:tc>
        <w:tc>
          <w:tcPr>
            <w:tcW w:w="13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2.7</w:t>
            </w: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w:t>
            </w:r>
          </w:p>
        </w:tc>
        <w:tc>
          <w:tcPr>
            <w:tcW w:w="1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2.7</w:t>
            </w: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2.8</w:t>
            </w:r>
          </w:p>
        </w:tc>
        <w:tc>
          <w:tcPr>
            <w:tcW w:w="10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w:t>
            </w:r>
          </w:p>
        </w:tc>
        <w:tc>
          <w:tcPr>
            <w:tcW w:w="13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2.3</w:t>
            </w: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w:t>
            </w:r>
          </w:p>
        </w:tc>
        <w:tc>
          <w:tcPr>
            <w:tcW w:w="1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w:t>
            </w: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1.6</w:t>
            </w:r>
          </w:p>
        </w:tc>
        <w:tc>
          <w:tcPr>
            <w:tcW w:w="10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w:t>
            </w:r>
          </w:p>
        </w:tc>
        <w:tc>
          <w:tcPr>
            <w:tcW w:w="13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2.3</w:t>
            </w:r>
          </w:p>
        </w:tc>
        <w:tc>
          <w:tcPr>
            <w:tcW w:w="13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w:t>
            </w:r>
          </w:p>
        </w:tc>
        <w:tc>
          <w:tcPr>
            <w:tcW w:w="1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w:t>
            </w: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w:t>
            </w:r>
          </w:p>
        </w:tc>
        <w:tc>
          <w:tcPr>
            <w:tcW w:w="10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3060" w:type="dxa"/>
            <w:vAlign w:val="bottom"/>
          </w:tcPr>
          <w:p>
            <w:pPr>
              <w:spacing w:after="0"/>
              <w:rPr>
                <w:sz w:val="17"/>
                <w:szCs w:val="17"/>
                <w:color w:val="auto"/>
              </w:rPr>
            </w:pP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w:t>
            </w:r>
          </w:p>
        </w:tc>
        <w:tc>
          <w:tcPr>
            <w:tcW w:w="1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$1.00</w:t>
            </w: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$1.00</w:t>
            </w: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$1.00</w:t>
            </w: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$1.00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740"/>
        <w:spacing w:after="0" w:line="236" w:lineRule="auto"/>
        <w:rPr>
          <w:sz w:val="20"/>
          <w:szCs w:val="20"/>
          <w:color w:val="auto"/>
        </w:rPr>
      </w:pPr>
      <w:r>
        <w:rPr>
          <w:rFonts w:ascii="Courier New" w:cs="Courier New" w:eastAsia="Courier New" w:hAnsi="Courier New"/>
          <w:sz w:val="18"/>
          <w:szCs w:val="18"/>
          <w:color w:val="auto"/>
        </w:rPr>
        <w:t>[Pie chart depicting the above SALES DOLLAR DISTRIBUTION for 1994 omitted] [Photograph of miscellaneous products of the Company and other objectives, omitted]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LETTER TO SHAREHOLDERS</w:t>
      </w:r>
    </w:p>
    <w:p>
      <w:pPr>
        <w:spacing w:after="0" w:line="207" w:lineRule="exact"/>
        <w:rPr>
          <w:sz w:val="20"/>
          <w:szCs w:val="20"/>
          <w:color w:val="auto"/>
        </w:rPr>
      </w:pPr>
    </w:p>
    <w:p>
      <w:pPr>
        <w:ind w:right="3480"/>
        <w:spacing w:after="0" w:line="238" w:lineRule="auto"/>
        <w:rPr>
          <w:sz w:val="20"/>
          <w:szCs w:val="20"/>
          <w:color w:val="auto"/>
        </w:rPr>
      </w:pPr>
      <w:r>
        <w:rPr>
          <w:rFonts w:ascii="Courier New" w:cs="Courier New" w:eastAsia="Courier New" w:hAnsi="Courier New"/>
          <w:sz w:val="18"/>
          <w:szCs w:val="18"/>
          <w:color w:val="auto"/>
        </w:rPr>
        <w:t>We are pleased to report that 1994 was another record year for McCormick, with sales increasing 9 percent and earnings, on a comparable basis with 1993, increasing 8 percent. Our quarterly cash dividend on common stock also increased 8 percent by Board approval on December 19, 1994. This marked the 70th year of consecutive dividend payments by your Company. During the last five years (1990-1994), dividend payments have increased at a compounded rate in excess of 21 percent. Considering both our industry and competitive environments, 1994 results were respectable although results fell short of our long-term objectives. There are several key reasons why the year was not up to our standards. An increase in commodity prices resulted in some decline in our industrial margins. We anticipate improvement in 1995. In addition, due to promotional expenses required to protect market share against aggressive competition, our joint venture in Mexico was less profitable than anticipated. Finally, we experienced increased competition and price cutting in our consumer business. Near term we expect this to continue.</w:t>
      </w:r>
    </w:p>
    <w:p>
      <w:pPr>
        <w:spacing w:after="0" w:line="209" w:lineRule="exact"/>
        <w:rPr>
          <w:sz w:val="20"/>
          <w:szCs w:val="20"/>
          <w:color w:val="auto"/>
        </w:rPr>
      </w:pPr>
    </w:p>
    <w:p>
      <w:pPr>
        <w:ind w:right="3580" w:firstLine="211"/>
        <w:spacing w:after="0" w:line="279" w:lineRule="auto"/>
        <w:rPr>
          <w:sz w:val="20"/>
          <w:szCs w:val="20"/>
          <w:color w:val="auto"/>
        </w:rPr>
      </w:pPr>
      <w:r>
        <w:rPr>
          <w:rFonts w:ascii="Courier New" w:cs="Courier New" w:eastAsia="Courier New" w:hAnsi="Courier New"/>
          <w:sz w:val="16"/>
          <w:szCs w:val="16"/>
          <w:color w:val="auto"/>
        </w:rPr>
        <w:t>We are taking the necessary steps to ensure that we continue to increase market share in our core business. These steps include remaining competitive, increasing marketing spending, investing in</w:t>
      </w:r>
    </w:p>
    <w:p>
      <w:pPr>
        <w:sectPr>
          <w:pgSz w:w="11900" w:h="16838" w:orient="portrait"/>
          <w:cols w:equalWidth="0" w:num="1">
            <w:col w:w="10540"/>
          </w:cols>
          <w:pgMar w:left="240" w:top="136" w:right="1119"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new products, and upgrading and modernizing our plants and equipment. These actions will keep us on the leading edge of our industry.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RESTRUCTURING</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October, we announced a comprehensive restructuring of our business operations, including plant consolidations, functional and departmental consolidations, and staff reductions. The action will result in a reduction of approximately 600 positions, or 7 percent of our worldwide workforce. The restructuring is designed to generate continued long-term growth and profitability, meet the competitive challenges of the future, and enhance shareholder and employee value. Benefits of this action, including support for the McCormick brands and assistance in meeting our financial objectives, will be felt near the end of 1995 and during 1996.</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FUTURE</w:t>
      </w:r>
    </w:p>
    <w:p>
      <w:pPr>
        <w:spacing w:after="0" w:line="207"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The Company announced seven new acquisitions and two new joint ventures during 1994. In addition, we are increasing our equity position in our consumer and industrial business in Shanghai, China, to 90 percent, subject to governmental approval. That the new businesses are located in Mexico, Indonesia, Finland, India, Switzerland, Australia, and the United Kingdom indicates the strength of our commitment to worldwide growth in spices, seasonings and flavorings.</w:t>
      </w:r>
    </w:p>
    <w:p>
      <w:pPr>
        <w:spacing w:after="0" w:line="212" w:lineRule="exact"/>
        <w:rPr>
          <w:sz w:val="20"/>
          <w:szCs w:val="20"/>
          <w:color w:val="auto"/>
        </w:rPr>
      </w:pPr>
    </w:p>
    <w:p>
      <w:pPr>
        <w:ind w:right="3259" w:firstLine="211"/>
        <w:spacing w:after="0" w:line="273" w:lineRule="auto"/>
        <w:rPr>
          <w:sz w:val="20"/>
          <w:szCs w:val="20"/>
          <w:color w:val="auto"/>
        </w:rPr>
      </w:pPr>
      <w:r>
        <w:rPr>
          <w:rFonts w:ascii="Courier New" w:cs="Courier New" w:eastAsia="Courier New" w:hAnsi="Courier New"/>
          <w:sz w:val="16"/>
          <w:szCs w:val="16"/>
          <w:color w:val="auto"/>
        </w:rPr>
        <w:t>We will support our global strategy to become the leader in all those zones where we operate. We are very pleased with our strong performance in the United Kingdom and see further opportunities in Europe. And we see great potential in Asia/Pacific where millions of consumers are ready to be introduced to our products.</w:t>
      </w:r>
    </w:p>
    <w:p>
      <w:pPr>
        <w:spacing w:after="0" w:line="185" w:lineRule="exact"/>
        <w:rPr>
          <w:sz w:val="20"/>
          <w:szCs w:val="20"/>
          <w:color w:val="auto"/>
        </w:rPr>
      </w:pPr>
    </w:p>
    <w:p>
      <w:pPr>
        <w:jc w:val="both"/>
        <w:ind w:right="3159" w:firstLine="211"/>
        <w:spacing w:after="0" w:line="237" w:lineRule="auto"/>
        <w:rPr>
          <w:sz w:val="20"/>
          <w:szCs w:val="20"/>
          <w:color w:val="auto"/>
        </w:rPr>
      </w:pPr>
      <w:r>
        <w:rPr>
          <w:rFonts w:ascii="Courier New" w:cs="Courier New" w:eastAsia="Courier New" w:hAnsi="Courier New"/>
          <w:sz w:val="18"/>
          <w:szCs w:val="18"/>
          <w:color w:val="auto"/>
        </w:rPr>
        <w:t>As our key customers continue to grow, we have the opportunity to grow with them and offer a wide range of capabilities. We are going to be innovative, take greater advantage of our brands, and strive to take action to be selected by more companies as their preferred supplier. We will continue to grow our leadership position in each of our categories.</w:t>
      </w:r>
    </w:p>
    <w:p>
      <w:pPr>
        <w:spacing w:after="0" w:line="210"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With strong retail and industrial sales, we are building momentum for the future. We see industrial margins returning to better levels as well as the benefits of recent acquisitions, cost improvements, and restructuring.</w:t>
      </w:r>
    </w:p>
    <w:p>
      <w:pPr>
        <w:spacing w:after="0" w:line="207" w:lineRule="exact"/>
        <w:rPr>
          <w:sz w:val="20"/>
          <w:szCs w:val="20"/>
          <w:color w:val="auto"/>
        </w:rPr>
      </w:pPr>
    </w:p>
    <w:p>
      <w:pPr>
        <w:ind w:right="3579" w:firstLine="211"/>
        <w:spacing w:after="0" w:line="237" w:lineRule="auto"/>
        <w:rPr>
          <w:sz w:val="20"/>
          <w:szCs w:val="20"/>
          <w:color w:val="auto"/>
        </w:rPr>
      </w:pPr>
      <w:r>
        <w:rPr>
          <w:rFonts w:ascii="Courier New" w:cs="Courier New" w:eastAsia="Courier New" w:hAnsi="Courier New"/>
          <w:sz w:val="18"/>
          <w:szCs w:val="18"/>
          <w:color w:val="auto"/>
        </w:rPr>
        <w:t>What we envision for McCormick is an organization that will continue to beat the competition, be well positioned for the future, and remain independent by achieving excellent sales and profits.</w:t>
      </w:r>
    </w:p>
    <w:p>
      <w:pPr>
        <w:spacing w:after="0" w:line="207"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According to the American Spice Trade Association, the annual consumption of spices could reach one billion pounds by the turn of the century. The most significant development in the United States spice scene today involves the "hot trend" in spices. Consumption in the United States of black pepper, red pepper, mustard, and ginger, the "hot" spices, has increased almost 50 percent in just the past five years.</w:t>
      </w:r>
    </w:p>
    <w:p>
      <w:pPr>
        <w:spacing w:after="0" w:line="211" w:lineRule="exact"/>
        <w:rPr>
          <w:sz w:val="20"/>
          <w:szCs w:val="20"/>
          <w:color w:val="auto"/>
        </w:rPr>
      </w:pPr>
    </w:p>
    <w:p>
      <w:pPr>
        <w:ind w:right="3159" w:firstLine="211"/>
        <w:spacing w:after="0" w:line="273" w:lineRule="auto"/>
        <w:rPr>
          <w:sz w:val="20"/>
          <w:szCs w:val="20"/>
          <w:color w:val="auto"/>
        </w:rPr>
      </w:pPr>
      <w:r>
        <w:rPr>
          <w:rFonts w:ascii="Courier New" w:cs="Courier New" w:eastAsia="Courier New" w:hAnsi="Courier New"/>
          <w:sz w:val="16"/>
          <w:szCs w:val="16"/>
          <w:color w:val="auto"/>
        </w:rPr>
        <w:t>Such data provides ample evidence for us to be enthusiastic about consumer trends and eager to be innovative with new products and services. We will be focusing on those parts of our business, whether they be new technologies, key processes, or small improvements, which can really make a difference n our performance.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PERSONNEL</w:t>
      </w:r>
    </w:p>
    <w:p>
      <w:pPr>
        <w:spacing w:after="0" w:line="207"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6"/>
          <w:szCs w:val="16"/>
          <w:color w:val="auto"/>
        </w:rPr>
        <w:t>We were saddened last summer by the sudden death of Bailey A. Thomas, our Chairman and CEO. It is largely due to Bailey's vision that we operate today as a global organization, and we will continue to grow the Company in the successful way he envisioned. As a result of our untimely loss, Charles P. McCormick, Jr., who had been serving as Chairman Emeritus, has returned as Chairman of the Board. H. Eugene Blattman was promoted to President &amp; CEO.</w:t>
      </w:r>
    </w:p>
    <w:p>
      <w:pPr>
        <w:spacing w:after="0" w:line="188"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Other organizational changes during the year included the appointment of Carroll D. Nordhoff as Executive Vice President of the Corporation, Robert J. Lawless as Senior Vice President-The Americas, Harold J. Handley as Senior Vice President-Europe, Dorsey N. Baldwin as Vice President-Packaging Group, and Robert W. Schroeder as Vice President-Sales &amp; Marketing for the</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McCormick/Schilling Division.</w:t>
      </w:r>
    </w:p>
    <w:p>
      <w:pPr>
        <w:spacing w:after="0" w:line="207" w:lineRule="exact"/>
        <w:rPr>
          <w:sz w:val="20"/>
          <w:szCs w:val="20"/>
          <w:color w:val="auto"/>
        </w:rPr>
      </w:pPr>
    </w:p>
    <w:p>
      <w:pPr>
        <w:ind w:right="3259" w:firstLine="211"/>
        <w:spacing w:after="0" w:line="237" w:lineRule="auto"/>
        <w:rPr>
          <w:sz w:val="20"/>
          <w:szCs w:val="20"/>
          <w:color w:val="auto"/>
        </w:rPr>
      </w:pPr>
      <w:r>
        <w:rPr>
          <w:rFonts w:ascii="Courier New" w:cs="Courier New" w:eastAsia="Courier New" w:hAnsi="Courier New"/>
          <w:sz w:val="18"/>
          <w:szCs w:val="18"/>
          <w:color w:val="auto"/>
        </w:rPr>
        <w:t>In addition, James A. Hooker retired as Vice President &amp; Chief Financial Officer and was succeeded by Robert G. Davey. John W. Felton retired as Vice President-Corporate Communications and was succeeded by Allen M. Barrett, Jr. John H. Nelson retired as Vice President-Science &amp; Technology. Alan D. Wilson was appointed Vice President-Procurement. Donald E. Parodi was named President of Setco, Inc.</w:t>
      </w:r>
    </w:p>
    <w:p>
      <w:pPr>
        <w:spacing w:after="0" w:line="211" w:lineRule="exact"/>
        <w:rPr>
          <w:sz w:val="20"/>
          <w:szCs w:val="20"/>
          <w:color w:val="auto"/>
        </w:rPr>
      </w:pPr>
    </w:p>
    <w:p>
      <w:pPr>
        <w:ind w:right="3999" w:firstLine="211"/>
        <w:spacing w:after="0" w:line="268" w:lineRule="auto"/>
        <w:rPr>
          <w:sz w:val="20"/>
          <w:szCs w:val="20"/>
          <w:color w:val="auto"/>
        </w:rPr>
      </w:pPr>
      <w:r>
        <w:rPr>
          <w:rFonts w:ascii="Courier New" w:cs="Courier New" w:eastAsia="Courier New" w:hAnsi="Courier New"/>
          <w:sz w:val="16"/>
          <w:szCs w:val="16"/>
          <w:color w:val="auto"/>
        </w:rPr>
        <w:t>For more than 60 years, we have been enriched by Multiple Management, which promotes participation at all levels</w:t>
      </w:r>
    </w:p>
    <w:p>
      <w:pPr>
        <w:jc w:val="both"/>
        <w:ind w:right="3159"/>
        <w:spacing w:after="0" w:line="237" w:lineRule="auto"/>
        <w:rPr>
          <w:sz w:val="20"/>
          <w:szCs w:val="20"/>
          <w:color w:val="auto"/>
        </w:rPr>
      </w:pPr>
      <w:r>
        <w:rPr>
          <w:rFonts w:ascii="Courier New" w:cs="Courier New" w:eastAsia="Courier New" w:hAnsi="Courier New"/>
          <w:sz w:val="18"/>
          <w:szCs w:val="18"/>
          <w:color w:val="auto"/>
        </w:rPr>
        <w:t>of employment and the importance of sharing the rewards of success. Because we focus on the customer and practice the basic core values that have made McCormick a success, we are excited about our future and expect to reach our objectives over time.</w:t>
      </w:r>
    </w:p>
    <w:p>
      <w:pPr>
        <w:spacing w:after="0" w:line="207" w:lineRule="exact"/>
        <w:rPr>
          <w:sz w:val="20"/>
          <w:szCs w:val="20"/>
          <w:color w:val="auto"/>
        </w:rPr>
      </w:pPr>
    </w:p>
    <w:p>
      <w:pPr>
        <w:ind w:right="3899" w:firstLine="211"/>
        <w:spacing w:after="0" w:line="235" w:lineRule="auto"/>
        <w:rPr>
          <w:sz w:val="20"/>
          <w:szCs w:val="20"/>
          <w:color w:val="auto"/>
        </w:rPr>
      </w:pPr>
      <w:r>
        <w:rPr>
          <w:rFonts w:ascii="Courier New" w:cs="Courier New" w:eastAsia="Courier New" w:hAnsi="Courier New"/>
          <w:sz w:val="18"/>
          <w:szCs w:val="18"/>
          <w:color w:val="auto"/>
        </w:rPr>
        <w:t>The officers and members of the Board of Directors join in thanking our shareholders, customers, suppliers, and</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employees for your support. We look forward to your participation in a bright future for McCormick &amp;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P. McCormick, Jr.</w:t>
      </w:r>
    </w:p>
    <w:p>
      <w:pPr>
        <w:spacing w:after="0" w:line="238" w:lineRule="auto"/>
        <w:rPr>
          <w:sz w:val="20"/>
          <w:szCs w:val="20"/>
          <w:color w:val="auto"/>
        </w:rPr>
      </w:pPr>
      <w:r>
        <w:rPr>
          <w:rFonts w:ascii="Courier New" w:cs="Courier New" w:eastAsia="Courier New" w:hAnsi="Courier New"/>
          <w:sz w:val="18"/>
          <w:szCs w:val="18"/>
          <w:color w:val="auto"/>
        </w:rPr>
        <w:t>Chairman of the Board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 Eugene Blattman</w:t>
      </w:r>
    </w:p>
    <w:p>
      <w:pPr>
        <w:spacing w:after="0" w:line="238" w:lineRule="auto"/>
        <w:rPr>
          <w:sz w:val="20"/>
          <w:szCs w:val="20"/>
          <w:color w:val="auto"/>
        </w:rPr>
      </w:pPr>
      <w:r>
        <w:rPr>
          <w:rFonts w:ascii="Courier New" w:cs="Courier New" w:eastAsia="Courier New" w:hAnsi="Courier New"/>
          <w:sz w:val="18"/>
          <w:szCs w:val="18"/>
          <w:color w:val="auto"/>
        </w:rPr>
        <w:t>President &amp; Chief Executive Officer</w:t>
      </w:r>
    </w:p>
    <w:p>
      <w:pPr>
        <w:spacing w:after="0" w:line="5"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[Photograph of Charles P. McCormick, Jr., Chairman of Board, and H. Eugene Blattman, President and CEO, omitted]</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[Picture of various products of the Company, and certain other objects, omitted]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on Operations</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In October, the Company announced a comprehensive restructuring of its business operations, including plant consolidations, functional and departmental consolidations, and staff reductions. Trends in our industry suggest that competition will continue to intensify. The restructuring takes place during a period of financial strength for the Company in order to position ourselves for continued future earnings growth. The restructuring program represents an investment in our future and will improve our competitive position.</w:t>
      </w:r>
    </w:p>
    <w:p>
      <w:pPr>
        <w:spacing w:after="0" w:line="186"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Specifically, the major elements of the restructuring plan include closing the McCormick Flavor Group's production acility in Hayward, California. Products manufactured there will now be produced at McCormick's facility in Salinas, California. The Food Service Division's spice production operation in Hunt Valley, Maryland, will be closed with products manufactured there being shifted to the Company's consumer products plant also in</w:t>
      </w:r>
    </w:p>
    <w:p>
      <w:pPr>
        <w:spacing w:after="0" w:line="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Hunt Valley. Golden West Foods, our frozen food subsidiary in Bedford, Virginia, will be offered for sale. There will also be a realignment of some of McCormick's operations in the United Kingdom. There will be other functional consolidations and staff reductions throughout the Company. A more detailed description of the Company's restructuring plan is contained in Management's Discussion and Analysis.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AMERICAS MARKET ZONE</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McCormick's oldest and largest business is the manufacture and retail sale of spices, herbs, extracts, proprietary seasoning blends, sauces, and marinades. These consumer products are sold in the United States, primarily under the McCormick name in the East, the Schilling label in the West, and in Canada under the Club House brand. In other markets of the Americas Zone, the McCormick brand name is primarily used.</w:t>
      </w:r>
    </w:p>
    <w:p>
      <w:pPr>
        <w:spacing w:after="0" w:line="211" w:lineRule="exact"/>
        <w:rPr>
          <w:sz w:val="20"/>
          <w:szCs w:val="20"/>
          <w:color w:val="auto"/>
        </w:rPr>
      </w:pPr>
    </w:p>
    <w:p>
      <w:pPr>
        <w:ind w:right="3259" w:firstLine="211"/>
        <w:spacing w:after="0" w:line="237" w:lineRule="auto"/>
        <w:rPr>
          <w:sz w:val="20"/>
          <w:szCs w:val="20"/>
          <w:color w:val="auto"/>
        </w:rPr>
      </w:pPr>
      <w:r>
        <w:rPr>
          <w:rFonts w:ascii="Courier New" w:cs="Courier New" w:eastAsia="Courier New" w:hAnsi="Courier New"/>
          <w:sz w:val="18"/>
          <w:szCs w:val="18"/>
          <w:color w:val="auto"/>
        </w:rPr>
        <w:t>While both sales and profits of our consumer business reached records levels, growth has slowed from the rates experienced over the past few years. Consumer eating trends are causing a gradual shift in the channels through which we sell our spices and seasonings. Although total spice consumption is increasing, we are seeing a slight decline in home use, as consumers seek the convenience of foods prepared outside the home.</w:t>
      </w:r>
    </w:p>
    <w:p>
      <w:pPr>
        <w:spacing w:after="0" w:line="20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Additionally, competition has intensified over the past few</w:t>
      </w:r>
    </w:p>
    <w:p>
      <w:pPr>
        <w:spacing w:after="0" w:line="4"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6"/>
          <w:szCs w:val="16"/>
          <w:color w:val="auto"/>
        </w:rPr>
        <w:t>years. Our challenge and our strategy is to grow our leadership</w:t>
      </w:r>
    </w:p>
    <w:p>
      <w:pPr>
        <w:sectPr>
          <w:pgSz w:w="11900" w:h="16838" w:orient="portrait"/>
          <w:cols w:equalWidth="0" w:num="1">
            <w:col w:w="10219"/>
          </w:cols>
          <w:pgMar w:left="240" w:top="136" w:right="1440" w:bottom="0" w:gutter="0" w:footer="0" w:header="0"/>
        </w:sectPr>
      </w:pPr>
    </w:p>
    <w:bookmarkStart w:id="5" w:name="page6"/>
    <w:bookmarkEnd w:id="5"/>
    <w:p>
      <w:pPr>
        <w:jc w:val="both"/>
        <w:ind w:right="3479"/>
        <w:spacing w:after="0" w:line="236" w:lineRule="auto"/>
        <w:rPr>
          <w:sz w:val="20"/>
          <w:szCs w:val="20"/>
          <w:color w:val="auto"/>
        </w:rPr>
      </w:pPr>
      <w:r>
        <w:rPr>
          <w:rFonts w:ascii="Courier New" w:cs="Courier New" w:eastAsia="Courier New" w:hAnsi="Courier New"/>
          <w:sz w:val="18"/>
          <w:szCs w:val="18"/>
          <w:color w:val="auto"/>
        </w:rPr>
        <w:t>position in this market. We will achieve this by building on our strong brand, innovating with new products and processes and by operating our plants and offices more efficiently.</w:t>
      </w:r>
    </w:p>
    <w:p>
      <w:pPr>
        <w:spacing w:after="0" w:line="209" w:lineRule="exact"/>
        <w:rPr>
          <w:sz w:val="20"/>
          <w:szCs w:val="20"/>
          <w:color w:val="auto"/>
        </w:rPr>
      </w:pPr>
    </w:p>
    <w:p>
      <w:pPr>
        <w:ind w:right="3259" w:firstLine="211"/>
        <w:spacing w:after="0" w:line="237" w:lineRule="auto"/>
        <w:rPr>
          <w:sz w:val="20"/>
          <w:szCs w:val="20"/>
          <w:color w:val="auto"/>
        </w:rPr>
      </w:pPr>
      <w:r>
        <w:rPr>
          <w:rFonts w:ascii="Courier New" w:cs="Courier New" w:eastAsia="Courier New" w:hAnsi="Courier New"/>
          <w:sz w:val="18"/>
          <w:szCs w:val="18"/>
          <w:color w:val="auto"/>
        </w:rPr>
        <w:t>As in previous years, we continued a strategy to grow our retail business by introducing new products. More than 30 new products were introduced in 1994, many in response to new consumer eating trends. Examples include: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Rotisserie Recipe Chicken Seasonings</w:t>
      </w:r>
    </w:p>
    <w:p>
      <w:pPr>
        <w:spacing w:after="0" w:line="238" w:lineRule="auto"/>
        <w:rPr>
          <w:sz w:val="20"/>
          <w:szCs w:val="20"/>
          <w:color w:val="auto"/>
        </w:rPr>
      </w:pPr>
      <w:r>
        <w:rPr>
          <w:rFonts w:ascii="Courier New" w:cs="Courier New" w:eastAsia="Courier New" w:hAnsi="Courier New"/>
          <w:sz w:val="18"/>
          <w:szCs w:val="18"/>
          <w:color w:val="auto"/>
        </w:rPr>
        <w:t>Seasoned Pepper Blends</w:t>
      </w:r>
    </w:p>
    <w:p>
      <w:pPr>
        <w:spacing w:after="0"/>
        <w:rPr>
          <w:sz w:val="20"/>
          <w:szCs w:val="20"/>
          <w:color w:val="auto"/>
        </w:rPr>
      </w:pPr>
      <w:r>
        <w:rPr>
          <w:rFonts w:ascii="Courier New" w:cs="Courier New" w:eastAsia="Courier New" w:hAnsi="Courier New"/>
          <w:sz w:val="18"/>
          <w:szCs w:val="18"/>
          <w:color w:val="auto"/>
        </w:rPr>
        <w:t>Fajita and Caribbean Jerk International Seasonings</w:t>
      </w:r>
    </w:p>
    <w:p>
      <w:pPr>
        <w:spacing w:after="0" w:line="237" w:lineRule="auto"/>
        <w:rPr>
          <w:sz w:val="20"/>
          <w:szCs w:val="20"/>
          <w:color w:val="auto"/>
        </w:rPr>
      </w:pPr>
      <w:r>
        <w:rPr>
          <w:rFonts w:ascii="Courier New" w:cs="Courier New" w:eastAsia="Courier New" w:hAnsi="Courier New"/>
          <w:sz w:val="18"/>
          <w:szCs w:val="18"/>
          <w:color w:val="auto"/>
        </w:rPr>
        <w:t>Classic and Spicy Pizza Seasonings, and</w:t>
      </w:r>
    </w:p>
    <w:p>
      <w:pPr>
        <w:spacing w:after="0" w:line="238" w:lineRule="auto"/>
        <w:rPr>
          <w:sz w:val="20"/>
          <w:szCs w:val="20"/>
          <w:color w:val="auto"/>
        </w:rPr>
      </w:pPr>
      <w:r>
        <w:rPr>
          <w:rFonts w:ascii="Courier New" w:cs="Courier New" w:eastAsia="Courier New" w:hAnsi="Courier New"/>
          <w:sz w:val="18"/>
          <w:szCs w:val="18"/>
          <w:color w:val="auto"/>
        </w:rPr>
        <w:t>Cake Mate Flintstone Candy Decorations.</w:t>
      </w:r>
    </w:p>
    <w:p>
      <w:pPr>
        <w:spacing w:after="0" w:line="208" w:lineRule="exact"/>
        <w:rPr>
          <w:sz w:val="20"/>
          <w:szCs w:val="20"/>
          <w:color w:val="auto"/>
        </w:rPr>
      </w:pPr>
    </w:p>
    <w:p>
      <w:pPr>
        <w:ind w:right="3579" w:firstLine="211"/>
        <w:spacing w:after="0" w:line="235" w:lineRule="auto"/>
        <w:rPr>
          <w:sz w:val="20"/>
          <w:szCs w:val="20"/>
          <w:color w:val="auto"/>
        </w:rPr>
      </w:pPr>
      <w:r>
        <w:rPr>
          <w:rFonts w:ascii="Courier New" w:cs="Courier New" w:eastAsia="Courier New" w:hAnsi="Courier New"/>
          <w:sz w:val="18"/>
          <w:szCs w:val="18"/>
          <w:color w:val="auto"/>
        </w:rPr>
        <w:t>Additional new products were introduced specifically aimed at health-conscious consumers. They included:</w:t>
      </w:r>
    </w:p>
    <w:p>
      <w:pPr>
        <w:spacing w:after="0" w:line="208" w:lineRule="exact"/>
        <w:rPr>
          <w:sz w:val="20"/>
          <w:szCs w:val="20"/>
          <w:color w:val="auto"/>
        </w:rPr>
      </w:pPr>
    </w:p>
    <w:p>
      <w:pPr>
        <w:ind w:right="5059"/>
        <w:spacing w:after="0" w:line="237" w:lineRule="auto"/>
        <w:rPr>
          <w:sz w:val="20"/>
          <w:szCs w:val="20"/>
          <w:color w:val="auto"/>
        </w:rPr>
      </w:pPr>
      <w:r>
        <w:rPr>
          <w:rFonts w:ascii="Courier New" w:cs="Courier New" w:eastAsia="Courier New" w:hAnsi="Courier New"/>
          <w:sz w:val="18"/>
          <w:szCs w:val="18"/>
          <w:color w:val="auto"/>
        </w:rPr>
        <w:t>The McCormick Collection's Fat Free Recipe Blends Old Bay Fat Free Tartar &amp; Cocktail Sauces Golden Dipt Fat Free Marinades, and Lower Sodium Taco Seasoning.</w:t>
      </w:r>
    </w:p>
    <w:p>
      <w:pPr>
        <w:spacing w:after="0" w:line="207"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Operationally, improvements occurred at our largest plant in Hunt Valley, Maryland. The plant was entirely reengineered, including the relocation of production lines, the installation of robotic palletizers and the conversion to high-speed foil production to start in March 1995. Improved administrative processes have also reduced costs.</w:t>
      </w:r>
    </w:p>
    <w:p>
      <w:pPr>
        <w:spacing w:after="0" w:line="210" w:lineRule="exact"/>
        <w:rPr>
          <w:sz w:val="20"/>
          <w:szCs w:val="20"/>
          <w:color w:val="auto"/>
        </w:rPr>
      </w:pPr>
    </w:p>
    <w:p>
      <w:pPr>
        <w:ind w:right="3259" w:firstLine="211"/>
        <w:spacing w:after="0" w:line="273" w:lineRule="auto"/>
        <w:rPr>
          <w:sz w:val="20"/>
          <w:szCs w:val="20"/>
          <w:color w:val="auto"/>
        </w:rPr>
      </w:pPr>
      <w:r>
        <w:rPr>
          <w:rFonts w:ascii="Courier New" w:cs="Courier New" w:eastAsia="Courier New" w:hAnsi="Courier New"/>
          <w:sz w:val="16"/>
          <w:szCs w:val="16"/>
          <w:color w:val="auto"/>
        </w:rPr>
        <w:t>At McCormick Canada, the Club House Division experienced healthy retail growth in a flat market. Expanded distribution and the introduction of several new retail and foodservice products helped maintain our leadership in that market. Hy's, a leading brand of steak house seasonings in Canada, was acquired during the year.</w:t>
      </w:r>
    </w:p>
    <w:p>
      <w:pPr>
        <w:spacing w:after="0" w:line="185" w:lineRule="exact"/>
        <w:rPr>
          <w:sz w:val="20"/>
          <w:szCs w:val="20"/>
          <w:color w:val="auto"/>
        </w:rPr>
      </w:pPr>
    </w:p>
    <w:p>
      <w:pPr>
        <w:ind w:right="3259" w:firstLine="211"/>
        <w:spacing w:after="0" w:line="237" w:lineRule="auto"/>
        <w:rPr>
          <w:sz w:val="20"/>
          <w:szCs w:val="20"/>
          <w:color w:val="auto"/>
        </w:rPr>
      </w:pPr>
      <w:r>
        <w:rPr>
          <w:rFonts w:ascii="Courier New" w:cs="Courier New" w:eastAsia="Courier New" w:hAnsi="Courier New"/>
          <w:sz w:val="18"/>
          <w:szCs w:val="18"/>
          <w:color w:val="auto"/>
        </w:rPr>
        <w:t>It was a strong year for our operations in Central and South America. Despite a recession, McCormick de Venezuela had a solid year, culminating in the acquisition of Salsa Ideal, a tomato ketchup manufacturer. McCormick de Centro America, our subsidiary in El Salvador, celebrated its 25th anniversary by enjoying its third consecutive year of record sales and profits. Leading market share positions in Central America in virtually all its product lines and market segments were increased.</w:t>
      </w:r>
    </w:p>
    <w:p>
      <w:pPr>
        <w:spacing w:after="0" w:line="212" w:lineRule="exact"/>
        <w:rPr>
          <w:sz w:val="20"/>
          <w:szCs w:val="20"/>
          <w:color w:val="auto"/>
        </w:rPr>
      </w:pPr>
    </w:p>
    <w:p>
      <w:pPr>
        <w:ind w:right="3159" w:firstLine="421"/>
        <w:spacing w:after="0" w:line="237" w:lineRule="auto"/>
        <w:rPr>
          <w:sz w:val="20"/>
          <w:szCs w:val="20"/>
          <w:color w:val="auto"/>
        </w:rPr>
      </w:pPr>
      <w:r>
        <w:rPr>
          <w:rFonts w:ascii="Courier New" w:cs="Courier New" w:eastAsia="Courier New" w:hAnsi="Courier New"/>
          <w:sz w:val="18"/>
          <w:szCs w:val="18"/>
          <w:color w:val="auto"/>
        </w:rPr>
        <w:t>The Food Service Division primarily serves broad-line foodservice distributors and warehouse clubs. Sales to distributors increased by 8 percent, exceeding the market average growth. The continued consolidation of warehouse clubs had an adverse impact on sales and profits for this division. New distribution gains are being made with restaurant chains. McCormick was the first to market a line of Rotisserie Style Chicken Glazes to capitalize on a new, popular eating trend. [Photograph of three employees, omitted]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EUROPEAN MARKET ZONE</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McCormick's European Zone enjoyed a record financial year, led by solid gains at our operations in the United Kingdom. A number of new products was launched under the Schwartz brand, including three new pour-over sauces:</w:t>
      </w:r>
    </w:p>
    <w:p>
      <w:pPr>
        <w:spacing w:after="0" w:line="20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Garlic &amp; Pepper, Pepper &amp; Mushroom, and Curry. Sales of the new pour-over sauce line have been well above expectations.</w:t>
      </w:r>
    </w:p>
    <w:p>
      <w:pPr>
        <w:spacing w:after="0" w:line="6" w:lineRule="exact"/>
        <w:rPr>
          <w:sz w:val="20"/>
          <w:szCs w:val="20"/>
          <w:color w:val="auto"/>
        </w:rPr>
      </w:pPr>
    </w:p>
    <w:p>
      <w:pPr>
        <w:ind w:right="3159" w:firstLine="211"/>
        <w:spacing w:after="0" w:line="268" w:lineRule="auto"/>
        <w:rPr>
          <w:sz w:val="20"/>
          <w:szCs w:val="20"/>
          <w:color w:val="auto"/>
        </w:rPr>
      </w:pPr>
      <w:r>
        <w:rPr>
          <w:rFonts w:ascii="Courier New" w:cs="Courier New" w:eastAsia="Courier New" w:hAnsi="Courier New"/>
          <w:sz w:val="16"/>
          <w:szCs w:val="16"/>
          <w:color w:val="auto"/>
        </w:rPr>
        <w:t>McCormick (UK) acquired Noel Holdings, Ltd., the leading supplier of specialty foods to the U.K. foodservice industry. Its product line includes herbs, spices, seasonings, and gherkins, plus a wide range of sauces, condiments and drink mixes. Noel offers McCormick significant opportunities for growth in the foodservice sector.</w:t>
      </w:r>
    </w:p>
    <w:p>
      <w:pPr>
        <w:spacing w:after="0" w:line="1"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Switzerland, the Company acquired the herb and spice company, Butty. This acquisition increases McCormick's presence in the Swiss consumer market and significantly strengthens access to the Swiss foodservice arena.</w:t>
      </w:r>
    </w:p>
    <w:p>
      <w:pPr>
        <w:spacing w:after="0" w:line="207"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In Finland, McCormick acquired the spice business of Tuko Oy, a major food distributor to the retail grocery and foodservice trade. Tuko had been a McCormick licensee for many years. Under the new structure, our products have been introduced into the Nordic countries, Russia and the Baltic States.</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[Photograph of four employees and bottling line, omitted] THE ASIA/PACIFIC MARKET ZONE</w:t>
      </w:r>
    </w:p>
    <w:p>
      <w:pPr>
        <w:sectPr>
          <w:pgSz w:w="11900" w:h="16838" w:orient="portrait"/>
          <w:cols w:equalWidth="0" w:num="1">
            <w:col w:w="10219"/>
          </w:cols>
          <w:pgMar w:left="240" w:top="142" w:right="1440" w:bottom="0" w:gutter="0" w:footer="0" w:header="0"/>
        </w:sectPr>
      </w:pPr>
    </w:p>
    <w:bookmarkStart w:id="6" w:name="page7"/>
    <w:bookmarkEnd w:id="6"/>
    <w:p>
      <w:pPr>
        <w:ind w:right="3159"/>
        <w:spacing w:after="0" w:line="275" w:lineRule="auto"/>
        <w:rPr>
          <w:sz w:val="20"/>
          <w:szCs w:val="20"/>
          <w:color w:val="auto"/>
        </w:rPr>
      </w:pPr>
      <w:r>
        <w:rPr>
          <w:rFonts w:ascii="Courier New" w:cs="Courier New" w:eastAsia="Courier New" w:hAnsi="Courier New"/>
          <w:sz w:val="16"/>
          <w:szCs w:val="16"/>
          <w:color w:val="auto"/>
        </w:rPr>
        <w:t>The Asia/Pacific Zone had a record year in sales and earnings. Sales growth was well balanced among consumer, foodservice and industrial businesses. With many underdeveloped, but rapidly expanding markets, the Asia/Pacific Zone has high growth potential.</w:t>
      </w:r>
    </w:p>
    <w:p>
      <w:pPr>
        <w:spacing w:after="0" w:line="182"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This was one of the most exciting years or McCormick Australia since it became a wholly owned subsidiary 25 years ago. In addition to record sales and profits, McCormick Australia acquired the dessert business of Traders Pty. Ltd. This included the Aeroplane Jelly (gelatin) brand, one of the most well-known brands in Australia.</w:t>
      </w:r>
    </w:p>
    <w:p>
      <w:pPr>
        <w:spacing w:after="0" w:line="210"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McCormick's strategy is to combine our expertise in flavorings with Traders brands to expand the dessert category overall. A major renovation of our Melbourne manufacturing facility was begun. It will enable us to serve our fast food and retail customers more effectively.</w:t>
      </w:r>
    </w:p>
    <w:p>
      <w:pPr>
        <w:spacing w:after="0" w:line="209"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McCormick and P.T. Rodamas of Jakarta, Indonesia, formed a new joint venture, P.T. McCormick Indonesia. The new company will manufacture and market spices, herbs, seasonings, condiments, and sauces. This is a major step to build a presence in a key country of more than 180 million people.</w:t>
      </w:r>
    </w:p>
    <w:p>
      <w:pPr>
        <w:spacing w:after="0" w:line="209" w:lineRule="exact"/>
        <w:rPr>
          <w:sz w:val="20"/>
          <w:szCs w:val="20"/>
          <w:color w:val="auto"/>
        </w:rPr>
      </w:pPr>
    </w:p>
    <w:p>
      <w:pPr>
        <w:ind w:right="3259" w:firstLine="211"/>
        <w:spacing w:after="0" w:line="273" w:lineRule="auto"/>
        <w:rPr>
          <w:sz w:val="20"/>
          <w:szCs w:val="20"/>
          <w:color w:val="auto"/>
        </w:rPr>
      </w:pPr>
      <w:r>
        <w:rPr>
          <w:rFonts w:ascii="Courier New" w:cs="Courier New" w:eastAsia="Courier New" w:hAnsi="Courier New"/>
          <w:sz w:val="16"/>
          <w:szCs w:val="16"/>
          <w:color w:val="auto"/>
        </w:rPr>
        <w:t>This past year saw McCormick take strategic steps to capitalize on the enormous potential of the Chinese market. Our sales of consumer products in China continue to grow. Additionally, we are increasing our equity position in this joint venture, underscoring our optimism for growth in this emerging market.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MCCORMICK FLAVOR GROUP</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McCormick Flavor Group includes our industrial and fast food spice, seasoning and flavor businesses. It sells to food processors and major restaurant chains. Solid gains were made in sales and distribution. The Flavor Group, however, experienced margin pressure and an earnings decline as a result of increased operating and raw material costs and delay in passing these costs through in the form of price increases. Consequently, the Group fell short of financial objectives.</w:t>
      </w:r>
    </w:p>
    <w:p>
      <w:pPr>
        <w:spacing w:after="0" w:line="212" w:lineRule="exact"/>
        <w:rPr>
          <w:sz w:val="20"/>
          <w:szCs w:val="20"/>
          <w:color w:val="auto"/>
        </w:rPr>
      </w:pPr>
    </w:p>
    <w:p>
      <w:pPr>
        <w:ind w:right="3259" w:firstLine="211"/>
        <w:spacing w:after="0" w:line="237" w:lineRule="auto"/>
        <w:rPr>
          <w:sz w:val="20"/>
          <w:szCs w:val="20"/>
          <w:color w:val="auto"/>
        </w:rPr>
      </w:pPr>
      <w:r>
        <w:rPr>
          <w:rFonts w:ascii="Courier New" w:cs="Courier New" w:eastAsia="Courier New" w:hAnsi="Courier New"/>
          <w:sz w:val="18"/>
          <w:szCs w:val="18"/>
          <w:color w:val="auto"/>
        </w:rPr>
        <w:t>In a move to improve efficiencies, the Corporate Research and Development Function and the McCormick Flavor Division Technical Function merged, allowing McCormick to capitalize on the synergies of the two groups and heighten the focus on customer support and new product development.</w:t>
      </w:r>
    </w:p>
    <w:p>
      <w:pPr>
        <w:spacing w:after="0" w:line="209" w:lineRule="exact"/>
        <w:rPr>
          <w:sz w:val="20"/>
          <w:szCs w:val="20"/>
          <w:color w:val="auto"/>
        </w:rPr>
      </w:pPr>
    </w:p>
    <w:p>
      <w:pPr>
        <w:ind w:right="3159" w:firstLine="211"/>
        <w:spacing w:after="0" w:line="275" w:lineRule="auto"/>
        <w:rPr>
          <w:sz w:val="20"/>
          <w:szCs w:val="20"/>
          <w:color w:val="auto"/>
        </w:rPr>
      </w:pPr>
      <w:r>
        <w:rPr>
          <w:rFonts w:ascii="Courier New" w:cs="Courier New" w:eastAsia="Courier New" w:hAnsi="Courier New"/>
          <w:sz w:val="16"/>
          <w:szCs w:val="16"/>
          <w:color w:val="auto"/>
        </w:rPr>
        <w:t>The Flavor Group opened a 52,000-square-foot Atlanta Distribution Center. This facility will provide improved distribution services to customers in the Southeast United States while lowering warehouse and distribution costs for other McCormick units.</w:t>
      </w:r>
    </w:p>
    <w:p>
      <w:pPr>
        <w:spacing w:after="0" w:line="182" w:lineRule="exact"/>
        <w:rPr>
          <w:sz w:val="20"/>
          <w:szCs w:val="20"/>
          <w:color w:val="auto"/>
        </w:rPr>
      </w:pPr>
    </w:p>
    <w:p>
      <w:pPr>
        <w:ind w:right="3359" w:firstLine="211"/>
        <w:spacing w:after="0" w:line="236" w:lineRule="auto"/>
        <w:rPr>
          <w:sz w:val="20"/>
          <w:szCs w:val="20"/>
          <w:color w:val="auto"/>
        </w:rPr>
      </w:pPr>
      <w:r>
        <w:rPr>
          <w:rFonts w:ascii="Courier New" w:cs="Courier New" w:eastAsia="Courier New" w:hAnsi="Courier New"/>
          <w:sz w:val="18"/>
          <w:szCs w:val="18"/>
          <w:color w:val="auto"/>
        </w:rPr>
        <w:t>McCormick Ingredients spice mill facility, celebrating its 10th anniversary, achieved the highest plant sanitation rating attainable from the American Institute of Baking.</w:t>
      </w:r>
    </w:p>
    <w:p>
      <w:pPr>
        <w:spacing w:after="0" w:line="209" w:lineRule="exact"/>
        <w:rPr>
          <w:sz w:val="20"/>
          <w:szCs w:val="20"/>
          <w:color w:val="auto"/>
        </w:rPr>
      </w:pPr>
    </w:p>
    <w:p>
      <w:pPr>
        <w:ind w:right="3899" w:firstLine="211"/>
        <w:spacing w:after="0" w:line="237" w:lineRule="auto"/>
        <w:rPr>
          <w:sz w:val="20"/>
          <w:szCs w:val="20"/>
          <w:color w:val="auto"/>
        </w:rPr>
      </w:pPr>
      <w:r>
        <w:rPr>
          <w:rFonts w:ascii="Courier New" w:cs="Courier New" w:eastAsia="Courier New" w:hAnsi="Courier New"/>
          <w:sz w:val="18"/>
          <w:szCs w:val="18"/>
          <w:color w:val="auto"/>
        </w:rPr>
        <w:t>Outside the United States, the Flavor Group took steps to continue to grow our business. In Mexico, we acquired Grupo Pesa, a leading seasoning supplier to Mexico's food processing industry. In India, we formed a joint venture with A.V. Thomas Group called AVT-McCormick Ingredients Ltd. Located in Cochin, the new company will produce whole</w:t>
      </w:r>
    </w:p>
    <w:p>
      <w:pPr>
        <w:spacing w:after="0" w:line="7"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and ground naturally sterilized spices for direct shipment to Europe, the United States and other world markets. This acquisition is a strategic addition to our global supply network.</w:t>
      </w:r>
    </w:p>
    <w:p>
      <w:pPr>
        <w:spacing w:after="0" w:line="209"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Construction has also begun for a manufacturing facility in Guangzhou, China. It will produce sauces, syrups and toppings for major industrial and fast food customers. Production start-up is targeted for November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GILROY FOODS,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Gilroy Foods, McCormick's agriculturally-based California</w:t>
      </w:r>
    </w:p>
    <w:p>
      <w:pPr>
        <w:spacing w:after="0" w:line="238" w:lineRule="auto"/>
        <w:rPr>
          <w:sz w:val="20"/>
          <w:szCs w:val="20"/>
          <w:color w:val="auto"/>
        </w:rPr>
      </w:pPr>
      <w:r>
        <w:rPr>
          <w:rFonts w:ascii="Courier New" w:cs="Courier New" w:eastAsia="Courier New" w:hAnsi="Courier New"/>
          <w:sz w:val="18"/>
          <w:szCs w:val="18"/>
          <w:color w:val="auto"/>
        </w:rPr>
        <w:t>subsidiary, reported improved results over last year's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abnormally poor year. Sales and profits were up, but both failed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 objectives. Price competition and higher than expected costs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depressed margins. Additionally, delays in the start-up of Gilroy's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manufacturing facility in Egypt had an adverse profit impact.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There was continued growth for SupHerb Farms, our joint venture</w:t>
      </w:r>
    </w:p>
    <w:p>
      <w:pPr>
        <w:sectPr>
          <w:pgSz w:w="11900" w:h="16838" w:orient="portrait"/>
          <w:cols w:equalWidth="0" w:num="1">
            <w:col w:w="10219"/>
          </w:cols>
          <w:pgMar w:left="240" w:top="142" w:right="1440" w:bottom="0" w:gutter="0" w:footer="0" w:header="0"/>
        </w:sectPr>
      </w:pPr>
    </w:p>
    <w:bookmarkStart w:id="7" w:name="page8"/>
    <w:bookmarkEnd w:id="7"/>
    <w:p>
      <w:pPr>
        <w:ind w:right="3359"/>
        <w:spacing w:after="0" w:line="236" w:lineRule="auto"/>
        <w:rPr>
          <w:sz w:val="20"/>
          <w:szCs w:val="20"/>
          <w:color w:val="auto"/>
        </w:rPr>
      </w:pPr>
      <w:r>
        <w:rPr>
          <w:rFonts w:ascii="Courier New" w:cs="Courier New" w:eastAsia="Courier New" w:hAnsi="Courier New"/>
          <w:sz w:val="18"/>
          <w:szCs w:val="18"/>
          <w:color w:val="auto"/>
        </w:rPr>
        <w:t>with Daregal of France. Shipments of SupHerb's quick frozen herbs began this summer, and the response from our customers has been favorable.</w:t>
      </w:r>
    </w:p>
    <w:p>
      <w:pPr>
        <w:spacing w:after="0" w:line="209" w:lineRule="exact"/>
        <w:rPr>
          <w:sz w:val="20"/>
          <w:szCs w:val="20"/>
          <w:color w:val="auto"/>
        </w:rPr>
      </w:pPr>
    </w:p>
    <w:p>
      <w:pPr>
        <w:ind w:right="3479" w:firstLine="211"/>
        <w:spacing w:after="0" w:line="235" w:lineRule="auto"/>
        <w:rPr>
          <w:sz w:val="20"/>
          <w:szCs w:val="20"/>
          <w:color w:val="auto"/>
        </w:rPr>
      </w:pPr>
      <w:r>
        <w:rPr>
          <w:rFonts w:ascii="Courier New" w:cs="Courier New" w:eastAsia="Courier New" w:hAnsi="Courier New"/>
          <w:sz w:val="18"/>
          <w:szCs w:val="18"/>
          <w:color w:val="auto"/>
        </w:rPr>
        <w:t>Gilroy Energy Company concluded its seventh successful year of operation.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PACKAGING GROUP</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McCormick's Packaging Group, including Setco and Tubed Products, supplies plastic tubes and bottles to McCormick units and provides packaging for other customers in the pharmaceutical, cosmetics and food industries.</w:t>
      </w:r>
    </w:p>
    <w:p>
      <w:pPr>
        <w:spacing w:after="0" w:line="207" w:lineRule="exact"/>
        <w:rPr>
          <w:sz w:val="20"/>
          <w:szCs w:val="20"/>
          <w:color w:val="auto"/>
        </w:rPr>
      </w:pPr>
    </w:p>
    <w:p>
      <w:pPr>
        <w:ind w:right="3479" w:firstLine="211"/>
        <w:spacing w:after="0" w:line="237" w:lineRule="auto"/>
        <w:rPr>
          <w:sz w:val="20"/>
          <w:szCs w:val="20"/>
          <w:color w:val="auto"/>
        </w:rPr>
      </w:pPr>
      <w:r>
        <w:rPr>
          <w:rFonts w:ascii="Courier New" w:cs="Courier New" w:eastAsia="Courier New" w:hAnsi="Courier New"/>
          <w:sz w:val="18"/>
          <w:szCs w:val="18"/>
          <w:color w:val="auto"/>
        </w:rPr>
        <w:t>Tubed Products grew faster than the market in its specialized niche and had another successful year. At its Oxnard, California and Easthampton, Massachusetts plants, tube manufacturing and decorating lines were added.</w:t>
      </w:r>
    </w:p>
    <w:p>
      <w:pPr>
        <w:spacing w:after="0" w:line="207" w:lineRule="exact"/>
        <w:rPr>
          <w:sz w:val="20"/>
          <w:szCs w:val="20"/>
          <w:color w:val="auto"/>
        </w:rPr>
      </w:pPr>
    </w:p>
    <w:p>
      <w:pPr>
        <w:ind w:right="3579" w:firstLine="211"/>
        <w:spacing w:after="0" w:line="236" w:lineRule="auto"/>
        <w:rPr>
          <w:sz w:val="20"/>
          <w:szCs w:val="20"/>
          <w:color w:val="auto"/>
        </w:rPr>
      </w:pPr>
      <w:r>
        <w:rPr>
          <w:rFonts w:ascii="Courier New" w:cs="Courier New" w:eastAsia="Courier New" w:hAnsi="Courier New"/>
          <w:sz w:val="18"/>
          <w:szCs w:val="18"/>
          <w:color w:val="auto"/>
        </w:rPr>
        <w:t>In addition, the Company acquired Minipack Systems Limited of Hampshire, United Kingdom. Minipack produces plastic sample containers.</w:t>
      </w:r>
    </w:p>
    <w:p>
      <w:pPr>
        <w:spacing w:after="0" w:line="209" w:lineRule="exact"/>
        <w:rPr>
          <w:sz w:val="20"/>
          <w:szCs w:val="20"/>
          <w:color w:val="auto"/>
        </w:rPr>
      </w:pPr>
    </w:p>
    <w:p>
      <w:pPr>
        <w:ind w:right="3259" w:firstLine="211"/>
        <w:spacing w:after="0" w:line="273" w:lineRule="auto"/>
        <w:rPr>
          <w:sz w:val="20"/>
          <w:szCs w:val="20"/>
          <w:color w:val="auto"/>
        </w:rPr>
      </w:pPr>
      <w:r>
        <w:rPr>
          <w:rFonts w:ascii="Courier New" w:cs="Courier New" w:eastAsia="Courier New" w:hAnsi="Courier New"/>
          <w:sz w:val="16"/>
          <w:szCs w:val="16"/>
          <w:color w:val="auto"/>
        </w:rPr>
        <w:t>Results for Setco did not meet expectations. Price increases could not cover rapidly escalating raw material costs. Additionally, the unit's Brooklyn, New York, facility experienced operational problems which impacted profits. Improvements late in the year should yield better results in 1995.</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MANAGEMENT'S DISCUSSION AND ANALYSIS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 - 1994</w:t>
      </w:r>
    </w:p>
    <w:p>
      <w:pPr>
        <w:spacing w:after="0" w:line="4" w:lineRule="exact"/>
        <w:rPr>
          <w:sz w:val="20"/>
          <w:szCs w:val="20"/>
          <w:color w:val="auto"/>
        </w:rPr>
      </w:pPr>
    </w:p>
    <w:p>
      <w:pPr>
        <w:ind w:right="3159"/>
        <w:spacing w:after="0" w:line="238" w:lineRule="auto"/>
        <w:rPr>
          <w:sz w:val="20"/>
          <w:szCs w:val="20"/>
          <w:color w:val="auto"/>
        </w:rPr>
      </w:pPr>
      <w:r>
        <w:rPr>
          <w:rFonts w:ascii="Courier New" w:cs="Courier New" w:eastAsia="Courier New" w:hAnsi="Courier New"/>
          <w:sz w:val="18"/>
          <w:szCs w:val="18"/>
          <w:color w:val="auto"/>
        </w:rPr>
        <w:t>The Company earned $.75 per share in fiscal year 1994. This is a decrease from the $.89 reported in 1993 and $1.16 in 1992. The Company's 1994 earnings were reduced by a comprehensive restructuring plan of its business operations causing a one-time charge to earnings of $.57 per share. Earnings per share for 1993 were reduced by a $.33 one-time charge for an accounting change. Earnings growth of 8% before restructuring in 1994 and the accounting change in 1993 was below the Company's earnings growth objective of 15%. Contributing to the lower growth ratewere price and cost pressure in the industrial business, competitive conditions in North American consumer products and higher interest expenses.</w:t>
      </w:r>
    </w:p>
    <w:p>
      <w:pPr>
        <w:spacing w:after="0" w:line="201" w:lineRule="exact"/>
        <w:rPr>
          <w:sz w:val="20"/>
          <w:szCs w:val="20"/>
          <w:color w:val="auto"/>
        </w:rPr>
      </w:pPr>
    </w:p>
    <w:p>
      <w:pPr>
        <w:ind w:left="220"/>
        <w:spacing w:after="0"/>
        <w:tabs>
          <w:tab w:leader="none" w:pos="5260" w:val="left"/>
        </w:tabs>
        <w:rPr>
          <w:sz w:val="20"/>
          <w:szCs w:val="20"/>
          <w:color w:val="auto"/>
        </w:rPr>
      </w:pPr>
      <w:r>
        <w:rPr>
          <w:rFonts w:ascii="Courier New" w:cs="Courier New" w:eastAsia="Courier New" w:hAnsi="Courier New"/>
          <w:sz w:val="18"/>
          <w:szCs w:val="18"/>
          <w:color w:val="auto"/>
        </w:rPr>
        <w:t>Sales of $1.69 billion increased 9% over 1993.</w:t>
      </w:r>
      <w:r>
        <w:rPr>
          <w:sz w:val="20"/>
          <w:szCs w:val="20"/>
          <w:color w:val="auto"/>
        </w:rPr>
        <w:tab/>
      </w:r>
      <w:r>
        <w:rPr>
          <w:rFonts w:ascii="Courier New" w:cs="Courier New" w:eastAsia="Courier New" w:hAnsi="Courier New"/>
          <w:sz w:val="16"/>
          <w:szCs w:val="16"/>
          <w:color w:val="auto"/>
        </w:rPr>
        <w:t>In 1993,</w:t>
      </w:r>
    </w:p>
    <w:p>
      <w:pPr>
        <w:spacing w:after="0" w:line="238" w:lineRule="auto"/>
        <w:rPr>
          <w:sz w:val="20"/>
          <w:szCs w:val="20"/>
          <w:color w:val="auto"/>
        </w:rPr>
      </w:pPr>
      <w:r>
        <w:rPr>
          <w:rFonts w:ascii="Courier New" w:cs="Courier New" w:eastAsia="Courier New" w:hAnsi="Courier New"/>
          <w:sz w:val="18"/>
          <w:szCs w:val="18"/>
          <w:color w:val="auto"/>
        </w:rPr>
        <w:t>consolidated sales increased 6% over 1992. Sales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unconsolidated operations in 1994 were $342 million, an increase of</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10% over 1993.</w:t>
      </w:r>
      <w:r>
        <w:rPr>
          <w:sz w:val="20"/>
          <w:szCs w:val="20"/>
          <w:color w:val="auto"/>
        </w:rPr>
        <w:tab/>
      </w:r>
      <w:r>
        <w:rPr>
          <w:rFonts w:ascii="Courier New" w:cs="Courier New" w:eastAsia="Courier New" w:hAnsi="Courier New"/>
          <w:sz w:val="16"/>
          <w:szCs w:val="16"/>
          <w:color w:val="auto"/>
        </w:rPr>
        <w:t>In 1993, these operations increased sales 16% over</w:t>
      </w:r>
    </w:p>
    <w:p>
      <w:pPr>
        <w:spacing w:after="0" w:line="238" w:lineRule="auto"/>
        <w:rPr>
          <w:sz w:val="20"/>
          <w:szCs w:val="20"/>
          <w:color w:val="auto"/>
        </w:rPr>
      </w:pPr>
      <w:r>
        <w:rPr>
          <w:rFonts w:ascii="Courier New" w:cs="Courier New" w:eastAsia="Courier New" w:hAnsi="Courier New"/>
          <w:sz w:val="18"/>
          <w:szCs w:val="18"/>
          <w:color w:val="auto"/>
        </w:rPr>
        <w:t>1992.</w:t>
      </w:r>
    </w:p>
    <w:p>
      <w:pPr>
        <w:spacing w:after="0" w:line="207" w:lineRule="exact"/>
        <w:rPr>
          <w:sz w:val="20"/>
          <w:szCs w:val="20"/>
          <w:color w:val="auto"/>
        </w:rPr>
      </w:pPr>
    </w:p>
    <w:p>
      <w:pPr>
        <w:ind w:right="3159" w:firstLine="211"/>
        <w:spacing w:after="0" w:line="236" w:lineRule="auto"/>
        <w:rPr>
          <w:sz w:val="20"/>
          <w:szCs w:val="20"/>
          <w:color w:val="auto"/>
        </w:rPr>
      </w:pPr>
      <w:r>
        <w:rPr>
          <w:rFonts w:ascii="Courier New" w:cs="Courier New" w:eastAsia="Courier New" w:hAnsi="Courier New"/>
          <w:sz w:val="18"/>
          <w:szCs w:val="18"/>
          <w:color w:val="auto"/>
        </w:rPr>
        <w:t>Return on equity declined to 12.8% versus 22.0% in 1993 and 23.3% in 1992. Return on equity in 1994 before the effect of the restructuring charge was 22.1%.</w:t>
      </w:r>
    </w:p>
    <w:p>
      <w:pPr>
        <w:spacing w:after="0" w:line="209"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Gross profit was 37.1% of net sales in 1994 versus 38.7% in 1993. Profit from operations was 7.6% in 1994 versus 11.6% in 1993. The restructuring charge discussed above, equal to 4.2% of net sales, accounted for the decline.</w:t>
      </w:r>
    </w:p>
    <w:p>
      <w:pPr>
        <w:spacing w:after="0" w:line="207" w:lineRule="exact"/>
        <w:rPr>
          <w:sz w:val="20"/>
          <w:szCs w:val="20"/>
          <w:color w:val="auto"/>
        </w:rPr>
      </w:pPr>
    </w:p>
    <w:p>
      <w:pPr>
        <w:ind w:right="3259" w:firstLine="211"/>
        <w:spacing w:after="0" w:line="235" w:lineRule="auto"/>
        <w:rPr>
          <w:sz w:val="20"/>
          <w:szCs w:val="20"/>
          <w:color w:val="auto"/>
        </w:rPr>
      </w:pPr>
      <w:r>
        <w:rPr>
          <w:rFonts w:ascii="Courier New" w:cs="Courier New" w:eastAsia="Courier New" w:hAnsi="Courier New"/>
          <w:sz w:val="18"/>
          <w:szCs w:val="18"/>
          <w:color w:val="auto"/>
        </w:rPr>
        <w:t>Net income was 3.6% of net sales in 1994 versus 6.4% in 1993 and 6.5% in 1992.</w:t>
      </w:r>
    </w:p>
    <w:p>
      <w:pPr>
        <w:spacing w:after="0" w:line="20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Dividends were increased in December 1993 to an annual rate of</w:t>
      </w:r>
    </w:p>
    <w:p>
      <w:pPr>
        <w:spacing w:after="0" w:line="4" w:lineRule="exact"/>
        <w:rPr>
          <w:sz w:val="20"/>
          <w:szCs w:val="20"/>
          <w:color w:val="auto"/>
        </w:rPr>
      </w:pPr>
    </w:p>
    <w:p>
      <w:pPr>
        <w:jc w:val="both"/>
        <w:ind w:right="3159"/>
        <w:spacing w:after="0" w:line="236" w:lineRule="auto"/>
        <w:rPr>
          <w:sz w:val="20"/>
          <w:szCs w:val="20"/>
          <w:color w:val="auto"/>
        </w:rPr>
      </w:pPr>
      <w:r>
        <w:rPr>
          <w:rFonts w:ascii="Courier New" w:cs="Courier New" w:eastAsia="Courier New" w:hAnsi="Courier New"/>
          <w:sz w:val="18"/>
          <w:szCs w:val="18"/>
          <w:color w:val="auto"/>
        </w:rPr>
        <w:t>$.48 per share and again in December 1994 to $.52 per share. These dividend increases reflect management's continued confidence in the long-term outlook for the Company.</w:t>
      </w:r>
    </w:p>
    <w:p>
      <w:pPr>
        <w:spacing w:after="0" w:line="209"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Even in an environment of intense competition for shelf space and a focus on cost reduction and operating efficiencies within our industry, domestic consumer products reported higher sales and profits. This was a result of continued growth of product offerings on the perimeter of the grocery store, new products aimed at health-conscious consumers and price increases.</w:t>
      </w:r>
    </w:p>
    <w:p>
      <w:pPr>
        <w:spacing w:after="0" w:line="210"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The European Zone, aided by acquisitions, had excellent growth in sales and profits making 1994 a record financial year. Acquisitions in the United Kingdom, Switzerland and Finland added to our Number One position in the U.K. and the Swiss consumer markets and positioned us for growth in Scandinavia, Russia and Eastern Europe.</w:t>
      </w:r>
    </w:p>
    <w:p>
      <w:pPr>
        <w:sectPr>
          <w:pgSz w:w="11900" w:h="16838" w:orient="portrait"/>
          <w:cols w:equalWidth="0" w:num="1">
            <w:col w:w="10219"/>
          </w:cols>
          <w:pgMar w:left="240" w:top="142" w:right="1440" w:bottom="0" w:gutter="0" w:footer="0" w:header="0"/>
        </w:sectPr>
      </w:pPr>
    </w:p>
    <w:bookmarkStart w:id="8" w:name="page9"/>
    <w:bookmarkEnd w:id="8"/>
    <w:p>
      <w:pPr>
        <w:ind w:right="3680" w:firstLine="211"/>
        <w:spacing w:after="0" w:line="275" w:lineRule="auto"/>
        <w:rPr>
          <w:sz w:val="20"/>
          <w:szCs w:val="20"/>
          <w:color w:val="auto"/>
        </w:rPr>
      </w:pPr>
      <w:r>
        <w:rPr>
          <w:rFonts w:ascii="Courier New" w:cs="Courier New" w:eastAsia="Courier New" w:hAnsi="Courier New"/>
          <w:sz w:val="16"/>
          <w:szCs w:val="16"/>
          <w:color w:val="auto"/>
        </w:rPr>
        <w:t>In Asia/Pacific, sales and operating profit grew significantly despite adverse economic conditions in some areas. The acquisition of the Aeroplane Jelly (gelatin) brand from Traders Pty. in the fourth quarter of 1994 added to the excellent performance.</w:t>
      </w:r>
    </w:p>
    <w:p>
      <w:pPr>
        <w:spacing w:after="0" w:line="182" w:lineRule="exact"/>
        <w:rPr>
          <w:sz w:val="20"/>
          <w:szCs w:val="20"/>
          <w:color w:val="auto"/>
        </w:rPr>
      </w:pPr>
    </w:p>
    <w:p>
      <w:pPr>
        <w:ind w:right="3680" w:firstLine="211"/>
        <w:spacing w:after="0" w:line="268" w:lineRule="auto"/>
        <w:rPr>
          <w:sz w:val="20"/>
          <w:szCs w:val="20"/>
          <w:color w:val="auto"/>
        </w:rPr>
      </w:pPr>
      <w:r>
        <w:rPr>
          <w:rFonts w:ascii="Courier New" w:cs="Courier New" w:eastAsia="Courier New" w:hAnsi="Courier New"/>
          <w:sz w:val="16"/>
          <w:szCs w:val="16"/>
          <w:color w:val="auto"/>
        </w:rPr>
        <w:t>Most of our industrial businesses reported significant sales increases during 1994. The exception was our Food Service Division which lost sales volume as a result of consolidations in the warehouse club market. Our Gilroy Foods unit improved operating profit margins after a year in which higher onion costs materially reduced Gilroy's margins. Our industrial flavor and seasoning business had an excellent year in terms of sales growth as</w:t>
      </w:r>
    </w:p>
    <w:p>
      <w:pPr>
        <w:spacing w:after="0" w:line="1" w:lineRule="exact"/>
        <w:rPr>
          <w:sz w:val="20"/>
          <w:szCs w:val="20"/>
          <w:color w:val="auto"/>
        </w:rPr>
      </w:pPr>
    </w:p>
    <w:p>
      <w:pPr>
        <w:ind w:right="3580"/>
        <w:spacing w:after="0" w:line="275" w:lineRule="auto"/>
        <w:rPr>
          <w:sz w:val="20"/>
          <w:szCs w:val="20"/>
          <w:color w:val="auto"/>
        </w:rPr>
      </w:pPr>
      <w:r>
        <w:rPr>
          <w:rFonts w:ascii="Courier New" w:cs="Courier New" w:eastAsia="Courier New" w:hAnsi="Courier New"/>
          <w:sz w:val="16"/>
          <w:szCs w:val="16"/>
          <w:color w:val="auto"/>
        </w:rPr>
        <w:t>we became the supplier of choice with many of our industrial customers. However, gross margins came under pressure due to increased costs in several commodities. As a result, this business reported lower operating profit in 1994 compared to 1993.</w:t>
      </w:r>
    </w:p>
    <w:p>
      <w:pPr>
        <w:spacing w:after="0" w:line="182" w:lineRule="exact"/>
        <w:rPr>
          <w:sz w:val="20"/>
          <w:szCs w:val="20"/>
          <w:color w:val="auto"/>
        </w:rPr>
      </w:pPr>
    </w:p>
    <w:p>
      <w:pPr>
        <w:ind w:right="3580" w:firstLine="211"/>
        <w:spacing w:after="0" w:line="237" w:lineRule="auto"/>
        <w:rPr>
          <w:sz w:val="20"/>
          <w:szCs w:val="20"/>
          <w:color w:val="auto"/>
        </w:rPr>
      </w:pPr>
      <w:r>
        <w:rPr>
          <w:rFonts w:ascii="Courier New" w:cs="Courier New" w:eastAsia="Courier New" w:hAnsi="Courier New"/>
          <w:sz w:val="18"/>
          <w:szCs w:val="18"/>
          <w:color w:val="auto"/>
        </w:rPr>
        <w:t>Sales at our packaging operations increased significantly in 1994. Profits were not up to expectations due in large part to temporarily higher costs associated with the integration of a 1993 acquisition. During 1994, the Company made its first packaging acquisition outside the United States with the purchase of Minipack Systems Limited in the United Kingdom.</w:t>
      </w:r>
    </w:p>
    <w:p>
      <w:pPr>
        <w:spacing w:after="0" w:line="210" w:lineRule="exact"/>
        <w:rPr>
          <w:sz w:val="20"/>
          <w:szCs w:val="20"/>
          <w:color w:val="auto"/>
        </w:rPr>
      </w:pPr>
    </w:p>
    <w:p>
      <w:pPr>
        <w:ind w:right="3580" w:firstLine="211"/>
        <w:spacing w:after="0" w:line="237" w:lineRule="auto"/>
        <w:rPr>
          <w:sz w:val="20"/>
          <w:szCs w:val="20"/>
          <w:color w:val="auto"/>
        </w:rPr>
      </w:pPr>
      <w:r>
        <w:rPr>
          <w:rFonts w:ascii="Courier New" w:cs="Courier New" w:eastAsia="Courier New" w:hAnsi="Courier New"/>
          <w:sz w:val="18"/>
          <w:szCs w:val="18"/>
          <w:color w:val="auto"/>
        </w:rPr>
        <w:t>Earnings of our unconsolidated joint ventures decreased to $8 million in 1994 from $10 million in 1993. McCormick de Mexico, the largest of our unconsolidated joint ventures, incurred higher marketing expense in an intensely competitive marketplace in order to maintain market share.</w:t>
      </w:r>
    </w:p>
    <w:p>
      <w:pPr>
        <w:spacing w:after="0" w:line="209" w:lineRule="exact"/>
        <w:rPr>
          <w:sz w:val="20"/>
          <w:szCs w:val="20"/>
          <w:color w:val="auto"/>
        </w:rPr>
      </w:pPr>
    </w:p>
    <w:p>
      <w:pPr>
        <w:ind w:right="4100" w:firstLine="211"/>
        <w:spacing w:after="0" w:line="275" w:lineRule="auto"/>
        <w:rPr>
          <w:sz w:val="20"/>
          <w:szCs w:val="20"/>
          <w:color w:val="auto"/>
        </w:rPr>
      </w:pPr>
      <w:r>
        <w:rPr>
          <w:rFonts w:ascii="Courier New" w:cs="Courier New" w:eastAsia="Courier New" w:hAnsi="Courier New"/>
          <w:sz w:val="16"/>
          <w:szCs w:val="16"/>
          <w:color w:val="auto"/>
        </w:rPr>
        <w:t>We are confident that our focus on increasing global market share, new products that meet changing consumer trends, cost containment, total quality, and superior customer service will continue to increase shareholder value.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NET SALES ($ MILLIONS)</w:t>
      </w:r>
    </w:p>
    <w:p>
      <w:pPr>
        <w:spacing w:after="0" w:line="207" w:lineRule="exact"/>
        <w:rPr>
          <w:sz w:val="20"/>
          <w:szCs w:val="20"/>
          <w:color w:val="auto"/>
        </w:rPr>
      </w:pPr>
    </w:p>
    <w:p>
      <w:pPr>
        <w:ind w:right="3900"/>
        <w:spacing w:after="0" w:line="237" w:lineRule="auto"/>
        <w:rPr>
          <w:sz w:val="20"/>
          <w:szCs w:val="20"/>
          <w:color w:val="auto"/>
        </w:rPr>
      </w:pPr>
      <w:r>
        <w:rPr>
          <w:rFonts w:ascii="Courier New" w:cs="Courier New" w:eastAsia="Courier New" w:hAnsi="Courier New"/>
          <w:sz w:val="18"/>
          <w:szCs w:val="18"/>
          <w:color w:val="auto"/>
        </w:rPr>
        <w:t>[At this point a bar graph entitled Consolidated Net Sales depicting consolidated net sales in millions of dollars for the fiscal years 1990 through 1994 appears and is represented by the following table]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YEAR</w:t>
            </w:r>
          </w:p>
        </w:tc>
        <w:tc>
          <w:tcPr>
            <w:tcW w:w="4420" w:type="dxa"/>
            <w:vAlign w:val="bottom"/>
          </w:tcPr>
          <w:p>
            <w:pPr>
              <w:jc w:val="right"/>
              <w:spacing w:after="0"/>
              <w:rPr>
                <w:sz w:val="20"/>
                <w:szCs w:val="20"/>
                <w:color w:val="auto"/>
              </w:rPr>
            </w:pPr>
            <w:r>
              <w:rPr>
                <w:rFonts w:ascii="Courier New" w:cs="Courier New" w:eastAsia="Courier New" w:hAnsi="Courier New"/>
                <w:sz w:val="18"/>
                <w:szCs w:val="18"/>
                <w:color w:val="auto"/>
              </w:rPr>
              <w:t>CONSOLIDATED NET SALES ($MILLIONS)</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1990</w:t>
            </w:r>
          </w:p>
        </w:tc>
        <w:tc>
          <w:tcPr>
            <w:tcW w:w="442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1,323</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1991</w:t>
            </w:r>
          </w:p>
        </w:tc>
        <w:tc>
          <w:tcPr>
            <w:tcW w:w="442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1,428</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442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1,471</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442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1,557</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442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1,694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26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1994</w:t>
            </w:r>
          </w:p>
        </w:tc>
        <w:tc>
          <w:tcPr>
            <w:tcW w:w="11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1993</w:t>
            </w:r>
          </w:p>
        </w:tc>
        <w:tc>
          <w:tcPr>
            <w:tcW w:w="160" w:type="dxa"/>
            <w:vAlign w:val="bottom"/>
          </w:tcPr>
          <w:p>
            <w:pPr>
              <w:spacing w:after="0"/>
              <w:rPr>
                <w:sz w:val="24"/>
                <w:szCs w:val="24"/>
                <w:color w:val="auto"/>
              </w:rPr>
            </w:pPr>
          </w:p>
        </w:tc>
        <w:tc>
          <w:tcPr>
            <w:tcW w:w="90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2"/>
              </w:rPr>
              <w:t>1992</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1994</w:t>
            </w:r>
          </w:p>
        </w:tc>
        <w:tc>
          <w:tcPr>
            <w:tcW w:w="10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1993</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1992</w:t>
            </w:r>
          </w:p>
        </w:tc>
      </w:tr>
      <w:tr>
        <w:trPr>
          <w:trHeight w:val="405"/>
        </w:trPr>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rPr>
              <w:t>(in millions)</w:t>
            </w:r>
          </w:p>
        </w:tc>
        <w:tc>
          <w:tcPr>
            <w:tcW w:w="160" w:type="dxa"/>
            <w:vAlign w:val="bottom"/>
          </w:tcPr>
          <w:p>
            <w:pPr>
              <w:spacing w:after="0"/>
              <w:rPr>
                <w:sz w:val="24"/>
                <w:szCs w:val="24"/>
                <w:color w:val="auto"/>
              </w:rPr>
            </w:pPr>
          </w:p>
        </w:tc>
        <w:tc>
          <w:tcPr>
            <w:tcW w:w="28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(percentage of total)</w:t>
            </w:r>
          </w:p>
        </w:tc>
        <w:tc>
          <w:tcPr>
            <w:tcW w:w="640" w:type="dxa"/>
            <w:vAlign w:val="bottom"/>
          </w:tcPr>
          <w:p>
            <w:pPr>
              <w:spacing w:after="0"/>
              <w:rPr>
                <w:sz w:val="24"/>
                <w:szCs w:val="24"/>
                <w:color w:val="auto"/>
              </w:rPr>
            </w:pP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Americas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716.6</w:t>
            </w:r>
          </w:p>
        </w:tc>
        <w:tc>
          <w:tcPr>
            <w:tcW w:w="380" w:type="dxa"/>
            <w:vAlign w:val="bottom"/>
          </w:tcPr>
          <w:p>
            <w:pPr>
              <w:ind w:left="260"/>
              <w:spacing w:after="0"/>
              <w:rPr>
                <w:sz w:val="20"/>
                <w:szCs w:val="20"/>
                <w:color w:val="auto"/>
              </w:rPr>
            </w:pPr>
            <w:r>
              <w:rPr>
                <w:rFonts w:ascii="Courier New" w:cs="Courier New" w:eastAsia="Courier New" w:hAnsi="Courier New"/>
                <w:sz w:val="18"/>
                <w:szCs w:val="18"/>
                <w:color w:val="auto"/>
                <w:w w:val="92"/>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706.0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678.1</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42.2%</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45.4%</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46.1%</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Europe</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238.4</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201.0</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Asia/Pacific</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33.4</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28.0</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Industrial</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524.7</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422.8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30.9%</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29.3%</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Packaging</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141.7</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Food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Packaging</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1,654.8</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1,514.8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1,427.1</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97.6%</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97.3%</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Gilroy Energy</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40.0</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1,694.8</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1,556.6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1,471.4</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6"/>
              </w:rPr>
              <w:t>Percentage Change</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7"/>
              </w:rPr>
              <w:t>1994</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ind w:left="200"/>
              <w:spacing w:after="0"/>
              <w:rPr>
                <w:sz w:val="20"/>
                <w:szCs w:val="20"/>
                <w:color w:val="auto"/>
              </w:rPr>
            </w:pPr>
            <w:r>
              <w:rPr>
                <w:rFonts w:ascii="Courier New" w:cs="Courier New" w:eastAsia="Courier New" w:hAnsi="Courier New"/>
                <w:sz w:val="18"/>
                <w:szCs w:val="18"/>
                <w:color w:val="auto"/>
              </w:rPr>
              <w:t>1993</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ind w:left="200"/>
              <w:spacing w:after="0"/>
              <w:rPr>
                <w:sz w:val="20"/>
                <w:szCs w:val="20"/>
                <w:color w:val="auto"/>
              </w:rPr>
            </w:pPr>
            <w:r>
              <w:rPr>
                <w:rFonts w:ascii="Courier New" w:cs="Courier New" w:eastAsia="Courier New" w:hAnsi="Courier New"/>
                <w:sz w:val="18"/>
                <w:szCs w:val="18"/>
                <w:color w:val="auto"/>
              </w:rPr>
              <w:t>1992</w:t>
            </w:r>
          </w:p>
        </w:tc>
        <w:tc>
          <w:tcPr>
            <w:tcW w:w="840" w:type="dxa"/>
            <w:vAlign w:val="bottom"/>
          </w:tcPr>
          <w:p>
            <w:pPr>
              <w:spacing w:after="0"/>
              <w:rPr>
                <w:sz w:val="17"/>
                <w:szCs w:val="17"/>
                <w:color w:val="auto"/>
              </w:rPr>
            </w:pPr>
          </w:p>
        </w:tc>
      </w:tr>
      <w:tr>
        <w:trPr>
          <w:trHeight w:val="405"/>
        </w:trPr>
        <w:tc>
          <w:tcPr>
            <w:tcW w:w="2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Total</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8"/>
              </w:rPr>
              <w:t>Volume</w:t>
            </w: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Price</w:t>
            </w:r>
          </w:p>
        </w:tc>
        <w:tc>
          <w:tcPr>
            <w:tcW w:w="1060" w:type="dxa"/>
            <w:vAlign w:val="bottom"/>
          </w:tcPr>
          <w:p>
            <w:pPr>
              <w:ind w:left="200"/>
              <w:spacing w:after="0"/>
              <w:rPr>
                <w:sz w:val="20"/>
                <w:szCs w:val="20"/>
                <w:color w:val="auto"/>
              </w:rPr>
            </w:pPr>
            <w:r>
              <w:rPr>
                <w:rFonts w:ascii="Courier New" w:cs="Courier New" w:eastAsia="Courier New" w:hAnsi="Courier New"/>
                <w:sz w:val="18"/>
                <w:szCs w:val="18"/>
                <w:color w:val="auto"/>
              </w:rPr>
              <w:t>Total</w:t>
            </w:r>
          </w:p>
        </w:tc>
        <w:tc>
          <w:tcPr>
            <w:tcW w:w="1040" w:type="dxa"/>
            <w:vAlign w:val="bottom"/>
          </w:tcPr>
          <w:p>
            <w:pPr>
              <w:ind w:left="200"/>
              <w:spacing w:after="0"/>
              <w:rPr>
                <w:sz w:val="20"/>
                <w:szCs w:val="20"/>
                <w:color w:val="auto"/>
              </w:rPr>
            </w:pPr>
            <w:r>
              <w:rPr>
                <w:rFonts w:ascii="Courier New" w:cs="Courier New" w:eastAsia="Courier New" w:hAnsi="Courier New"/>
                <w:sz w:val="18"/>
                <w:szCs w:val="18"/>
                <w:color w:val="auto"/>
              </w:rPr>
              <w:t>Volume</w:t>
            </w: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Price</w:t>
            </w:r>
          </w:p>
        </w:tc>
        <w:tc>
          <w:tcPr>
            <w:tcW w:w="1060" w:type="dxa"/>
            <w:vAlign w:val="bottom"/>
          </w:tcPr>
          <w:p>
            <w:pPr>
              <w:ind w:left="200"/>
              <w:spacing w:after="0"/>
              <w:rPr>
                <w:sz w:val="20"/>
                <w:szCs w:val="20"/>
                <w:color w:val="auto"/>
              </w:rPr>
            </w:pPr>
            <w:r>
              <w:rPr>
                <w:rFonts w:ascii="Courier New" w:cs="Courier New" w:eastAsia="Courier New" w:hAnsi="Courier New"/>
                <w:sz w:val="18"/>
                <w:szCs w:val="18"/>
                <w:color w:val="auto"/>
              </w:rPr>
              <w:t>Total</w:t>
            </w:r>
          </w:p>
        </w:tc>
        <w:tc>
          <w:tcPr>
            <w:tcW w:w="1040" w:type="dxa"/>
            <w:vAlign w:val="bottom"/>
          </w:tcPr>
          <w:p>
            <w:pPr>
              <w:ind w:left="200"/>
              <w:spacing w:after="0"/>
              <w:rPr>
                <w:sz w:val="20"/>
                <w:szCs w:val="20"/>
                <w:color w:val="auto"/>
              </w:rPr>
            </w:pPr>
            <w:r>
              <w:rPr>
                <w:rFonts w:ascii="Courier New" w:cs="Courier New" w:eastAsia="Courier New" w:hAnsi="Courier New"/>
                <w:sz w:val="18"/>
                <w:szCs w:val="18"/>
                <w:color w:val="auto"/>
              </w:rPr>
              <w:t>Volume</w:t>
            </w:r>
          </w:p>
        </w:tc>
        <w:tc>
          <w:tcPr>
            <w:tcW w:w="840" w:type="dxa"/>
            <w:vAlign w:val="bottom"/>
          </w:tcPr>
          <w:p>
            <w:pPr>
              <w:ind w:left="220"/>
              <w:spacing w:after="0"/>
              <w:rPr>
                <w:sz w:val="20"/>
                <w:szCs w:val="20"/>
                <w:color w:val="auto"/>
              </w:rPr>
            </w:pPr>
            <w:r>
              <w:rPr>
                <w:rFonts w:ascii="Courier New" w:cs="Courier New" w:eastAsia="Courier New" w:hAnsi="Courier New"/>
                <w:sz w:val="18"/>
                <w:szCs w:val="18"/>
                <w:color w:val="auto"/>
              </w:rPr>
              <w:t>Price</w:t>
            </w:r>
          </w:p>
        </w:tc>
      </w:tr>
      <w:tr>
        <w:trPr>
          <w:trHeight w:val="203"/>
        </w:trPr>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Change</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Change</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w:t>
            </w:r>
          </w:p>
        </w:tc>
        <w:tc>
          <w:tcPr>
            <w:tcW w:w="1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Change</w:t>
            </w: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Change</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w:t>
            </w:r>
          </w:p>
        </w:tc>
        <w:tc>
          <w:tcPr>
            <w:tcW w:w="1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Change</w:t>
            </w: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Change</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Change</w:t>
            </w:r>
          </w:p>
        </w:tc>
      </w:tr>
    </w:tbl>
    <w:p>
      <w:pPr>
        <w:sectPr>
          <w:pgSz w:w="11900" w:h="16838" w:orient="portrait"/>
          <w:cols w:equalWidth="0" w:num="1">
            <w:col w:w="10640"/>
          </w:cols>
          <w:pgMar w:left="240" w:top="344" w:right="101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Americas</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0.3%</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4.1%</w:t>
            </w: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4.7%</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(0.6)%</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Europe</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18.5%</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14.9%</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9.9%</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Asia/Pacific</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27.4%</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27.8%</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Industrial</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14.9%</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13.7%</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9.5%</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Packaging</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13.4%</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28.6%</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25.5%</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Food and</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Packaging</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8.1%</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Gilroy Energy</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0.8%</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8.9%</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w:t>
      </w:r>
    </w:p>
    <w:p>
      <w:pPr>
        <w:spacing w:after="0" w:line="207" w:lineRule="exact"/>
        <w:rPr>
          <w:sz w:val="20"/>
          <w:szCs w:val="20"/>
          <w:color w:val="auto"/>
        </w:rPr>
      </w:pPr>
    </w:p>
    <w:p>
      <w:pPr>
        <w:ind w:right="420"/>
        <w:spacing w:after="0" w:line="236" w:lineRule="auto"/>
        <w:rPr>
          <w:sz w:val="20"/>
          <w:szCs w:val="20"/>
          <w:color w:val="auto"/>
        </w:rPr>
      </w:pPr>
      <w:r>
        <w:rPr>
          <w:rFonts w:ascii="Courier New" w:cs="Courier New" w:eastAsia="Courier New" w:hAnsi="Courier New"/>
          <w:sz w:val="18"/>
          <w:szCs w:val="18"/>
          <w:color w:val="auto"/>
        </w:rPr>
        <w:t>Sales from consolidated operations grew by 9% in 1994 to a record level of $1.69 billion. Sales in 1993 of $1.56 billion increased 6% over 1992.</w:t>
      </w:r>
    </w:p>
    <w:p>
      <w:pPr>
        <w:spacing w:after="0" w:line="209" w:lineRule="exact"/>
        <w:rPr>
          <w:sz w:val="20"/>
          <w:szCs w:val="20"/>
          <w:color w:val="auto"/>
        </w:rPr>
      </w:pPr>
    </w:p>
    <w:p>
      <w:pPr>
        <w:ind w:right="420" w:firstLine="211"/>
        <w:spacing w:after="0" w:line="268" w:lineRule="auto"/>
        <w:rPr>
          <w:sz w:val="20"/>
          <w:szCs w:val="20"/>
          <w:color w:val="auto"/>
        </w:rPr>
      </w:pPr>
      <w:r>
        <w:rPr>
          <w:rFonts w:ascii="Courier New" w:cs="Courier New" w:eastAsia="Courier New" w:hAnsi="Courier New"/>
          <w:sz w:val="16"/>
          <w:szCs w:val="16"/>
          <w:color w:val="auto"/>
        </w:rPr>
        <w:t>Sales of the Americas Zone include our domestic consumer products business, the Food Service Division, Golden West Foods, and wholly owned subsidiaries in Canada, where the Club House brand is marketed, El Salvador, and Venezuela. This area is our largest and most mature market. It is also highly competitive, making distribution gains more challenging than in the past. Despite these difficult conditions, sales were up modestly for 1994, with</w:t>
      </w:r>
    </w:p>
    <w:p>
      <w:pPr>
        <w:spacing w:after="0" w:line="1" w:lineRule="exact"/>
        <w:rPr>
          <w:sz w:val="20"/>
          <w:szCs w:val="20"/>
          <w:color w:val="auto"/>
        </w:rPr>
      </w:pPr>
    </w:p>
    <w:p>
      <w:pPr>
        <w:ind w:right="420"/>
        <w:spacing w:after="0" w:line="270" w:lineRule="auto"/>
        <w:rPr>
          <w:sz w:val="20"/>
          <w:szCs w:val="20"/>
          <w:color w:val="auto"/>
        </w:rPr>
      </w:pPr>
      <w:r>
        <w:rPr>
          <w:rFonts w:ascii="Courier New" w:cs="Courier New" w:eastAsia="Courier New" w:hAnsi="Courier New"/>
          <w:sz w:val="16"/>
          <w:szCs w:val="16"/>
          <w:color w:val="auto"/>
        </w:rPr>
        <w:t>gains similar to 1993. New products introduced by McCormick/Schilling that follow consumer eating trends to more ethnic, value-added, and healthy foods contributed to sales growth. We also introduced new products into the categories that occupy the perimeter of the grocery store which is the most heavily traveled part of the store. Old Bay Fat Free Tartar &amp; Cocktail Sauces and Golden Dipt Fat Free Marinades target both the health trend and the perimeter marketing strategy. Food Service sales to distributors increased at a rate greater than the market. However, these gains were offset by distribution losses to warehouse clubs as that market channel continued to consolidate. McCormick Canada showed healthy growth in a flat market due to the introduction of new products and expanded distribution. The operations in El Salvador and Venezuela had exceptional years with a combined increase greater than our Corporate objective.</w:t>
      </w:r>
    </w:p>
    <w:p>
      <w:pPr>
        <w:spacing w:after="0" w:line="387" w:lineRule="exact"/>
        <w:rPr>
          <w:sz w:val="20"/>
          <w:szCs w:val="20"/>
          <w:color w:val="auto"/>
        </w:rPr>
      </w:pPr>
    </w:p>
    <w:p>
      <w:pPr>
        <w:ind w:right="1260" w:firstLine="211"/>
        <w:spacing w:after="0" w:line="235" w:lineRule="auto"/>
        <w:rPr>
          <w:sz w:val="20"/>
          <w:szCs w:val="20"/>
          <w:color w:val="auto"/>
        </w:rPr>
      </w:pPr>
      <w:r>
        <w:rPr>
          <w:rFonts w:ascii="Courier New" w:cs="Courier New" w:eastAsia="Courier New" w:hAnsi="Courier New"/>
          <w:sz w:val="18"/>
          <w:szCs w:val="18"/>
          <w:color w:val="auto"/>
        </w:rPr>
        <w:t>We will continue to support a strategy of introducing new products into the higher traffic areas of the grocery</w:t>
      </w:r>
    </w:p>
    <w:p>
      <w:pPr>
        <w:spacing w:after="0" w:line="6" w:lineRule="exact"/>
        <w:rPr>
          <w:sz w:val="20"/>
          <w:szCs w:val="20"/>
          <w:color w:val="auto"/>
        </w:rPr>
      </w:pPr>
    </w:p>
    <w:p>
      <w:pPr>
        <w:ind w:right="520"/>
        <w:spacing w:after="0" w:line="272" w:lineRule="auto"/>
        <w:rPr>
          <w:sz w:val="20"/>
          <w:szCs w:val="20"/>
          <w:color w:val="auto"/>
        </w:rPr>
      </w:pPr>
      <w:r>
        <w:rPr>
          <w:rFonts w:ascii="Courier New" w:cs="Courier New" w:eastAsia="Courier New" w:hAnsi="Courier New"/>
          <w:sz w:val="16"/>
          <w:szCs w:val="16"/>
          <w:color w:val="auto"/>
        </w:rPr>
        <w:t>store as well as new products that meet changing consumer eating trends. As with last year, high levels of discounts and allowances are being required to defend our distribution base. We are firmly committed to strengthen our leadership position, support the McCormick brand and aggressively pursue market share in a highly competitive environment that is likely to continue in 1995.</w:t>
      </w:r>
    </w:p>
    <w:p>
      <w:pPr>
        <w:spacing w:after="0" w:line="186" w:lineRule="exact"/>
        <w:rPr>
          <w:sz w:val="20"/>
          <w:szCs w:val="20"/>
          <w:color w:val="auto"/>
        </w:rPr>
      </w:pPr>
    </w:p>
    <w:p>
      <w:pPr>
        <w:ind w:right="420" w:firstLine="211"/>
        <w:spacing w:after="0" w:line="237" w:lineRule="auto"/>
        <w:rPr>
          <w:sz w:val="20"/>
          <w:szCs w:val="20"/>
          <w:color w:val="auto"/>
        </w:rPr>
      </w:pPr>
      <w:r>
        <w:rPr>
          <w:rFonts w:ascii="Courier New" w:cs="Courier New" w:eastAsia="Courier New" w:hAnsi="Courier New"/>
          <w:sz w:val="18"/>
          <w:szCs w:val="18"/>
          <w:color w:val="auto"/>
        </w:rPr>
        <w:t>Sales in the European Zone grew significantly, with contributions from acquisitions made during 1994 in Finland, Switzerland and the U.K. Our retail business in the U.K. added line extensions to the very successful Creamy Pepper dry pour-over sauce, which has become one of the highest selling items under the Schwartz label. The acquisition in Finland has gained new distribution in the Baltic States and Russia.</w:t>
      </w:r>
    </w:p>
    <w:p>
      <w:pPr>
        <w:spacing w:after="0" w:line="211" w:lineRule="exact"/>
        <w:rPr>
          <w:sz w:val="20"/>
          <w:szCs w:val="20"/>
          <w:color w:val="auto"/>
        </w:rPr>
      </w:pPr>
    </w:p>
    <w:p>
      <w:pPr>
        <w:ind w:right="420" w:firstLine="211"/>
        <w:spacing w:after="0" w:line="237" w:lineRule="auto"/>
        <w:rPr>
          <w:sz w:val="20"/>
          <w:szCs w:val="20"/>
          <w:color w:val="auto"/>
        </w:rPr>
      </w:pPr>
      <w:r>
        <w:rPr>
          <w:rFonts w:ascii="Courier New" w:cs="Courier New" w:eastAsia="Courier New" w:hAnsi="Courier New"/>
          <w:sz w:val="18"/>
          <w:szCs w:val="18"/>
          <w:color w:val="auto"/>
        </w:rPr>
        <w:t>Asia/Pacific sales grew to record levels in 1994 as sales to fast food operators were a significant factor in this growth. The acquisition of the Aeroplane Jelly brand in the fourth quarter also contributed, and adds a new category, desserts, to our product offerings in the region.</w:t>
      </w:r>
    </w:p>
    <w:p>
      <w:pPr>
        <w:spacing w:after="0" w:line="209" w:lineRule="exact"/>
        <w:rPr>
          <w:sz w:val="20"/>
          <w:szCs w:val="20"/>
          <w:color w:val="auto"/>
        </w:rPr>
      </w:pPr>
    </w:p>
    <w:p>
      <w:pPr>
        <w:ind w:right="420" w:firstLine="211"/>
        <w:spacing w:after="0" w:line="238" w:lineRule="auto"/>
        <w:rPr>
          <w:sz w:val="20"/>
          <w:szCs w:val="20"/>
          <w:color w:val="auto"/>
        </w:rPr>
      </w:pPr>
      <w:r>
        <w:rPr>
          <w:rFonts w:ascii="Courier New" w:cs="Courier New" w:eastAsia="Courier New" w:hAnsi="Courier New"/>
          <w:sz w:val="18"/>
          <w:szCs w:val="18"/>
          <w:color w:val="auto"/>
        </w:rPr>
        <w:t>Industrial sales were up in 1994 due to our continued success with leading restaurant chains and food processing companies. Our full array of products from basic ingredients to highly sophisticated flavors, plus a reputation for service, quality and product development, make us the supplier of choice with our customers. These capabilities have led to success in supplying seasonings for a number of new salty snack products as well as the highly successful rotisserie chicken products offered by many restaurants. Also adding to our growth is the fact that our customers are consolidating their suppliers in an attempt to reduce costs. Due to our "one-stop shopping" capabilities, we are increasing our volumes with them.</w:t>
      </w:r>
    </w:p>
    <w:p>
      <w:pPr>
        <w:spacing w:after="0" w:line="207" w:lineRule="exact"/>
        <w:rPr>
          <w:sz w:val="20"/>
          <w:szCs w:val="20"/>
          <w:color w:val="auto"/>
        </w:rPr>
      </w:pPr>
    </w:p>
    <w:p>
      <w:pPr>
        <w:ind w:right="740" w:firstLine="211"/>
        <w:spacing w:after="0" w:line="273" w:lineRule="auto"/>
        <w:rPr>
          <w:sz w:val="20"/>
          <w:szCs w:val="20"/>
          <w:color w:val="auto"/>
        </w:rPr>
      </w:pPr>
      <w:r>
        <w:rPr>
          <w:rFonts w:ascii="Courier New" w:cs="Courier New" w:eastAsia="Courier New" w:hAnsi="Courier New"/>
          <w:sz w:val="16"/>
          <w:szCs w:val="16"/>
          <w:color w:val="auto"/>
        </w:rPr>
        <w:t>Our packaging business grew in 1994 due to market growth and increased penetration of those markets. We have added production lines at Tubed Products' facilities and entered into the international market with the acquisition of Minipack Systems in the United Kingdom. Minipack produces sample size replicas of</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(6.9)%</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(7.4)%</w:t>
            </w: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0.5%</w:t>
            </w:r>
          </w:p>
        </w:tc>
      </w:tr>
      <w:tr>
        <w:trPr>
          <w:trHeight w:val="203"/>
        </w:trPr>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14.8%</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11.0%</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10.6%</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10.4%</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12.8%</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32.4%</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34.3%</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(1.9)%</w:t>
            </w:r>
          </w:p>
        </w:tc>
      </w:tr>
      <w:tr>
        <w:trPr>
          <w:trHeight w:val="405"/>
        </w:trPr>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3.0%</w:t>
            </w:r>
          </w:p>
        </w:tc>
        <w:tc>
          <w:tcPr>
            <w:tcW w:w="10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3.1%</w:t>
            </w: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w w:val="92"/>
              </w:rPr>
              <w:t>(0.1)%</w:t>
            </w:r>
          </w:p>
        </w:tc>
      </w:tr>
      <w:tr>
        <w:trPr>
          <w:trHeight w:val="203"/>
        </w:trPr>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4.3%</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(0.1)%</w:t>
            </w:r>
          </w:p>
        </w:tc>
      </w:tr>
    </w:tbl>
    <w:p>
      <w:pPr>
        <w:sectPr>
          <w:pgSz w:w="11900" w:h="16838" w:orient="portrait"/>
          <w:cols w:equalWidth="0" w:num="2">
            <w:col w:w="7480" w:space="420"/>
            <w:col w:w="2740"/>
          </w:cols>
          <w:pgMar w:left="240" w:top="136" w:right="1019" w:bottom="0" w:gutter="0" w:footer="0" w:header="0"/>
        </w:sectPr>
      </w:pPr>
    </w:p>
    <w:bookmarkStart w:id="10" w:name="page11"/>
    <w:bookmarkEnd w:id="10"/>
    <w:p>
      <w:pPr>
        <w:ind w:right="3259"/>
        <w:spacing w:after="0" w:line="237" w:lineRule="auto"/>
        <w:rPr>
          <w:sz w:val="20"/>
          <w:szCs w:val="20"/>
          <w:color w:val="auto"/>
        </w:rPr>
      </w:pPr>
      <w:r>
        <w:rPr>
          <w:rFonts w:ascii="Courier New" w:cs="Courier New" w:eastAsia="Courier New" w:hAnsi="Courier New"/>
          <w:sz w:val="18"/>
          <w:szCs w:val="18"/>
          <w:color w:val="auto"/>
        </w:rPr>
        <w:t>branded products. This acquisition complements our portfolio of high value-added, niche packaging products. These investments will enable us to continue to provide customers with high quality, specialty packaging.</w:t>
      </w:r>
    </w:p>
    <w:p>
      <w:pPr>
        <w:spacing w:after="0" w:line="207"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Consolidated sales in 1993 were 6% ahead of sales in 1992. This increase came primarily from the sales of flavor systems and seasonings for new consumer products launched by our industrial customers. The acquisition of Admiral Plastics' bottle business and new products in the consumer products business that serve the consumer demand for variety and convenience also contributed to growth in 1993.</w:t>
      </w:r>
    </w:p>
    <w:p>
      <w:pPr>
        <w:spacing w:after="0" w:line="211" w:lineRule="exact"/>
        <w:rPr>
          <w:sz w:val="20"/>
          <w:szCs w:val="20"/>
          <w:color w:val="auto"/>
        </w:rPr>
      </w:pPr>
    </w:p>
    <w:p>
      <w:pPr>
        <w:ind w:right="3479" w:firstLine="211"/>
        <w:spacing w:after="0" w:line="237" w:lineRule="auto"/>
        <w:rPr>
          <w:sz w:val="20"/>
          <w:szCs w:val="20"/>
          <w:color w:val="auto"/>
        </w:rPr>
      </w:pPr>
      <w:r>
        <w:rPr>
          <w:rFonts w:ascii="Courier New" w:cs="Courier New" w:eastAsia="Courier New" w:hAnsi="Courier New"/>
          <w:sz w:val="18"/>
          <w:szCs w:val="18"/>
          <w:color w:val="auto"/>
        </w:rPr>
        <w:t>Unconsolidated sales from our joint venture units reached $342 million, a 10% increase over 1993. In 1993, sales from joint ventures were 16% ahead of 1992. We look to joint ventures as an important vehicle to grow our business around the world and will continue to develop them to take advantage of opportunities on a global basis.</w:t>
      </w:r>
    </w:p>
    <w:p>
      <w:pPr>
        <w:spacing w:after="0" w:line="7" w:lineRule="exact"/>
        <w:rPr>
          <w:sz w:val="20"/>
          <w:szCs w:val="20"/>
          <w:color w:val="auto"/>
        </w:rPr>
      </w:pPr>
    </w:p>
    <w:p>
      <w:pPr>
        <w:ind w:right="3259" w:firstLine="211"/>
        <w:spacing w:after="0" w:line="237" w:lineRule="auto"/>
        <w:rPr>
          <w:sz w:val="20"/>
          <w:szCs w:val="20"/>
          <w:color w:val="auto"/>
        </w:rPr>
      </w:pPr>
      <w:r>
        <w:rPr>
          <w:rFonts w:ascii="Courier New" w:cs="Courier New" w:eastAsia="Courier New" w:hAnsi="Courier New"/>
          <w:sz w:val="18"/>
          <w:szCs w:val="18"/>
          <w:color w:val="auto"/>
        </w:rPr>
        <w:t>In 1994, our consolidated sales increased 9% over 1993, which is an improvement over the compounded growth rate over the last three years of 6%. We believe, however, the objective of 10% is attainable over time for the following reasons:</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Domestic consumer products, largest of our businesses in the Americas Zone, operates in a mature market with changing consumer preferences for convenience, value and variety. New products were introduced in 1994, and more will be offered in 1995 to meet these needs. The trend to more highly seasoned ethnic foods continues, and we will target new product development here as well. We have seen excellent results from our "perimeter of the store" marketing strategy and will focus promotional activity in this area to increase usage of products in this category. We plan to support the McCormick brand aggressively in order to maintain our premiere status in our market.</w:t>
      </w:r>
    </w:p>
    <w:p>
      <w:pPr>
        <w:spacing w:after="0" w:line="21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Our Canadian subsidiary, selling under the Club House brand, operates in much the same environment as our domestic consumer products business. We will use the same strategy of providing the consumer convenience, value and variety to increase sales in this operating unit. We will also seek niche acquisitions to enhance this business.</w:t>
      </w:r>
    </w:p>
    <w:p>
      <w:pPr>
        <w:spacing w:after="0" w:line="210"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6"/>
          <w:szCs w:val="16"/>
          <w:color w:val="auto"/>
        </w:rPr>
        <w:t>The European Zone will take advantage of recent acquisitions in the U.K., Switzerland and Finland to increase our sales in the U.K.,the European continent, Russia, and the Baltic countries. The acquisitions in the U.K. have solidified our presence in all three market channels consumer, foodservice and industrial and have given us an opportunity in the packaging industry for the first time.</w:t>
      </w:r>
    </w:p>
    <w:p>
      <w:pPr>
        <w:spacing w:after="0" w:line="186"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6"/>
          <w:szCs w:val="16"/>
          <w:color w:val="auto"/>
        </w:rPr>
        <w:t>Asia/Pacific provides tremendous opportunity for growth. Increasing disposable income in the emerging economies of China and Indonesia enables consumers to buy branded spices that are conveniently packaged and offer a higher level of quality. We have positioned ourselves in this region through joint ventures and wholly owned subsidiaries to take advantage of growth opportunities.</w:t>
      </w:r>
    </w:p>
    <w:p>
      <w:pPr>
        <w:spacing w:after="0" w:line="18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Our industrial business unit had sales growth that was well over our Corporate objective of 10%. Our customers are major food processors and restaurant chains who demand the product development, service, quality, and technical resources that we can provide. We are able to offer them a combination of superior capabilities and one-stop shopping for all their ingredient and flavor requirements. We believe our reputation as a quality supplier and our singular status as a full-line ingredient and flavor house will enable us to grow the industrial business at a rate that exceeds the Corporate sales growth objective.</w:t>
      </w:r>
    </w:p>
    <w:p>
      <w:pPr>
        <w:spacing w:after="0" w:line="215"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1994, we made our first international acquisition in the specialized packaging niche we serve. We believe future growth will come from further domestic market penetration and expansion of newly acquired Minipack's capabilities in the U.S. market. We expect this business to grow at a rate near our Corporate objective.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EARNINGS</w:t>
      </w:r>
    </w:p>
    <w:p>
      <w:pPr>
        <w:spacing w:after="0" w:line="201" w:lineRule="exact"/>
        <w:rPr>
          <w:sz w:val="20"/>
          <w:szCs w:val="20"/>
          <w:color w:val="auto"/>
        </w:rPr>
      </w:pPr>
    </w:p>
    <w:tbl>
      <w:tblPr>
        <w:tblLayout w:type="fixed"/>
        <w:tblInd w:w="2000" w:type="dxa"/>
        <w:tblCellMar>
          <w:top w:w="0" w:type="dxa"/>
          <w:left w:w="0" w:type="dxa"/>
          <w:bottom w:w="0" w:type="dxa"/>
          <w:right w:w="0" w:type="dxa"/>
        </w:tblCellMar>
      </w:tblPr>
      <w:tr>
        <w:trPr>
          <w:trHeight w:val="204"/>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7"/>
              </w:rPr>
              <w:t>1994</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1993</w:t>
            </w: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1992</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1994</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1993</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480" w:type="dxa"/>
            <w:vAlign w:val="bottom"/>
          </w:tcPr>
          <w:p>
            <w:pPr>
              <w:spacing w:after="0"/>
              <w:rPr>
                <w:sz w:val="17"/>
                <w:szCs w:val="17"/>
                <w:color w:val="auto"/>
              </w:rPr>
            </w:pPr>
          </w:p>
        </w:tc>
        <w:tc>
          <w:tcPr>
            <w:tcW w:w="19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9"/>
              </w:rPr>
              <w:t>(in millions)</w:t>
            </w:r>
          </w:p>
        </w:tc>
        <w:tc>
          <w:tcPr>
            <w:tcW w:w="242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6"/>
              </w:rPr>
              <w:t>(percentage of sales)</w:t>
            </w:r>
          </w:p>
        </w:tc>
      </w:tr>
    </w:tbl>
    <w:p>
      <w:pPr>
        <w:sectPr>
          <w:pgSz w:w="11900" w:h="16838" w:orient="portrait"/>
          <w:cols w:equalWidth="0" w:num="1">
            <w:col w:w="10219"/>
          </w:cols>
          <w:pgMar w:left="240" w:top="142" w:right="1440"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$628.2</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603.2</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584.0</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37.1%</w:t>
            </w:r>
          </w:p>
        </w:tc>
        <w:tc>
          <w:tcPr>
            <w:tcW w:w="8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38.7%</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39.7%</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charge</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Profit from</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128.2</w:t>
            </w:r>
          </w:p>
        </w:tc>
        <w:tc>
          <w:tcPr>
            <w:tcW w:w="1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180.5</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167.2</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87.0</w:t>
            </w:r>
          </w:p>
        </w:tc>
        <w:tc>
          <w:tcPr>
            <w:tcW w:w="1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149.9</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138.3</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Net income before accounting</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61.2</w:t>
            </w:r>
          </w:p>
        </w:tc>
        <w:tc>
          <w:tcPr>
            <w:tcW w:w="1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99.7</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95.2</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61.2</w:t>
            </w:r>
          </w:p>
        </w:tc>
        <w:tc>
          <w:tcPr>
            <w:tcW w:w="1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73.1</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95.2</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Earnings per share before</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accounting change</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w:t>
            </w:r>
          </w:p>
        </w:tc>
        <w:tc>
          <w:tcPr>
            <w:tcW w:w="1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Earnings per share $  .75</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EARNINGS</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Our objective is to grow earnings per share (EPS) at 15% per year over time. Total earnings per share in 1994 were $.75. EPS in 1993 was $.89 and $1.16 in 1992. The Company's 1994 earnings were reduced by a comprehensive restructuring plan of its business operations causing a one-time charge to earnings of $.57 per share. Earnings per share in 1993 were reduced by a $.33 one-time charge for an accounting change. In addition, in 1993 higher onion costs at our Gilroy Foods unit and the higher federal corporate income tax rate negatively impacted earnings.</w:t>
      </w:r>
    </w:p>
    <w:p>
      <w:pPr>
        <w:spacing w:after="0" w:line="214" w:lineRule="exact"/>
        <w:rPr>
          <w:sz w:val="20"/>
          <w:szCs w:val="20"/>
          <w:color w:val="auto"/>
        </w:rPr>
      </w:pPr>
    </w:p>
    <w:p>
      <w:pPr>
        <w:ind w:right="3159" w:firstLine="211"/>
        <w:spacing w:after="0" w:line="269" w:lineRule="auto"/>
        <w:rPr>
          <w:sz w:val="20"/>
          <w:szCs w:val="20"/>
          <w:color w:val="auto"/>
        </w:rPr>
      </w:pPr>
      <w:r>
        <w:rPr>
          <w:rFonts w:ascii="Courier New" w:cs="Courier New" w:eastAsia="Courier New" w:hAnsi="Courier New"/>
          <w:sz w:val="16"/>
          <w:szCs w:val="16"/>
          <w:color w:val="auto"/>
        </w:rPr>
        <w:t>In 1994, we experienced increasing competitive intensity in most of the markets in which we do business. Pressure on margins is being felt at all levels of distribution of the food industry. We believe that this business environment is not likely to change in the near term. Consequently, we announced in October a comprehensive restructuring of our business operations, including plant consolidations, functional and departmental consolidations and staff reductions. This action was taken after months of careful evaluation and planning with participation from all business units and staff functions. Opportunities were identified to consolidate certain manufacturing facilities and administrative activities to eliminate redundancies and improve productivity and efficiency. We believe these actions support our mission to expand our worldwide leadership position in the spice, seasoning and flavoring markets and will position us to achieve our stated financial objectives. We are undertaking this action now, while sales and earnings growth is strong, to position our Company</w:t>
      </w:r>
    </w:p>
    <w:p>
      <w:pPr>
        <w:spacing w:after="0" w:line="19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for the future and stay ahead of the competition. The specific actions that will be taken are as follows:</w:t>
      </w:r>
    </w:p>
    <w:p>
      <w:pPr>
        <w:spacing w:after="0" w:line="20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 reduction of approximately 600 positions or 7% of our worldwide workforce through position eliminations and a voluntary special retirement program. The majority of these positions will be eliminated over the next six months,</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Closing the McCormick Flavor Group's production facility in Hayward, California, and consolidating products manufactured there with production at our facility in Salinas, California,</w:t>
      </w:r>
    </w:p>
    <w:p>
      <w:pPr>
        <w:spacing w:after="0" w:line="209" w:lineRule="exact"/>
        <w:rPr>
          <w:sz w:val="20"/>
          <w:szCs w:val="20"/>
          <w:color w:val="auto"/>
        </w:rPr>
      </w:pPr>
    </w:p>
    <w:p>
      <w:pPr>
        <w:jc w:val="both"/>
        <w:ind w:right="3159"/>
        <w:spacing w:after="0" w:line="236" w:lineRule="auto"/>
        <w:rPr>
          <w:sz w:val="20"/>
          <w:szCs w:val="20"/>
          <w:color w:val="auto"/>
        </w:rPr>
      </w:pPr>
      <w:r>
        <w:rPr>
          <w:rFonts w:ascii="Courier New" w:cs="Courier New" w:eastAsia="Courier New" w:hAnsi="Courier New"/>
          <w:sz w:val="18"/>
          <w:szCs w:val="18"/>
          <w:color w:val="auto"/>
        </w:rPr>
        <w:t>Closing the Food Service Division's plant in Hunt Valley, Maryland, and transferring production to the consumer products plant in Hunt Valley,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Realignment of some of our operations in the U.K.,</w:t>
      </w:r>
    </w:p>
    <w:p>
      <w:pPr>
        <w:spacing w:after="0" w:line="20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Golden West Foods, Inc., our frozen food subsidiary in Bedford, Virginia, will be offered for sale, and</w:t>
      </w:r>
    </w:p>
    <w:p>
      <w:pPr>
        <w:spacing w:after="0" w:line="208"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Consolidation of certain administrative activities to reduce redundancy and paperwork.</w:t>
      </w:r>
    </w:p>
    <w:p>
      <w:pPr>
        <w:spacing w:after="0" w:line="208" w:lineRule="exact"/>
        <w:rPr>
          <w:sz w:val="20"/>
          <w:szCs w:val="20"/>
          <w:color w:val="auto"/>
        </w:rPr>
      </w:pPr>
    </w:p>
    <w:p>
      <w:pPr>
        <w:ind w:right="3579" w:firstLine="211"/>
        <w:spacing w:after="0" w:line="235" w:lineRule="auto"/>
        <w:rPr>
          <w:sz w:val="20"/>
          <w:szCs w:val="20"/>
          <w:color w:val="auto"/>
        </w:rPr>
      </w:pPr>
      <w:r>
        <w:rPr>
          <w:rFonts w:ascii="Courier New" w:cs="Courier New" w:eastAsia="Courier New" w:hAnsi="Courier New"/>
          <w:sz w:val="18"/>
          <w:szCs w:val="18"/>
          <w:color w:val="auto"/>
        </w:rPr>
        <w:t>The consolidation of facilities and administrative activities will be accomplished over the next two years.</w:t>
      </w:r>
    </w:p>
    <w:p>
      <w:pPr>
        <w:spacing w:after="0" w:line="208" w:lineRule="exact"/>
        <w:rPr>
          <w:sz w:val="20"/>
          <w:szCs w:val="20"/>
          <w:color w:val="auto"/>
        </w:rPr>
      </w:pPr>
    </w:p>
    <w:p>
      <w:pPr>
        <w:ind w:right="3259" w:firstLine="211"/>
        <w:spacing w:after="0" w:line="237" w:lineRule="auto"/>
        <w:rPr>
          <w:sz w:val="20"/>
          <w:szCs w:val="20"/>
          <w:color w:val="auto"/>
        </w:rPr>
      </w:pPr>
      <w:r>
        <w:rPr>
          <w:rFonts w:ascii="Courier New" w:cs="Courier New" w:eastAsia="Courier New" w:hAnsi="Courier New"/>
          <w:sz w:val="18"/>
          <w:szCs w:val="18"/>
          <w:color w:val="auto"/>
        </w:rPr>
        <w:t>Strong consideration was given to the impact on our employees. The voluntary special retirement program will create openings to absorb some of the displaced employees. We have also provided enhanced severance benefits as well as transition and outplacement services.</w:t>
      </w:r>
    </w:p>
    <w:p>
      <w:pPr>
        <w:spacing w:after="0" w:line="209" w:lineRule="exact"/>
        <w:rPr>
          <w:sz w:val="20"/>
          <w:szCs w:val="20"/>
          <w:color w:val="auto"/>
        </w:rPr>
      </w:pPr>
    </w:p>
    <w:p>
      <w:pPr>
        <w:ind w:right="3259" w:firstLine="211"/>
        <w:spacing w:after="0" w:line="236" w:lineRule="auto"/>
        <w:rPr>
          <w:sz w:val="20"/>
          <w:szCs w:val="20"/>
          <w:color w:val="auto"/>
        </w:rPr>
      </w:pPr>
      <w:r>
        <w:rPr>
          <w:rFonts w:ascii="Courier New" w:cs="Courier New" w:eastAsia="Courier New" w:hAnsi="Courier New"/>
          <w:sz w:val="18"/>
          <w:szCs w:val="18"/>
          <w:color w:val="auto"/>
        </w:rPr>
        <w:t>The restructuring charges totaled $70 million before tax and $46 million after tax. Cash expenditures associated with the restructuring program, net of tax benefits to be received, total</w:t>
      </w:r>
    </w:p>
    <w:p>
      <w:pPr>
        <w:sectPr>
          <w:pgSz w:w="11900" w:h="16838" w:orient="portrait"/>
          <w:cols w:equalWidth="0" w:num="1">
            <w:col w:w="10219"/>
          </w:cols>
          <w:pgMar w:left="240" w:top="136" w:right="1440" w:bottom="0" w:gutter="0" w:footer="0" w:header="0"/>
        </w:sectPr>
      </w:pPr>
    </w:p>
    <w:bookmarkStart w:id="12" w:name="page13"/>
    <w:bookmarkEnd w:id="12"/>
    <w:p>
      <w:pPr>
        <w:ind w:right="3159"/>
        <w:spacing w:after="0" w:line="271" w:lineRule="auto"/>
        <w:rPr>
          <w:sz w:val="20"/>
          <w:szCs w:val="20"/>
          <w:color w:val="auto"/>
        </w:rPr>
      </w:pPr>
      <w:r>
        <w:rPr>
          <w:rFonts w:ascii="Courier New" w:cs="Courier New" w:eastAsia="Courier New" w:hAnsi="Courier New"/>
          <w:sz w:val="16"/>
          <w:szCs w:val="16"/>
          <w:color w:val="auto"/>
        </w:rPr>
        <w:t>$53 million, of which $42 millionare in capital expenditures. Approximately $31 million will be required in 1995 and $22 million in 1996. The Company will fund the cash required by the restructuring program through income tax benefits from the plan, working capital reductions and by limiting total capital spending. As a result, implementation of the restructuring plan is not expected to have a material effect on the liquidity of the Company.</w:t>
      </w:r>
    </w:p>
    <w:p>
      <w:pPr>
        <w:spacing w:after="0" w:line="188" w:lineRule="exact"/>
        <w:rPr>
          <w:sz w:val="20"/>
          <w:szCs w:val="20"/>
          <w:color w:val="auto"/>
        </w:rPr>
      </w:pPr>
    </w:p>
    <w:p>
      <w:pPr>
        <w:ind w:right="3259" w:firstLine="211"/>
        <w:spacing w:after="0" w:line="237" w:lineRule="auto"/>
        <w:rPr>
          <w:sz w:val="20"/>
          <w:szCs w:val="20"/>
          <w:color w:val="auto"/>
        </w:rPr>
      </w:pPr>
      <w:r>
        <w:rPr>
          <w:rFonts w:ascii="Courier New" w:cs="Courier New" w:eastAsia="Courier New" w:hAnsi="Courier New"/>
          <w:sz w:val="18"/>
          <w:szCs w:val="18"/>
          <w:color w:val="auto"/>
        </w:rPr>
        <w:t>The savings from the plan are expected to begin late in 1995 and will be used to invest in the Company's brands through product development and consumer promotional activity, maintain low-cost producer status in our core businesses, and support our global expansion strategy. These programs should enable the Company to achieve its financial objectives over time.</w:t>
      </w:r>
    </w:p>
    <w:p>
      <w:pPr>
        <w:spacing w:after="0" w:line="210" w:lineRule="exact"/>
        <w:rPr>
          <w:sz w:val="20"/>
          <w:szCs w:val="20"/>
          <w:color w:val="auto"/>
        </w:rPr>
      </w:pPr>
    </w:p>
    <w:p>
      <w:pPr>
        <w:ind w:right="3259" w:firstLine="211"/>
        <w:spacing w:after="0" w:line="270" w:lineRule="auto"/>
        <w:rPr>
          <w:sz w:val="20"/>
          <w:szCs w:val="20"/>
          <w:color w:val="auto"/>
        </w:rPr>
      </w:pPr>
      <w:r>
        <w:rPr>
          <w:rFonts w:ascii="Courier New" w:cs="Courier New" w:eastAsia="Courier New" w:hAnsi="Courier New"/>
          <w:sz w:val="16"/>
          <w:szCs w:val="16"/>
          <w:color w:val="auto"/>
        </w:rPr>
        <w:t>Our earnings in 1994 were impacted by three significant factors in addition to the restructuring. These were as follows: first, lower margins in our industrial flavor and seasoning business due in part to higher domestic commodity costs in vegetable oil, wheat flour and dairy products and the lag time in being able to pass these through in the form of price increases; second, our joint venture in Mexico continued to experience challenges to their leading position in mayonnaise and associated products which was defended vigorously with high levels of promotional spending; and third, an increase in interest expenses that resulted from rising short-term rates and higher levels of debt.</w:t>
      </w:r>
    </w:p>
    <w:p>
      <w:pPr>
        <w:spacing w:after="0" w:line="392" w:lineRule="exact"/>
        <w:rPr>
          <w:sz w:val="20"/>
          <w:szCs w:val="20"/>
          <w:color w:val="auto"/>
        </w:rPr>
      </w:pPr>
    </w:p>
    <w:p>
      <w:pPr>
        <w:ind w:right="3159" w:firstLine="211"/>
        <w:spacing w:after="0" w:line="271" w:lineRule="auto"/>
        <w:rPr>
          <w:sz w:val="20"/>
          <w:szCs w:val="20"/>
          <w:color w:val="auto"/>
        </w:rPr>
      </w:pPr>
      <w:r>
        <w:rPr>
          <w:rFonts w:ascii="Courier New" w:cs="Courier New" w:eastAsia="Courier New" w:hAnsi="Courier New"/>
          <w:sz w:val="16"/>
          <w:szCs w:val="16"/>
          <w:color w:val="auto"/>
        </w:rPr>
        <w:t>Gross margins declined to 37.1% in 1994 from 38.7% in 1993. This is due in part to the changing mix of our sales as lower gross margin industrial sales increase at a faster rate than consumer product sales. The margins were also lower due to the difficulty in passing on the higher commodity costs to our industrial customers. We believe this situation is temporary, and margins in our industrial flavor and seasoning business should improve in 1995.</w:t>
      </w:r>
    </w:p>
    <w:p>
      <w:pPr>
        <w:spacing w:after="0" w:line="188" w:lineRule="exact"/>
        <w:rPr>
          <w:sz w:val="20"/>
          <w:szCs w:val="20"/>
          <w:color w:val="auto"/>
        </w:rPr>
      </w:pPr>
    </w:p>
    <w:p>
      <w:pPr>
        <w:ind w:right="3159" w:firstLine="211"/>
        <w:spacing w:after="0" w:line="271" w:lineRule="auto"/>
        <w:rPr>
          <w:sz w:val="20"/>
          <w:szCs w:val="20"/>
          <w:color w:val="auto"/>
        </w:rPr>
      </w:pPr>
      <w:r>
        <w:rPr>
          <w:rFonts w:ascii="Courier New" w:cs="Courier New" w:eastAsia="Courier New" w:hAnsi="Courier New"/>
          <w:sz w:val="16"/>
          <w:szCs w:val="16"/>
          <w:color w:val="auto"/>
        </w:rPr>
        <w:t>Profit from operations decreased to 7.6% of sales and includes the restructuring charge of $70 million, which is 4.2% of sales. Excluding the restructuring charge, profit from operations in 1994 was 11.8%. Operating profit margins in 1993 and 1992 were 11.6% and 11.4%, respectively. Before the restructuring charge, these margins show a positive trend, even as gross margins decline. This is due to our continuing efforts to control expenses and eliminate non-value added costs throughout the Company.</w:t>
      </w:r>
    </w:p>
    <w:p>
      <w:pPr>
        <w:spacing w:after="0" w:line="186" w:lineRule="exact"/>
        <w:rPr>
          <w:sz w:val="20"/>
          <w:szCs w:val="20"/>
          <w:color w:val="auto"/>
        </w:rPr>
      </w:pPr>
    </w:p>
    <w:p>
      <w:pPr>
        <w:ind w:right="3259" w:firstLine="211"/>
        <w:spacing w:after="0" w:line="237" w:lineRule="auto"/>
        <w:rPr>
          <w:sz w:val="20"/>
          <w:szCs w:val="20"/>
          <w:color w:val="auto"/>
        </w:rPr>
      </w:pPr>
      <w:r>
        <w:rPr>
          <w:rFonts w:ascii="Courier New" w:cs="Courier New" w:eastAsia="Courier New" w:hAnsi="Courier New"/>
          <w:sz w:val="18"/>
          <w:szCs w:val="18"/>
          <w:color w:val="auto"/>
        </w:rPr>
        <w:t>Interest expense increased to $38.7 million in 1994 versus $31.1 million in 1993. This was caused by rising interest rates and higher debt levels. Debt was used to finance acquisitions in 1994 which totaled $83 million.</w:t>
      </w:r>
    </w:p>
    <w:p>
      <w:pPr>
        <w:spacing w:after="0" w:line="207" w:lineRule="exact"/>
        <w:rPr>
          <w:sz w:val="20"/>
          <w:szCs w:val="20"/>
          <w:color w:val="auto"/>
        </w:rPr>
      </w:pPr>
    </w:p>
    <w:p>
      <w:pPr>
        <w:ind w:right="3159"/>
        <w:spacing w:after="0" w:line="275" w:lineRule="auto"/>
        <w:rPr>
          <w:sz w:val="20"/>
          <w:szCs w:val="20"/>
          <w:color w:val="auto"/>
        </w:rPr>
      </w:pPr>
      <w:r>
        <w:rPr>
          <w:rFonts w:ascii="Courier New" w:cs="Courier New" w:eastAsia="Courier New" w:hAnsi="Courier New"/>
          <w:sz w:val="16"/>
          <w:szCs w:val="16"/>
          <w:color w:val="auto"/>
        </w:rPr>
        <w:t>Higher working capital was partially caused by inventory build-up as we re-engineered our consumer products plant in Hunt Valley, Maryland, and made strategic purchases of certain commodities which are expected to rise in cost and/or be in short supply in 1995.</w:t>
      </w:r>
    </w:p>
    <w:p>
      <w:pPr>
        <w:spacing w:after="0" w:line="182"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Unconsolidated income from joint ventures decreased to $8 million in 1994, down from $10 million in 1993. As mentioned above, our joint venture in Mexico reported significantly lower earnings due to an investment in a marketing campaign to defend market share. Joint ventures will provide opportunities for earnings growth in the future, and we will continue to develop ventures on a global basis.</w:t>
      </w:r>
    </w:p>
    <w:p>
      <w:pPr>
        <w:spacing w:after="0" w:line="211"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Earnings per share in 1993 were $.89 compared to $1.16 in 1992. Earnings in 1993 were impacted by the following factors: first, operating margins at Gilroy Foods were lower during the first three quarters of the year due to high onion costs; second, adoption of SFAS No. 106 reduced earnings $.33 per share; and third, the higher federal corporate income tax rate reduced earnings per share by $.03.</w:t>
      </w:r>
    </w:p>
    <w:p>
      <w:pPr>
        <w:spacing w:after="0" w:line="211" w:lineRule="exact"/>
        <w:rPr>
          <w:sz w:val="20"/>
          <w:szCs w:val="20"/>
          <w:color w:val="auto"/>
        </w:rPr>
      </w:pPr>
    </w:p>
    <w:p>
      <w:pPr>
        <w:ind w:right="3259" w:firstLine="211"/>
        <w:spacing w:after="0" w:line="237" w:lineRule="auto"/>
        <w:rPr>
          <w:sz w:val="20"/>
          <w:szCs w:val="20"/>
          <w:color w:val="auto"/>
        </w:rPr>
      </w:pPr>
      <w:r>
        <w:rPr>
          <w:rFonts w:ascii="Courier New" w:cs="Courier New" w:eastAsia="Courier New" w:hAnsi="Courier New"/>
          <w:sz w:val="18"/>
          <w:szCs w:val="18"/>
          <w:color w:val="auto"/>
        </w:rPr>
        <w:t>The Company remains committed to the achievement of 15% earnings growth over time. However, in the near term, achieving the objective remains a challenge due to the intensely competitive domestic and international markets and the expectation for a continued low inflationary environment. In order to accomplish our objective over time, we must: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Achieve sales growth of 10%,</w:t>
      </w:r>
    </w:p>
    <w:p>
      <w:pPr>
        <w:spacing w:after="0" w:line="4"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Successfully implement the restructuring plan. Success will be measured by:</w:t>
      </w:r>
    </w:p>
    <w:p>
      <w:pPr>
        <w:spacing w:after="0"/>
        <w:rPr>
          <w:sz w:val="20"/>
          <w:szCs w:val="20"/>
          <w:color w:val="auto"/>
        </w:rPr>
      </w:pPr>
      <w:r>
        <w:rPr>
          <w:rFonts w:ascii="Courier New" w:cs="Courier New" w:eastAsia="Courier New" w:hAnsi="Courier New"/>
          <w:sz w:val="18"/>
          <w:szCs w:val="18"/>
          <w:color w:val="auto"/>
        </w:rPr>
        <w:t>Efficiencies gained in the consumer products plants in Salinas,</w:t>
      </w:r>
    </w:p>
    <w:p>
      <w:pPr>
        <w:sectPr>
          <w:pgSz w:w="11900" w:h="16838" w:orient="portrait"/>
          <w:cols w:equalWidth="0" w:num="1">
            <w:col w:w="10219"/>
          </w:cols>
          <w:pgMar w:left="240" w:top="142" w:right="1440" w:bottom="0" w:gutter="0" w:footer="0" w:header="0"/>
        </w:sectPr>
      </w:pPr>
    </w:p>
    <w:bookmarkStart w:id="13" w:name="page14"/>
    <w:bookmarkEnd w:id="13"/>
    <w:p>
      <w:pPr>
        <w:ind w:right="3159"/>
        <w:spacing w:after="0" w:line="236" w:lineRule="auto"/>
        <w:rPr>
          <w:sz w:val="20"/>
          <w:szCs w:val="20"/>
          <w:color w:val="auto"/>
        </w:rPr>
      </w:pPr>
      <w:r>
        <w:rPr>
          <w:rFonts w:ascii="Courier New" w:cs="Courier New" w:eastAsia="Courier New" w:hAnsi="Courier New"/>
          <w:sz w:val="18"/>
          <w:szCs w:val="18"/>
          <w:color w:val="auto"/>
        </w:rPr>
        <w:t>California, and Hunt Valley, Maryland, after consolidation with the Hayward, California, facility and the Food Service plant in Hunt Valley,</w:t>
      </w:r>
    </w:p>
    <w:p>
      <w:pPr>
        <w:spacing w:after="0" w:line="6"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Cost reduction in the U.K. operations as facility modernization and realignment is implemented,</w:t>
      </w:r>
    </w:p>
    <w:p>
      <w:pPr>
        <w:spacing w:after="0" w:line="6" w:lineRule="exact"/>
        <w:rPr>
          <w:sz w:val="20"/>
          <w:szCs w:val="20"/>
          <w:color w:val="auto"/>
        </w:rPr>
      </w:pPr>
    </w:p>
    <w:p>
      <w:pPr>
        <w:ind w:right="4839"/>
        <w:spacing w:after="0" w:line="268" w:lineRule="auto"/>
        <w:rPr>
          <w:sz w:val="20"/>
          <w:szCs w:val="20"/>
          <w:color w:val="auto"/>
        </w:rPr>
      </w:pPr>
      <w:r>
        <w:rPr>
          <w:rFonts w:ascii="Courier New" w:cs="Courier New" w:eastAsia="Courier New" w:hAnsi="Courier New"/>
          <w:sz w:val="16"/>
          <w:szCs w:val="16"/>
          <w:color w:val="auto"/>
        </w:rPr>
        <w:t>Productivity gains in administrative functions, and Increased growth of McCormick branded products.</w:t>
      </w:r>
    </w:p>
    <w:p>
      <w:pPr>
        <w:ind w:right="3159"/>
        <w:spacing w:after="0" w:line="236" w:lineRule="auto"/>
        <w:rPr>
          <w:sz w:val="20"/>
          <w:szCs w:val="20"/>
          <w:color w:val="auto"/>
        </w:rPr>
      </w:pPr>
      <w:r>
        <w:rPr>
          <w:rFonts w:ascii="Courier New" w:cs="Courier New" w:eastAsia="Courier New" w:hAnsi="Courier New"/>
          <w:sz w:val="18"/>
          <w:szCs w:val="18"/>
          <w:color w:val="auto"/>
        </w:rPr>
        <w:t>Continue our total quality process which empowers employees to seek process improvement continuously and to act in the best interests of customers and shareholders,</w:t>
      </w:r>
    </w:p>
    <w:p>
      <w:pPr>
        <w:spacing w:after="0" w:line="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Focus capital spending on projects that will maintain our low-cost producer status on a worldwide basis,</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Continue to remove costs from the system through our global sourcing and supply chain management programs, and</w:t>
      </w:r>
    </w:p>
    <w:p>
      <w:pPr>
        <w:spacing w:after="0"/>
        <w:rPr>
          <w:sz w:val="20"/>
          <w:szCs w:val="20"/>
          <w:color w:val="auto"/>
        </w:rPr>
      </w:pPr>
      <w:r>
        <w:rPr>
          <w:rFonts w:ascii="Courier New" w:cs="Courier New" w:eastAsia="Courier New" w:hAnsi="Courier New"/>
          <w:sz w:val="18"/>
          <w:szCs w:val="18"/>
          <w:color w:val="auto"/>
        </w:rPr>
        <w:t>Increase contributions from our unconsolidated joint ventures.</w:t>
      </w:r>
    </w:p>
    <w:p>
      <w:pPr>
        <w:spacing w:after="0" w:line="207" w:lineRule="exact"/>
        <w:rPr>
          <w:sz w:val="20"/>
          <w:szCs w:val="20"/>
          <w:color w:val="auto"/>
        </w:rPr>
      </w:pPr>
    </w:p>
    <w:p>
      <w:pPr>
        <w:ind w:right="3259" w:firstLine="211"/>
        <w:spacing w:after="0" w:line="235" w:lineRule="auto"/>
        <w:rPr>
          <w:sz w:val="20"/>
          <w:szCs w:val="20"/>
          <w:color w:val="auto"/>
        </w:rPr>
      </w:pPr>
      <w:r>
        <w:rPr>
          <w:rFonts w:ascii="Courier New" w:cs="Courier New" w:eastAsia="Courier New" w:hAnsi="Courier New"/>
          <w:sz w:val="18"/>
          <w:szCs w:val="18"/>
          <w:color w:val="auto"/>
        </w:rPr>
        <w:t>We do not believe that current projected rates of inflation will have a material effect on our operating results.</w:t>
      </w:r>
    </w:p>
    <w:p>
      <w:pPr>
        <w:spacing w:after="0" w:line="208" w:lineRule="exact"/>
        <w:rPr>
          <w:sz w:val="20"/>
          <w:szCs w:val="20"/>
          <w:color w:val="auto"/>
        </w:rPr>
      </w:pPr>
    </w:p>
    <w:p>
      <w:pPr>
        <w:ind w:right="3159" w:firstLine="211"/>
        <w:spacing w:after="0" w:line="270" w:lineRule="auto"/>
        <w:rPr>
          <w:sz w:val="20"/>
          <w:szCs w:val="20"/>
          <w:color w:val="auto"/>
        </w:rPr>
      </w:pPr>
      <w:r>
        <w:rPr>
          <w:rFonts w:ascii="Courier New" w:cs="Courier New" w:eastAsia="Courier New" w:hAnsi="Courier New"/>
          <w:sz w:val="16"/>
          <w:szCs w:val="16"/>
          <w:color w:val="auto"/>
        </w:rPr>
        <w:t>During the year, the Company adopted Statement of Financial Accounting Standards (SFAS) No. 112, "Employers' Accounting for Postemployment Benefits." This standard requires that employers accrue a liability for their obligation to provide postemployment benefits as employees earn the right to receive them, provided that payment of the benefits is probable and the amount of the benefits can be reasonably estimated. The effect of this accounting change was not material on the Company's financial statements. In 1993, the Company adopted SFAS No.106, "Employers' Accounting for Postretirement Benefits Other than Pensions." This accounting change resulted in a one-time, non-cash charge of $26.6 million after tax or $.33 per share. Additionally, this accounting method resulted in an increase in the ongoing after-tax cost of postretirement benefits of $2.2 million or $.03 per share.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LIQUIDITY</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3320" w:type="dxa"/>
            <w:vAlign w:val="bottom"/>
          </w:tcPr>
          <w:p>
            <w:pPr>
              <w:spacing w:after="0"/>
              <w:rPr>
                <w:sz w:val="24"/>
                <w:szCs w:val="24"/>
                <w:color w:val="auto"/>
              </w:rPr>
            </w:pPr>
          </w:p>
        </w:tc>
        <w:tc>
          <w:tcPr>
            <w:tcW w:w="12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1994</w:t>
            </w:r>
          </w:p>
        </w:tc>
        <w:tc>
          <w:tcPr>
            <w:tcW w:w="11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1993</w:t>
            </w: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r>
      <w:tr>
        <w:trPr>
          <w:trHeight w:val="405"/>
        </w:trPr>
        <w:tc>
          <w:tcPr>
            <w:tcW w:w="3320" w:type="dxa"/>
            <w:vAlign w:val="bottom"/>
          </w:tcPr>
          <w:p>
            <w:pPr>
              <w:spacing w:after="0"/>
              <w:rPr>
                <w:sz w:val="24"/>
                <w:szCs w:val="2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 millions)</w:t>
            </w:r>
          </w:p>
        </w:tc>
        <w:tc>
          <w:tcPr>
            <w:tcW w:w="800" w:type="dxa"/>
            <w:vAlign w:val="bottom"/>
          </w:tcPr>
          <w:p>
            <w:pPr>
              <w:spacing w:after="0"/>
              <w:rPr>
                <w:sz w:val="24"/>
                <w:szCs w:val="24"/>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$ 61.2</w:t>
            </w:r>
          </w:p>
        </w:tc>
        <w:tc>
          <w:tcPr>
            <w:tcW w:w="11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$ 73.1</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$ 95.2</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70.4</w:t>
            </w: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Accounting change for</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postretirement benefits</w:t>
            </w:r>
          </w:p>
        </w:tc>
        <w:tc>
          <w:tcPr>
            <w:tcW w:w="1280" w:type="dxa"/>
            <w:vAlign w:val="bottom"/>
          </w:tcPr>
          <w:p>
            <w:pPr>
              <w:spacing w:after="0"/>
              <w:rPr>
                <w:sz w:val="17"/>
                <w:szCs w:val="17"/>
                <w:color w:val="auto"/>
              </w:rPr>
            </w:pPr>
          </w:p>
        </w:tc>
        <w:tc>
          <w:tcPr>
            <w:tcW w:w="11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26.6</w:t>
            </w:r>
          </w:p>
        </w:tc>
        <w:tc>
          <w:tcPr>
            <w:tcW w:w="80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other</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non-cash charges</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28.8</w:t>
            </w:r>
          </w:p>
        </w:tc>
        <w:tc>
          <w:tcPr>
            <w:tcW w:w="11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39.4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31.5</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received from</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unconsolidated subsidiaries</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3.3</w:t>
            </w:r>
          </w:p>
        </w:tc>
        <w:tc>
          <w:tcPr>
            <w:tcW w:w="11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operating assets</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liabilities</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(91.2)</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 from operations</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$ 72.5</w:t>
            </w:r>
          </w:p>
        </w:tc>
        <w:tc>
          <w:tcPr>
            <w:tcW w:w="11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$ 80.6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$117.3</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Current ratio</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1.1</w:t>
            </w:r>
          </w:p>
        </w:tc>
        <w:tc>
          <w:tcPr>
            <w:tcW w:w="11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1.4</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w:t>
      </w:r>
    </w:p>
    <w:p>
      <w:pPr>
        <w:spacing w:after="0" w:line="207"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6"/>
          <w:szCs w:val="16"/>
          <w:color w:val="auto"/>
        </w:rPr>
        <w:t>The Company's current ratio was 1.1 at yearend compared to 1.4 and 1.1 at the end of 1993 and 1992, respectively. The decrease is attributable to the rise in short-term debt that was used as the financing vehicle for acquisitions made during 1994 and the increase in inventory levels during the year. The Company's current ratio does not represent a complete measure of the cash resources available to finance operating requirements. We maintain relationships with a number of domestic and foreign banks that provide committed credit facilities of $300 million which increase our liquidity. These facilities were not in use at yearend.</w:t>
      </w:r>
    </w:p>
    <w:p>
      <w:pPr>
        <w:spacing w:after="0" w:line="189"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Overall cash flows from operations were reduced by approximately $8 million from 1993 due to an increase in operating assets. This was primarily a result of an increase in inventory levels during the reengineering of the Hunt Valley, Maryland, consumer products facility and strategic purchases of commodities expected to increase in price or be in short supply in 1995. Inventory turnover rate was 3.0 in 1994; 3.1 in both 1993 and 1992. Accounts receivable were also higher due primarily to the timing of sales in November as more sales occurred in the latter part of the month and were not collected at November 30.</w:t>
      </w:r>
    </w:p>
    <w:p>
      <w:pPr>
        <w:spacing w:after="0" w:line="215" w:lineRule="exact"/>
        <w:rPr>
          <w:sz w:val="20"/>
          <w:szCs w:val="20"/>
          <w:color w:val="auto"/>
        </w:rPr>
      </w:pPr>
    </w:p>
    <w:p>
      <w:pPr>
        <w:ind w:right="3159" w:firstLine="211"/>
        <w:spacing w:after="0" w:line="290" w:lineRule="auto"/>
        <w:rPr>
          <w:sz w:val="20"/>
          <w:szCs w:val="20"/>
          <w:color w:val="auto"/>
        </w:rPr>
      </w:pPr>
      <w:r>
        <w:rPr>
          <w:rFonts w:ascii="Courier New" w:cs="Courier New" w:eastAsia="Courier New" w:hAnsi="Courier New"/>
          <w:sz w:val="16"/>
          <w:szCs w:val="16"/>
          <w:color w:val="auto"/>
        </w:rPr>
        <w:t>The Company is subjected to foreign currency translation risks at all of its subsidiaries and affiliates located outside the United</w:t>
      </w:r>
    </w:p>
    <w:p>
      <w:pPr>
        <w:sectPr>
          <w:pgSz w:w="11900" w:h="16838" w:orient="portrait"/>
          <w:cols w:equalWidth="0" w:num="1">
            <w:col w:w="10219"/>
          </w:cols>
          <w:pgMar w:left="240" w:top="142" w:right="1440" w:bottom="0" w:gutter="0" w:footer="0" w:header="0"/>
        </w:sectPr>
      </w:pPr>
    </w:p>
    <w:bookmarkStart w:id="14" w:name="page15"/>
    <w:bookmarkEnd w:id="14"/>
    <w:p>
      <w:pPr>
        <w:ind w:right="3159"/>
        <w:spacing w:after="0" w:line="238" w:lineRule="auto"/>
        <w:rPr>
          <w:sz w:val="20"/>
          <w:szCs w:val="20"/>
          <w:color w:val="auto"/>
        </w:rPr>
      </w:pPr>
      <w:r>
        <w:rPr>
          <w:rFonts w:ascii="Courier New" w:cs="Courier New" w:eastAsia="Courier New" w:hAnsi="Courier New"/>
          <w:sz w:val="18"/>
          <w:szCs w:val="18"/>
          <w:color w:val="auto"/>
        </w:rPr>
        <w:t>States, principally in the United Kingdom, Canada, Australia, and Mexico. Increases or decreases in the value of the applicable foreign currency relative to the U.S. dollar have the impact of increasing or decreasing the reported net assets of foreign subsidiaries and reported net investments in foreign affiliates. Management periodically enters into forward contracts for the delivery of foreign currencies to hedge certain of its exposures to these increases or decreases. Had these hedges not been in place, net assets would have increased or (decreased) by $1.7 million in 1994, $0 in 1993 and $(4.9) million in 1992. At November 30, 1994, the Company's only outstanding forward contract was a hedge against a portion of its net investments in Mexico. In addition, during the latter part of 1994, the Company's United Kingdom and Australian subsidiaries have utilized local borrowings to limit their net asset exposure.</w:t>
      </w:r>
    </w:p>
    <w:p>
      <w:pPr>
        <w:spacing w:after="0" w:line="208" w:lineRule="exact"/>
        <w:rPr>
          <w:sz w:val="20"/>
          <w:szCs w:val="20"/>
          <w:color w:val="auto"/>
        </w:rPr>
      </w:pPr>
    </w:p>
    <w:p>
      <w:pPr>
        <w:ind w:right="3259" w:firstLine="211"/>
        <w:spacing w:after="0" w:line="237" w:lineRule="auto"/>
        <w:rPr>
          <w:sz w:val="20"/>
          <w:szCs w:val="20"/>
          <w:color w:val="auto"/>
        </w:rPr>
      </w:pPr>
      <w:r>
        <w:rPr>
          <w:rFonts w:ascii="Courier New" w:cs="Courier New" w:eastAsia="Courier New" w:hAnsi="Courier New"/>
          <w:sz w:val="18"/>
          <w:szCs w:val="18"/>
          <w:color w:val="auto"/>
        </w:rPr>
        <w:t>The Company is also exposed to foreign exchange risk for transactions that are denominated in other than the applicable local currency. Such transactions that are significant to the Company are hedged with forward exchange contracts. The impact of this risk and the related hedging activity was not material to the Company during the three-year period ended November 30, 1994. The Company's exposure to foreign exchange risk from unsettled transactions at November 30, 1994, is not considered to be material.</w:t>
      </w:r>
    </w:p>
    <w:p>
      <w:pPr>
        <w:spacing w:after="0" w:line="214" w:lineRule="exact"/>
        <w:rPr>
          <w:sz w:val="20"/>
          <w:szCs w:val="20"/>
          <w:color w:val="auto"/>
        </w:rPr>
      </w:pPr>
    </w:p>
    <w:p>
      <w:pPr>
        <w:ind w:right="3159" w:firstLine="211"/>
        <w:spacing w:after="0" w:line="273" w:lineRule="auto"/>
        <w:rPr>
          <w:sz w:val="20"/>
          <w:szCs w:val="20"/>
          <w:color w:val="auto"/>
        </w:rPr>
      </w:pPr>
      <w:r>
        <w:rPr>
          <w:rFonts w:ascii="Courier New" w:cs="Courier New" w:eastAsia="Courier New" w:hAnsi="Courier New"/>
          <w:sz w:val="16"/>
          <w:szCs w:val="16"/>
          <w:color w:val="auto"/>
        </w:rPr>
        <w:t>In December 1994, and January 1995, the Mexican peso was devalued by approximately 35%. This devaluation will require an unfavorable adjustment in 1995 to shareholders' equity of approximately $14 million. Management does not expect the impact of the devaluation at this level to have a material effect on earnings in the future.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RETURN ON EQUITY</w:t>
      </w:r>
    </w:p>
    <w:p>
      <w:pPr>
        <w:spacing w:after="0" w:line="207"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Return on equity (ROE), calculated by dividing net income from continuing operations by average shareholders' equity, was 12.8% versus 22.0% in 1993 and 23.3% in 1992. The restructuring charge is the primary reason for the decline in ROE. ROE before the impact of the restructuring charge on net income and equity was 22.1%.</w:t>
      </w:r>
    </w:p>
    <w:p>
      <w:pPr>
        <w:spacing w:after="0" w:line="185"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Management is committed to achieving our ROE objective of exceeding 20% and has implemented programs to improve margins and increase asset utilization. Margin improvement will be accomplished by the following:</w:t>
      </w:r>
    </w:p>
    <w:p>
      <w:pPr>
        <w:spacing w:after="0" w:line="207"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Operational efficiencies through implementation of the restructuring plan,</w:t>
      </w:r>
    </w:p>
    <w:p>
      <w:pPr>
        <w:spacing w:after="0" w:line="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Emphasis on capital investments in plant and equipment that will maintain our low-cost producer status, and</w:t>
      </w:r>
    </w:p>
    <w:p>
      <w:pPr>
        <w:spacing w:after="0" w:line="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Continued emphasis on total quality and global sourcing to improve performance and customer service.</w:t>
      </w:r>
    </w:p>
    <w:p>
      <w:pPr>
        <w:spacing w:after="0" w:line="208" w:lineRule="exact"/>
        <w:rPr>
          <w:sz w:val="20"/>
          <w:szCs w:val="20"/>
          <w:color w:val="auto"/>
        </w:rPr>
      </w:pPr>
    </w:p>
    <w:p>
      <w:pPr>
        <w:ind w:right="3899" w:firstLine="211"/>
        <w:spacing w:after="0" w:line="235" w:lineRule="auto"/>
        <w:rPr>
          <w:sz w:val="20"/>
          <w:szCs w:val="20"/>
          <w:color w:val="auto"/>
        </w:rPr>
      </w:pPr>
      <w:r>
        <w:rPr>
          <w:rFonts w:ascii="Courier New" w:cs="Courier New" w:eastAsia="Courier New" w:hAnsi="Courier New"/>
          <w:sz w:val="18"/>
          <w:szCs w:val="18"/>
          <w:color w:val="auto"/>
        </w:rPr>
        <w:t>Asset utilization will be improved with our efforts in the following areas: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Consolidation of the manufacturing facilities as part of the</w:t>
      </w:r>
    </w:p>
    <w:p>
      <w:pPr>
        <w:spacing w:after="0" w:line="238" w:lineRule="auto"/>
        <w:rPr>
          <w:sz w:val="20"/>
          <w:szCs w:val="20"/>
          <w:color w:val="auto"/>
        </w:rPr>
      </w:pPr>
      <w:r>
        <w:rPr>
          <w:rFonts w:ascii="Courier New" w:cs="Courier New" w:eastAsia="Courier New" w:hAnsi="Courier New"/>
          <w:sz w:val="18"/>
          <w:szCs w:val="18"/>
          <w:color w:val="auto"/>
        </w:rPr>
        <w:t>restructuring plan to increase capacity utilization,</w:t>
      </w:r>
    </w:p>
    <w:p>
      <w:pPr>
        <w:spacing w:after="0"/>
        <w:rPr>
          <w:sz w:val="20"/>
          <w:szCs w:val="20"/>
          <w:color w:val="auto"/>
        </w:rPr>
      </w:pPr>
      <w:r>
        <w:rPr>
          <w:rFonts w:ascii="Courier New" w:cs="Courier New" w:eastAsia="Courier New" w:hAnsi="Courier New"/>
          <w:sz w:val="18"/>
          <w:szCs w:val="18"/>
          <w:color w:val="auto"/>
        </w:rPr>
        <w:t>Increasing the significance of working capital management in our</w:t>
      </w:r>
    </w:p>
    <w:p>
      <w:pPr>
        <w:spacing w:after="0" w:line="237" w:lineRule="auto"/>
        <w:rPr>
          <w:sz w:val="20"/>
          <w:szCs w:val="20"/>
          <w:color w:val="auto"/>
        </w:rPr>
      </w:pPr>
      <w:r>
        <w:rPr>
          <w:rFonts w:ascii="Courier New" w:cs="Courier New" w:eastAsia="Courier New" w:hAnsi="Courier New"/>
          <w:sz w:val="18"/>
          <w:szCs w:val="18"/>
          <w:color w:val="auto"/>
        </w:rPr>
        <w:t>incentive compensation program, and</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Disposal of those assets that are not meeting our return objectives.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STRUCTURE/DEBT FINANCING</w:t>
      </w:r>
    </w:p>
    <w:p>
      <w:pPr>
        <w:spacing w:after="0" w:line="20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Our objective is to maintain total debt to total capital at 40% or less, excluding non-recourse debt.</w:t>
      </w:r>
    </w:p>
    <w:p>
      <w:pPr>
        <w:spacing w:after="0" w:line="208" w:lineRule="exact"/>
        <w:rPr>
          <w:sz w:val="20"/>
          <w:szCs w:val="20"/>
          <w:color w:val="auto"/>
        </w:rPr>
      </w:pPr>
    </w:p>
    <w:p>
      <w:pPr>
        <w:jc w:val="both"/>
        <w:ind w:right="3159" w:firstLine="211"/>
        <w:spacing w:after="0" w:line="236" w:lineRule="auto"/>
        <w:rPr>
          <w:sz w:val="20"/>
          <w:szCs w:val="20"/>
          <w:color w:val="auto"/>
        </w:rPr>
      </w:pPr>
      <w:r>
        <w:rPr>
          <w:rFonts w:ascii="Courier New" w:cs="Courier New" w:eastAsia="Courier New" w:hAnsi="Courier New"/>
          <w:sz w:val="18"/>
          <w:szCs w:val="18"/>
          <w:color w:val="auto"/>
        </w:rPr>
        <w:t>Total debt to total capital, excluding non-recourse debt of $57.6 million associated with Gilroy Energy Company, was 52.0% at yearend versus 44.3% in 1993 and 37.4% in 1992.</w:t>
      </w:r>
    </w:p>
    <w:p>
      <w:pPr>
        <w:spacing w:after="0" w:line="209" w:lineRule="exact"/>
        <w:rPr>
          <w:sz w:val="20"/>
          <w:szCs w:val="20"/>
          <w:color w:val="auto"/>
        </w:rPr>
      </w:pPr>
    </w:p>
    <w:p>
      <w:pPr>
        <w:ind w:right="3159" w:firstLine="211"/>
        <w:spacing w:after="0" w:line="275" w:lineRule="auto"/>
        <w:rPr>
          <w:sz w:val="20"/>
          <w:szCs w:val="20"/>
          <w:color w:val="auto"/>
        </w:rPr>
      </w:pPr>
      <w:r>
        <w:rPr>
          <w:rFonts w:ascii="Courier New" w:cs="Courier New" w:eastAsia="Courier New" w:hAnsi="Courier New"/>
          <w:sz w:val="16"/>
          <w:szCs w:val="16"/>
          <w:color w:val="auto"/>
        </w:rPr>
        <w:t>During 1994, acquisitions and capital expenditures remained at a relatively high level. Working capital requirements, particularly inventory, as discussed previously, increased above 1993. These are the primary factors causing the Company to exceed its objective.</w:t>
      </w:r>
    </w:p>
    <w:p>
      <w:pPr>
        <w:spacing w:after="0" w:line="182" w:lineRule="exact"/>
        <w:rPr>
          <w:sz w:val="20"/>
          <w:szCs w:val="20"/>
          <w:color w:val="auto"/>
        </w:rPr>
      </w:pPr>
    </w:p>
    <w:p>
      <w:pPr>
        <w:ind w:right="3359" w:firstLine="211"/>
        <w:spacing w:after="0" w:line="273" w:lineRule="auto"/>
        <w:rPr>
          <w:sz w:val="20"/>
          <w:szCs w:val="20"/>
          <w:color w:val="auto"/>
        </w:rPr>
      </w:pPr>
      <w:r>
        <w:rPr>
          <w:rFonts w:ascii="Courier New" w:cs="Courier New" w:eastAsia="Courier New" w:hAnsi="Courier New"/>
          <w:sz w:val="16"/>
          <w:szCs w:val="16"/>
          <w:color w:val="auto"/>
        </w:rPr>
        <w:t>Management is implementing programs to bring our debt/capital ratio within our objective over time. The principal program is to reduce inventories significantly. This is a major priority for operating management and is included in a revised management incentive program as an important component of incentive pay.</w:t>
      </w:r>
    </w:p>
    <w:p>
      <w:pPr>
        <w:sectPr>
          <w:pgSz w:w="11900" w:h="16838" w:orient="portrait"/>
          <w:cols w:equalWidth="0" w:num="1">
            <w:col w:w="10219"/>
          </w:cols>
          <w:pgMar w:left="240" w:top="142" w:right="1440" w:bottom="0" w:gutter="0" w:footer="0" w:header="0"/>
        </w:sectPr>
      </w:pPr>
    </w:p>
    <w:bookmarkStart w:id="15" w:name="page16"/>
    <w:bookmarkEnd w:id="15"/>
    <w:p>
      <w:pPr>
        <w:ind w:right="4199" w:firstLine="211"/>
        <w:spacing w:after="0" w:line="268" w:lineRule="auto"/>
        <w:rPr>
          <w:sz w:val="20"/>
          <w:szCs w:val="20"/>
          <w:color w:val="auto"/>
        </w:rPr>
      </w:pPr>
      <w:r>
        <w:rPr>
          <w:rFonts w:ascii="Courier New" w:cs="Courier New" w:eastAsia="Courier New" w:hAnsi="Courier New"/>
          <w:sz w:val="16"/>
          <w:szCs w:val="16"/>
          <w:color w:val="auto"/>
        </w:rPr>
        <w:t>In 1994, the Company's long-term debt rating of "A" was reaffirmed by both major debt-rating services. Operating</w:t>
      </w:r>
    </w:p>
    <w:p>
      <w:pPr>
        <w:ind w:right="3259"/>
        <w:spacing w:after="0" w:line="235" w:lineRule="auto"/>
        <w:rPr>
          <w:sz w:val="20"/>
          <w:szCs w:val="20"/>
          <w:color w:val="auto"/>
        </w:rPr>
      </w:pPr>
      <w:r>
        <w:rPr>
          <w:rFonts w:ascii="Courier New" w:cs="Courier New" w:eastAsia="Courier New" w:hAnsi="Courier New"/>
          <w:sz w:val="18"/>
          <w:szCs w:val="18"/>
          <w:color w:val="auto"/>
        </w:rPr>
        <w:t>cash flows remain strong and should be sufficient to cover capital expenditures and dividend payouts in 1995.</w:t>
      </w:r>
    </w:p>
    <w:p>
      <w:pPr>
        <w:spacing w:after="0" w:line="208" w:lineRule="exact"/>
        <w:rPr>
          <w:sz w:val="20"/>
          <w:szCs w:val="20"/>
          <w:color w:val="auto"/>
        </w:rPr>
      </w:pPr>
    </w:p>
    <w:p>
      <w:pPr>
        <w:ind w:right="3159" w:firstLine="211"/>
        <w:spacing w:after="0" w:line="271" w:lineRule="auto"/>
        <w:rPr>
          <w:sz w:val="20"/>
          <w:szCs w:val="20"/>
          <w:color w:val="auto"/>
        </w:rPr>
      </w:pPr>
      <w:r>
        <w:rPr>
          <w:rFonts w:ascii="Courier New" w:cs="Courier New" w:eastAsia="Courier New" w:hAnsi="Courier New"/>
          <w:sz w:val="16"/>
          <w:szCs w:val="16"/>
          <w:color w:val="auto"/>
        </w:rPr>
        <w:t>During 1994, the Company issued the remaining $120 million in medium-term notes under the $150 million program authorized in 1993. Notes issued in 1994 under the program have expiration dates ranging from 2004 to 2024 at rates of 6.24% to 8.12%. At yearend, $150 million of the notes had been issued with expiration dates ranging from 2004 to 2024 at rates of 5.78% to 8.12%. The notes due in 2024 have put options with notification dates in 2004.</w:t>
      </w:r>
    </w:p>
    <w:p>
      <w:pPr>
        <w:spacing w:after="0" w:line="188" w:lineRule="exact"/>
        <w:rPr>
          <w:sz w:val="20"/>
          <w:szCs w:val="20"/>
          <w:color w:val="auto"/>
        </w:rPr>
      </w:pPr>
    </w:p>
    <w:p>
      <w:pPr>
        <w:ind w:right="3479" w:firstLine="211"/>
        <w:spacing w:after="0" w:line="236" w:lineRule="auto"/>
        <w:rPr>
          <w:sz w:val="20"/>
          <w:szCs w:val="20"/>
          <w:color w:val="auto"/>
        </w:rPr>
      </w:pPr>
      <w:r>
        <w:rPr>
          <w:rFonts w:ascii="Courier New" w:cs="Courier New" w:eastAsia="Courier New" w:hAnsi="Courier New"/>
          <w:sz w:val="18"/>
          <w:szCs w:val="18"/>
          <w:color w:val="auto"/>
        </w:rPr>
        <w:t>In June 1993, the Company authorized an additional 2 million share repurchase program which was approximately 33% complete at fiscal yearend.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EXPENDITURES ($ MILLIONS)</w:t>
      </w:r>
    </w:p>
    <w:p>
      <w:pPr>
        <w:spacing w:after="0" w:line="207"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[At this point a bar graph entitled Capital Expenditures and depicting property additions and depreciation in millions of dollars for the fiscal years 1990 through 1994 appears and is represented by the following table]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YEAR</w:t>
            </w:r>
          </w:p>
        </w:tc>
        <w:tc>
          <w:tcPr>
            <w:tcW w:w="28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PROPERTY ADDITIONS</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DEPRECIATION</w:t>
            </w:r>
          </w:p>
        </w:tc>
      </w:tr>
      <w:tr>
        <w:trPr>
          <w:trHeight w:val="203"/>
        </w:trPr>
        <w:tc>
          <w:tcPr>
            <w:tcW w:w="740" w:type="dxa"/>
            <w:vAlign w:val="bottom"/>
          </w:tcPr>
          <w:p>
            <w:pPr>
              <w:spacing w:after="0"/>
              <w:rPr>
                <w:sz w:val="17"/>
                <w:szCs w:val="17"/>
                <w:color w:val="auto"/>
              </w:rPr>
            </w:pPr>
          </w:p>
        </w:tc>
        <w:tc>
          <w:tcPr>
            <w:tcW w:w="284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($MILLIONS)</w:t>
            </w:r>
          </w:p>
        </w:tc>
        <w:tc>
          <w:tcPr>
            <w:tcW w:w="1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($MILLIONS)</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1990</w:t>
            </w:r>
          </w:p>
        </w:tc>
        <w:tc>
          <w:tcPr>
            <w:tcW w:w="284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58</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rPr>
              <w:t>33</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1991</w:t>
            </w:r>
          </w:p>
        </w:tc>
        <w:tc>
          <w:tcPr>
            <w:tcW w:w="284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73</w:t>
            </w:r>
          </w:p>
        </w:tc>
        <w:tc>
          <w:tcPr>
            <w:tcW w:w="190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284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79</w:t>
            </w:r>
          </w:p>
        </w:tc>
        <w:tc>
          <w:tcPr>
            <w:tcW w:w="190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284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76</w:t>
            </w:r>
          </w:p>
        </w:tc>
        <w:tc>
          <w:tcPr>
            <w:tcW w:w="190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284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88</w:t>
            </w:r>
          </w:p>
        </w:tc>
        <w:tc>
          <w:tcPr>
            <w:tcW w:w="190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rPr>
              <w:t>57</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EXPENDITURES</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Capital expenditures were $88 million in 1994 versus $76 million in 1993 and $79 million in 1992. The majority of our capital spending is oriented toward projects that increase efficiency and improve yields or expand capacity. Major capital spending projects in 1994 included the following:</w:t>
      </w:r>
    </w:p>
    <w:p>
      <w:pPr>
        <w:spacing w:after="0" w:line="209"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Installation of new bottle and tube equipment to support new business in our packaging group,</w:t>
      </w:r>
    </w:p>
    <w:p>
      <w:pPr>
        <w:spacing w:after="0" w:line="208" w:lineRule="exact"/>
        <w:rPr>
          <w:sz w:val="20"/>
          <w:szCs w:val="20"/>
          <w:color w:val="auto"/>
        </w:rPr>
      </w:pPr>
    </w:p>
    <w:p>
      <w:pPr>
        <w:ind w:right="3359"/>
        <w:spacing w:after="0" w:line="290" w:lineRule="auto"/>
        <w:rPr>
          <w:sz w:val="20"/>
          <w:szCs w:val="20"/>
          <w:color w:val="auto"/>
        </w:rPr>
      </w:pPr>
      <w:r>
        <w:rPr>
          <w:rFonts w:ascii="Courier New" w:cs="Courier New" w:eastAsia="Courier New" w:hAnsi="Courier New"/>
          <w:sz w:val="16"/>
          <w:szCs w:val="16"/>
          <w:color w:val="auto"/>
        </w:rPr>
        <w:t>Reengineering of the Hunt Valley consumer packaging operation to reduce costs, fully automate case packing and improve throughput,</w:t>
      </w:r>
    </w:p>
    <w:p>
      <w:pPr>
        <w:spacing w:after="0" w:line="170"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Initial phases of construction of a new facility in Guangzhou, China, to produce sauces, syrups and toppings for major industrial and fast food customers,</w:t>
      </w:r>
    </w:p>
    <w:p>
      <w:pPr>
        <w:spacing w:after="0" w:line="209"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Upgrading of existing facility and installation of wet sauce process and packaging equipment at McCormick Australia,</w:t>
      </w:r>
    </w:p>
    <w:p>
      <w:pPr>
        <w:spacing w:after="0" w:line="170"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Installation of a thermal energy storage system to increase power output at Gilroy Energy, and</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Expansion of capacity and efficiency improvements at our Toronto industrial seasoning plant.</w:t>
      </w:r>
    </w:p>
    <w:p>
      <w:pPr>
        <w:spacing w:after="0" w:line="208"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We will continue to pursue capital spending projects which will add profitable growth and help ensure our position as a low-cost producer. We anticipate that capital spending in 1995, including capital associated with our restructuring plan, will be at the same level as recent years.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Dividends have increased 13 times since 1987 and have risen at a compounded rate of 21%. Total dividends paid during fiscal 1994 were $39.0 million versus $35.6 million in 1993 and $30.4 million in 1992. In December 1993, the Board of Directors authorized an increase in the annual dividend rate from $.44 per share to $.48 per share. The quarterly dividends paid during the past three years are summarized below.</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 PAID PER SHARE (DOLLARS)</w:t>
      </w:r>
    </w:p>
    <w:p>
      <w:pPr>
        <w:sectPr>
          <w:pgSz w:w="11900" w:h="16838" w:orient="portrait"/>
          <w:cols w:equalWidth="0" w:num="1">
            <w:col w:w="10219"/>
          </w:cols>
          <w:pgMar w:left="240" w:top="344" w:right="1440" w:bottom="0" w:gutter="0" w:footer="0" w:header="0"/>
        </w:sectPr>
      </w:pPr>
    </w:p>
    <w:bookmarkStart w:id="16" w:name="page17"/>
    <w:bookmarkEnd w:id="16"/>
    <w:p>
      <w:pPr>
        <w:ind w:right="3900"/>
        <w:spacing w:after="0" w:line="236" w:lineRule="auto"/>
        <w:rPr>
          <w:sz w:val="20"/>
          <w:szCs w:val="20"/>
          <w:color w:val="auto"/>
        </w:rPr>
      </w:pPr>
      <w:r>
        <w:rPr>
          <w:rFonts w:ascii="Courier New" w:cs="Courier New" w:eastAsia="Courier New" w:hAnsi="Courier New"/>
          <w:sz w:val="18"/>
          <w:szCs w:val="18"/>
          <w:color w:val="auto"/>
        </w:rPr>
        <w:t>[At this point a bar graph depicting dividends paid per share for the fiscal the fiscal years 1990 through 1994 appears and is represented by the following table]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YEAR</w:t>
            </w:r>
          </w:p>
        </w:tc>
        <w:tc>
          <w:tcPr>
            <w:tcW w:w="41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DIVIDENDS PAID PER SHARE (DOLLARS)</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1990</w:t>
            </w:r>
          </w:p>
        </w:tc>
        <w:tc>
          <w:tcPr>
            <w:tcW w:w="1580" w:type="dxa"/>
            <w:vAlign w:val="bottom"/>
          </w:tcPr>
          <w:p>
            <w:pPr>
              <w:spacing w:after="0"/>
              <w:rPr>
                <w:sz w:val="24"/>
                <w:szCs w:val="24"/>
                <w:color w:val="auto"/>
              </w:rPr>
            </w:pP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.23</w:t>
            </w:r>
          </w:p>
        </w:tc>
        <w:tc>
          <w:tcPr>
            <w:tcW w:w="100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1991</w:t>
            </w:r>
          </w:p>
        </w:tc>
        <w:tc>
          <w:tcPr>
            <w:tcW w:w="158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.28</w:t>
            </w:r>
          </w:p>
        </w:tc>
        <w:tc>
          <w:tcPr>
            <w:tcW w:w="100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158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.38</w:t>
            </w:r>
          </w:p>
        </w:tc>
        <w:tc>
          <w:tcPr>
            <w:tcW w:w="100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158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.44</w:t>
            </w:r>
          </w:p>
        </w:tc>
        <w:tc>
          <w:tcPr>
            <w:tcW w:w="100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158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.48</w:t>
            </w:r>
          </w:p>
        </w:tc>
        <w:tc>
          <w:tcPr>
            <w:tcW w:w="1000" w:type="dxa"/>
            <w:vAlign w:val="bottom"/>
          </w:tcPr>
          <w:p>
            <w:pPr>
              <w:spacing w:after="0"/>
              <w:rPr>
                <w:sz w:val="17"/>
                <w:szCs w:val="17"/>
                <w:color w:val="auto"/>
              </w:rPr>
            </w:pPr>
          </w:p>
        </w:tc>
      </w:tr>
      <w:tr>
        <w:trPr>
          <w:trHeight w:val="608"/>
        </w:trPr>
        <w:tc>
          <w:tcPr>
            <w:tcW w:w="2060" w:type="dxa"/>
            <w:vAlign w:val="bottom"/>
          </w:tcPr>
          <w:p>
            <w:pPr>
              <w:spacing w:after="0"/>
              <w:rPr>
                <w:sz w:val="24"/>
                <w:szCs w:val="24"/>
                <w:color w:val="auto"/>
              </w:rPr>
            </w:pP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1994</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1993</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First Quarter</w:t>
            </w: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$.12</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$.11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$.09</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Second Quarter</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w:t>
            </w:r>
          </w:p>
        </w:tc>
        <w:tc>
          <w:tcPr>
            <w:tcW w:w="15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Quarter</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w:t>
            </w:r>
          </w:p>
        </w:tc>
        <w:tc>
          <w:tcPr>
            <w:tcW w:w="15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Fourth Quarter</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w:t>
            </w:r>
          </w:p>
        </w:tc>
        <w:tc>
          <w:tcPr>
            <w:tcW w:w="15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$.48</w:t>
            </w: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$.44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bl>
    <w:p>
      <w:pPr>
        <w:spacing w:after="0" w:line="207" w:lineRule="exact"/>
        <w:rPr>
          <w:sz w:val="20"/>
          <w:szCs w:val="20"/>
          <w:color w:val="auto"/>
        </w:rPr>
      </w:pPr>
    </w:p>
    <w:p>
      <w:pPr>
        <w:ind w:right="3700" w:firstLine="211"/>
        <w:spacing w:after="0" w:line="237" w:lineRule="auto"/>
        <w:rPr>
          <w:sz w:val="20"/>
          <w:szCs w:val="20"/>
          <w:color w:val="auto"/>
        </w:rPr>
      </w:pPr>
      <w:r>
        <w:rPr>
          <w:rFonts w:ascii="Courier New" w:cs="Courier New" w:eastAsia="Courier New" w:hAnsi="Courier New"/>
          <w:sz w:val="18"/>
          <w:szCs w:val="18"/>
          <w:color w:val="auto"/>
        </w:rPr>
        <w:t>In December 1994, the Board of Directors approved an increase in the quarterly dividend from $.12 to $.13 per share, an 8% increase. Our objective is to pay dividends equal to 25-35% of current net income to shareholders of common stocks.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RANGE OF COMMON STOCK</w:t>
      </w:r>
    </w:p>
    <w:p>
      <w:pPr>
        <w:spacing w:after="0" w:line="207" w:lineRule="exact"/>
        <w:rPr>
          <w:sz w:val="20"/>
          <w:szCs w:val="20"/>
          <w:color w:val="auto"/>
        </w:rPr>
      </w:pPr>
    </w:p>
    <w:p>
      <w:pPr>
        <w:ind w:right="4320"/>
        <w:spacing w:after="0" w:line="236" w:lineRule="auto"/>
        <w:rPr>
          <w:sz w:val="20"/>
          <w:szCs w:val="20"/>
          <w:color w:val="auto"/>
        </w:rPr>
      </w:pPr>
      <w:r>
        <w:rPr>
          <w:rFonts w:ascii="Courier New" w:cs="Courier New" w:eastAsia="Courier New" w:hAnsi="Courier New"/>
          <w:sz w:val="18"/>
          <w:szCs w:val="18"/>
          <w:color w:val="auto"/>
        </w:rPr>
        <w:t>The high and low closing prices of common stock during fiscal quarters as reported on the NASDAQ national market follow: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rPr>
              <w:t>1994</w:t>
            </w:r>
          </w:p>
        </w:tc>
        <w:tc>
          <w:tcPr>
            <w:tcW w:w="9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c>
          <w:tcPr>
            <w:tcW w:w="680" w:type="dxa"/>
            <w:vAlign w:val="bottom"/>
          </w:tcPr>
          <w:p>
            <w:pPr>
              <w:spacing w:after="0"/>
              <w:rPr>
                <w:sz w:val="17"/>
                <w:szCs w:val="17"/>
                <w:color w:val="auto"/>
              </w:rPr>
            </w:pPr>
          </w:p>
        </w:tc>
      </w:tr>
      <w:tr>
        <w:trPr>
          <w:trHeight w:val="203"/>
        </w:trPr>
        <w:tc>
          <w:tcPr>
            <w:tcW w:w="2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Quarter ended</w:t>
            </w:r>
          </w:p>
        </w:tc>
        <w:tc>
          <w:tcPr>
            <w:tcW w:w="18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High</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Low</w:t>
            </w: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High</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Low</w:t>
            </w:r>
          </w:p>
        </w:tc>
      </w:tr>
      <w:tr>
        <w:trPr>
          <w:trHeight w:val="405"/>
        </w:trPr>
        <w:tc>
          <w:tcPr>
            <w:tcW w:w="2280" w:type="dxa"/>
            <w:vAlign w:val="bottom"/>
            <w:gridSpan w:val="4"/>
          </w:tcPr>
          <w:p>
            <w:pPr>
              <w:spacing w:after="0"/>
              <w:rPr>
                <w:sz w:val="20"/>
                <w:szCs w:val="20"/>
                <w:color w:val="auto"/>
              </w:rPr>
            </w:pPr>
            <w:r>
              <w:rPr>
                <w:rFonts w:ascii="Courier New" w:cs="Courier New" w:eastAsia="Courier New" w:hAnsi="Courier New"/>
                <w:sz w:val="18"/>
                <w:szCs w:val="18"/>
                <w:color w:val="auto"/>
              </w:rPr>
              <w:t>February 28</w:t>
            </w:r>
          </w:p>
        </w:tc>
        <w:tc>
          <w:tcPr>
            <w:tcW w:w="18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$24.75</w:t>
            </w: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$21.00</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$30.25</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$24.75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May</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23.50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22.50</w:t>
            </w:r>
          </w:p>
        </w:tc>
      </w:tr>
      <w:tr>
        <w:trPr>
          <w:trHeight w:val="203"/>
        </w:trPr>
        <w:tc>
          <w:tcPr>
            <w:tcW w:w="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August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1320" w:type="dxa"/>
            <w:vAlign w:val="bottom"/>
          </w:tcPr>
          <w:p>
            <w:pPr>
              <w:spacing w:after="0"/>
              <w:rPr>
                <w:sz w:val="17"/>
                <w:szCs w:val="17"/>
                <w:color w:val="auto"/>
              </w:rPr>
            </w:pPr>
          </w:p>
        </w:tc>
        <w:tc>
          <w:tcPr>
            <w:tcW w:w="1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22.50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17.75</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24.75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20.50</w:t>
            </w:r>
          </w:p>
        </w:tc>
      </w:tr>
      <w:tr>
        <w:trPr>
          <w:trHeight w:val="203"/>
        </w:trPr>
        <w:tc>
          <w:tcPr>
            <w:tcW w:w="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November</w:t>
            </w:r>
          </w:p>
        </w:tc>
        <w:tc>
          <w:tcPr>
            <w:tcW w:w="13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w w:val="83"/>
              </w:rPr>
              <w:t>30</w:t>
            </w:r>
          </w:p>
        </w:tc>
        <w:tc>
          <w:tcPr>
            <w:tcW w:w="1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20.38</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17.75</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26.25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Historical Financial Summary</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20" w:type="dxa"/>
            <w:vAlign w:val="bottom"/>
            <w:gridSpan w:val="5"/>
          </w:tcPr>
          <w:p>
            <w:pPr>
              <w:jc w:val="right"/>
              <w:ind w:right="12"/>
              <w:spacing w:after="0"/>
              <w:rPr>
                <w:sz w:val="20"/>
                <w:szCs w:val="20"/>
                <w:color w:val="auto"/>
              </w:rPr>
            </w:pPr>
            <w:r>
              <w:rPr>
                <w:rFonts w:ascii="Courier New" w:cs="Courier New" w:eastAsia="Courier New" w:hAnsi="Courier New"/>
                <w:sz w:val="18"/>
                <w:szCs w:val="18"/>
                <w:color w:val="auto"/>
              </w:rPr>
              <w:t>(dollars in millions except per-share</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data)</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1994</w:t>
            </w: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1993</w:t>
            </w: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1992</w:t>
            </w: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1991</w:t>
            </w: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1990</w:t>
            </w:r>
          </w:p>
        </w:tc>
        <w:tc>
          <w:tcPr>
            <w:tcW w:w="8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7"/>
              </w:rPr>
              <w:t>1989</w:t>
            </w: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1988</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1987</w:t>
            </w:r>
          </w:p>
        </w:tc>
        <w:tc>
          <w:tcPr>
            <w:tcW w:w="7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1986</w:t>
            </w:r>
          </w:p>
        </w:tc>
        <w:tc>
          <w:tcPr>
            <w:tcW w:w="7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1985</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1,694.8</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1,556.6</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1,471.4</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1,427.9</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1,323.0</w:t>
            </w:r>
          </w:p>
        </w:tc>
        <w:tc>
          <w:tcPr>
            <w:tcW w:w="17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1,246.1 1,220.3</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1,078.5</w:t>
            </w:r>
          </w:p>
        </w:tc>
        <w:tc>
          <w:tcPr>
            <w:tcW w:w="720" w:type="dxa"/>
            <w:vAlign w:val="bottom"/>
          </w:tcPr>
          <w:p>
            <w:pPr>
              <w:jc w:val="right"/>
              <w:ind w:right="52"/>
              <w:spacing w:after="0"/>
              <w:rPr>
                <w:sz w:val="20"/>
                <w:szCs w:val="20"/>
                <w:color w:val="auto"/>
              </w:rPr>
            </w:pPr>
            <w:r>
              <w:rPr>
                <w:rFonts w:ascii="Courier New" w:cs="Courier New" w:eastAsia="Courier New" w:hAnsi="Courier New"/>
                <w:sz w:val="18"/>
                <w:szCs w:val="18"/>
                <w:color w:val="auto"/>
              </w:rPr>
              <w:t>975.7</w:t>
            </w: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873.0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1,066.6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953.4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887.4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886.6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838.2</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805.9</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812.6</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710.2</w:t>
            </w: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637.4</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564.5</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628.2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584.0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541.3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484.8</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440.2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407.7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368.3</w:t>
            </w: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338.3</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308.5</w:t>
            </w:r>
          </w:p>
        </w:tc>
      </w:tr>
      <w:tr>
        <w:trPr>
          <w:trHeight w:val="203"/>
        </w:trPr>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Selling, general &amp; admin.</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exp.</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429.6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422.7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416.8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395.8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357.7</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338.2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312.9</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305.2</w:t>
            </w: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271.3</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247.9</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70.4</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profit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127.1</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94.8</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63.1</w:t>
            </w: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67.0</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60.6</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&amp; other</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income/exp.</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149.9</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114.9</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104.3</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63.8</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40.6</w:t>
            </w: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43.5</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39.2</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(38.6)</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 consolidated</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ops.</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65.7</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w:t>
            </w: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24.1</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Income - unconsolidated</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ops.</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 continuing</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ops.</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80.9</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69.4</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24.4</w:t>
            </w: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24.4</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 discont. real</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estate ops.(F1)</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w:t>
            </w: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5.3</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Accounting changes(F2)</w:t>
            </w:r>
          </w:p>
        </w:tc>
        <w:tc>
          <w:tcPr>
            <w:tcW w:w="9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w:t>
            </w: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80.9</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69.4</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30.6</w:t>
            </w: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29.7</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27.8</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Gross profit margin</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37.1%</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38.7%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39.7%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37.9%</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36.6%</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35.3%</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33.4%</w:t>
            </w:r>
          </w:p>
        </w:tc>
        <w:tc>
          <w:tcPr>
            <w:tcW w:w="23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34.1%  34.7%  35.3%</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profit margin</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Profit margin -</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consolidated</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Percent change over prior year</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w:t>
            </w:r>
          </w:p>
        </w:tc>
      </w:tr>
    </w:tbl>
    <w:p>
      <w:pPr>
        <w:sectPr>
          <w:pgSz w:w="11900" w:h="16838" w:orient="portrait"/>
          <w:cols w:equalWidth="0" w:num="1">
            <w:col w:w="10760"/>
          </w:cols>
          <w:pgMar w:left="240" w:top="142" w:right="89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w w:val="97"/>
              </w:rPr>
              <w:t>Income - continuing ops.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(38.6)%</w:t>
            </w:r>
          </w:p>
        </w:tc>
        <w:tc>
          <w:tcPr>
            <w:tcW w:w="40" w:type="dxa"/>
            <w:vAlign w:val="bottom"/>
          </w:tcPr>
          <w:p>
            <w:pPr>
              <w:spacing w:after="0"/>
              <w:rPr>
                <w:sz w:val="17"/>
                <w:szCs w:val="17"/>
                <w:color w:val="auto"/>
              </w:rPr>
            </w:pPr>
          </w:p>
        </w:tc>
        <w:tc>
          <w:tcPr>
            <w:tcW w:w="8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4.7%</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17.7%</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16.6%</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32.1%</w:t>
            </w:r>
          </w:p>
        </w:tc>
        <w:tc>
          <w:tcPr>
            <w:tcW w:w="8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47.5%</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45.9%</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13.0%</w:t>
            </w: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(21.7)%</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Effective tax rate</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38.8%</w:t>
            </w:r>
          </w:p>
        </w:tc>
        <w:tc>
          <w:tcPr>
            <w:tcW w:w="40" w:type="dxa"/>
            <w:vAlign w:val="bottom"/>
          </w:tcPr>
          <w:p>
            <w:pPr>
              <w:spacing w:after="0"/>
              <w:rPr>
                <w:sz w:val="17"/>
                <w:szCs w:val="17"/>
                <w:color w:val="auto"/>
              </w:rPr>
            </w:pP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40.4%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37.0%</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43.6%</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44.6%</w:t>
            </w:r>
          </w:p>
        </w:tc>
        <w:tc>
          <w:tcPr>
            <w:tcW w:w="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46.2%</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LIQUIDITY</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Depreciation and</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amortization</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62.5</w:t>
            </w:r>
          </w:p>
        </w:tc>
        <w:tc>
          <w:tcPr>
            <w:tcW w:w="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50.5</w:t>
            </w:r>
          </w:p>
        </w:tc>
        <w:tc>
          <w:tcPr>
            <w:tcW w:w="26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43.8</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40.5</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36.6</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34.8</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29.8</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30.4</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24.5</w:t>
            </w:r>
          </w:p>
        </w:tc>
        <w:tc>
          <w:tcPr>
            <w:tcW w:w="60" w:type="dxa"/>
            <w:vAlign w:val="bottom"/>
          </w:tcPr>
          <w:p>
            <w:pPr>
              <w:spacing w:after="0"/>
              <w:rPr>
                <w:sz w:val="17"/>
                <w:szCs w:val="17"/>
                <w:color w:val="auto"/>
              </w:rPr>
            </w:pP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23.5</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87.7</w:t>
            </w:r>
          </w:p>
        </w:tc>
        <w:tc>
          <w:tcPr>
            <w:tcW w:w="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76.1</w:t>
            </w:r>
          </w:p>
        </w:tc>
        <w:tc>
          <w:tcPr>
            <w:tcW w:w="26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79.3</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58.4</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53.4</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50.4</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81.7</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82.9</w:t>
            </w:r>
          </w:p>
        </w:tc>
        <w:tc>
          <w:tcPr>
            <w:tcW w:w="60" w:type="dxa"/>
            <w:vAlign w:val="bottom"/>
          </w:tcPr>
          <w:p>
            <w:pPr>
              <w:spacing w:after="0"/>
              <w:rPr>
                <w:sz w:val="17"/>
                <w:szCs w:val="17"/>
                <w:color w:val="auto"/>
              </w:rPr>
            </w:pP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41.3</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Current ratio</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26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w:t>
            </w:r>
          </w:p>
        </w:tc>
        <w:tc>
          <w:tcPr>
            <w:tcW w:w="60" w:type="dxa"/>
            <w:vAlign w:val="bottom"/>
          </w:tcPr>
          <w:p>
            <w:pPr>
              <w:spacing w:after="0"/>
              <w:rPr>
                <w:sz w:val="17"/>
                <w:szCs w:val="17"/>
                <w:color w:val="auto"/>
              </w:rPr>
            </w:pP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CAPITAL STRUCTURE</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Current debt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211.9</w:t>
            </w: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82.6</w:t>
            </w:r>
          </w:p>
        </w:tc>
        <w:tc>
          <w:tcPr>
            <w:tcW w:w="260" w:type="dxa"/>
            <w:vAlign w:val="bottom"/>
          </w:tcPr>
          <w:p>
            <w:pPr>
              <w:spacing w:after="0"/>
              <w:rPr>
                <w:sz w:val="24"/>
                <w:szCs w:val="24"/>
                <w:color w:val="auto"/>
              </w:rPr>
            </w:pP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120.5</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76.7</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30.4</w:t>
            </w:r>
          </w:p>
        </w:tc>
        <w:tc>
          <w:tcPr>
            <w:tcW w:w="8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20.3</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49.5</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76.7</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51.9</w:t>
            </w:r>
          </w:p>
        </w:tc>
        <w:tc>
          <w:tcPr>
            <w:tcW w:w="60" w:type="dxa"/>
            <w:vAlign w:val="bottom"/>
          </w:tcPr>
          <w:p>
            <w:pPr>
              <w:spacing w:after="0"/>
              <w:rPr>
                <w:sz w:val="24"/>
                <w:szCs w:val="24"/>
                <w:color w:val="auto"/>
              </w:rPr>
            </w:pPr>
          </w:p>
        </w:tc>
        <w:tc>
          <w:tcPr>
            <w:tcW w:w="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56.5</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318.8</w:t>
            </w:r>
          </w:p>
        </w:tc>
        <w:tc>
          <w:tcPr>
            <w:tcW w:w="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288.8</w:t>
            </w:r>
          </w:p>
        </w:tc>
        <w:tc>
          <w:tcPr>
            <w:tcW w:w="26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141.3</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145.8</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148.2</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147.2</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166.1</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139.5</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102.2</w:t>
            </w:r>
          </w:p>
        </w:tc>
        <w:tc>
          <w:tcPr>
            <w:tcW w:w="60" w:type="dxa"/>
            <w:vAlign w:val="bottom"/>
          </w:tcPr>
          <w:p>
            <w:pPr>
              <w:spacing w:after="0"/>
              <w:rPr>
                <w:sz w:val="17"/>
                <w:szCs w:val="17"/>
                <w:color w:val="auto"/>
              </w:rPr>
            </w:pP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94.8</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Non-recourse debt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57.6</w:t>
            </w:r>
          </w:p>
        </w:tc>
        <w:tc>
          <w:tcPr>
            <w:tcW w:w="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59.7</w:t>
            </w:r>
          </w:p>
        </w:tc>
        <w:tc>
          <w:tcPr>
            <w:tcW w:w="26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61.8</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63.3</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63.3</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63.3</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63.3</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58.6</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24.6</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debt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588.3</w:t>
            </w:r>
          </w:p>
        </w:tc>
        <w:tc>
          <w:tcPr>
            <w:tcW w:w="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431.1</w:t>
            </w:r>
          </w:p>
        </w:tc>
        <w:tc>
          <w:tcPr>
            <w:tcW w:w="26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323.6</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285.8</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241.9</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230.8</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278.9</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274.8</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178.7</w:t>
            </w:r>
          </w:p>
        </w:tc>
        <w:tc>
          <w:tcPr>
            <w:tcW w:w="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151.3</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490.0</w:t>
            </w:r>
          </w:p>
        </w:tc>
        <w:tc>
          <w:tcPr>
            <w:tcW w:w="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466.8</w:t>
            </w:r>
          </w:p>
        </w:tc>
        <w:tc>
          <w:tcPr>
            <w:tcW w:w="194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437.9   389.2</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364.4</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346.2</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294.3</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280.6</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271.6</w:t>
            </w:r>
          </w:p>
        </w:tc>
        <w:tc>
          <w:tcPr>
            <w:tcW w:w="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261.1</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capital</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1,078.3</w:t>
            </w:r>
          </w:p>
        </w:tc>
        <w:tc>
          <w:tcPr>
            <w:tcW w:w="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897.9</w:t>
            </w:r>
          </w:p>
        </w:tc>
        <w:tc>
          <w:tcPr>
            <w:tcW w:w="194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761.5   675.0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606.3</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577.0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573.2</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555.4</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450.3</w:t>
            </w:r>
          </w:p>
        </w:tc>
        <w:tc>
          <w:tcPr>
            <w:tcW w:w="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412.4</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1,555.7 1,313.2</w:t>
            </w:r>
          </w:p>
        </w:tc>
        <w:tc>
          <w:tcPr>
            <w:tcW w:w="194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1,130.9 1,037.4</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946.9</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864.5</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846.4</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776.5</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648.1</w:t>
            </w:r>
          </w:p>
        </w:tc>
        <w:tc>
          <w:tcPr>
            <w:tcW w:w="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582.4</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Return on equity -</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continuing ops.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w:t>
            </w:r>
          </w:p>
        </w:tc>
        <w:tc>
          <w:tcPr>
            <w:tcW w:w="40" w:type="dxa"/>
            <w:vAlign w:val="bottom"/>
          </w:tcPr>
          <w:p>
            <w:pPr>
              <w:spacing w:after="0"/>
              <w:rPr>
                <w:sz w:val="17"/>
                <w:szCs w:val="17"/>
                <w:color w:val="auto"/>
              </w:rPr>
            </w:pP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22.0%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20.4%</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w:t>
            </w:r>
          </w:p>
        </w:tc>
        <w:tc>
          <w:tcPr>
            <w:tcW w:w="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Return on equity -</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w:t>
            </w:r>
          </w:p>
        </w:tc>
        <w:tc>
          <w:tcPr>
            <w:tcW w:w="40" w:type="dxa"/>
            <w:vAlign w:val="bottom"/>
          </w:tcPr>
          <w:p>
            <w:pPr>
              <w:spacing w:after="0"/>
              <w:rPr>
                <w:sz w:val="17"/>
                <w:szCs w:val="17"/>
                <w:color w:val="auto"/>
              </w:rPr>
            </w:pP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17.0%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20.4%</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w:t>
            </w:r>
          </w:p>
        </w:tc>
        <w:tc>
          <w:tcPr>
            <w:tcW w:w="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Percent debt to total</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54.6%</w:t>
            </w:r>
          </w:p>
        </w:tc>
        <w:tc>
          <w:tcPr>
            <w:tcW w:w="40" w:type="dxa"/>
            <w:vAlign w:val="bottom"/>
          </w:tcPr>
          <w:p>
            <w:pPr>
              <w:spacing w:after="0"/>
              <w:rPr>
                <w:sz w:val="17"/>
                <w:szCs w:val="17"/>
                <w:color w:val="auto"/>
              </w:rPr>
            </w:pP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48.0%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39.9%</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48.7%</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39.7%</w:t>
            </w:r>
          </w:p>
        </w:tc>
        <w:tc>
          <w:tcPr>
            <w:tcW w:w="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36.7%</w:t>
            </w:r>
          </w:p>
        </w:tc>
      </w:tr>
      <w:tr>
        <w:trPr>
          <w:trHeight w:val="203"/>
        </w:trPr>
        <w:tc>
          <w:tcPr>
            <w:tcW w:w="3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Debt to capital excluding</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non-recourse debt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52.0%</w:t>
            </w:r>
          </w:p>
        </w:tc>
        <w:tc>
          <w:tcPr>
            <w:tcW w:w="40" w:type="dxa"/>
            <w:vAlign w:val="bottom"/>
          </w:tcPr>
          <w:p>
            <w:pPr>
              <w:spacing w:after="0"/>
              <w:rPr>
                <w:sz w:val="17"/>
                <w:szCs w:val="17"/>
                <w:color w:val="auto"/>
              </w:rPr>
            </w:pP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44.3%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32.9%</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42.3%</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w:t>
            </w:r>
          </w:p>
        </w:tc>
        <w:tc>
          <w:tcPr>
            <w:tcW w:w="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36.7%</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PER COMMON SHARE(F3)</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w w:val="97"/>
              </w:rPr>
              <w:t>Income - continuing ops.</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.75</w:t>
            </w:r>
          </w:p>
        </w:tc>
        <w:tc>
          <w:tcPr>
            <w:tcW w:w="40" w:type="dxa"/>
            <w:vAlign w:val="bottom"/>
          </w:tcPr>
          <w:p>
            <w:pPr>
              <w:spacing w:after="0"/>
              <w:rPr>
                <w:sz w:val="24"/>
                <w:szCs w:val="24"/>
                <w:color w:val="auto"/>
              </w:rPr>
            </w:pPr>
          </w:p>
        </w:tc>
        <w:tc>
          <w:tcPr>
            <w:tcW w:w="8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1.22</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1.16</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.98</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.83</w:t>
            </w:r>
          </w:p>
        </w:tc>
        <w:tc>
          <w:tcPr>
            <w:tcW w:w="8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.38</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w:t>
            </w:r>
          </w:p>
        </w:tc>
        <w:tc>
          <w:tcPr>
            <w:tcW w:w="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Income - discont. real</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estate ops.(F1)</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w:t>
            </w:r>
          </w:p>
        </w:tc>
        <w:tc>
          <w:tcPr>
            <w:tcW w:w="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Income before accounting</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changes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w:t>
            </w:r>
          </w:p>
        </w:tc>
        <w:tc>
          <w:tcPr>
            <w:tcW w:w="40" w:type="dxa"/>
            <w:vAlign w:val="bottom"/>
          </w:tcPr>
          <w:p>
            <w:pPr>
              <w:spacing w:after="0"/>
              <w:rPr>
                <w:sz w:val="17"/>
                <w:szCs w:val="17"/>
                <w:color w:val="auto"/>
              </w:rPr>
            </w:pP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1.22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c>
          <w:tcPr>
            <w:tcW w:w="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Accounting changes(F2)</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w:t>
            </w: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earnings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w:t>
            </w:r>
          </w:p>
        </w:tc>
        <w:tc>
          <w:tcPr>
            <w:tcW w:w="40" w:type="dxa"/>
            <w:vAlign w:val="bottom"/>
          </w:tcPr>
          <w:p>
            <w:pPr>
              <w:spacing w:after="0"/>
              <w:rPr>
                <w:sz w:val="17"/>
                <w:szCs w:val="17"/>
                <w:color w:val="auto"/>
              </w:rPr>
            </w:pP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.89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c>
          <w:tcPr>
            <w:tcW w:w="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EPS growth from</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continuing ops.</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54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4%   14%</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Book value</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6.03</w:t>
            </w:r>
          </w:p>
        </w:tc>
        <w:tc>
          <w:tcPr>
            <w:tcW w:w="40" w:type="dxa"/>
            <w:vAlign w:val="bottom"/>
          </w:tcPr>
          <w:p>
            <w:pPr>
              <w:spacing w:after="0"/>
              <w:rPr>
                <w:sz w:val="17"/>
                <w:szCs w:val="17"/>
                <w:color w:val="auto"/>
              </w:rPr>
            </w:pP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5.70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4.56</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3.27</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2.83</w:t>
            </w:r>
          </w:p>
        </w:tc>
        <w:tc>
          <w:tcPr>
            <w:tcW w:w="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dividends</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declared(F4)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w:t>
            </w:r>
          </w:p>
        </w:tc>
        <w:tc>
          <w:tcPr>
            <w:tcW w:w="40" w:type="dxa"/>
            <w:vAlign w:val="bottom"/>
          </w:tcPr>
          <w:p>
            <w:pPr>
              <w:spacing w:after="0"/>
              <w:rPr>
                <w:sz w:val="17"/>
                <w:szCs w:val="17"/>
                <w:color w:val="auto"/>
              </w:rPr>
            </w:pP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c>
          <w:tcPr>
            <w:tcW w:w="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Market closing price:</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21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High</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24.75</w:t>
            </w:r>
          </w:p>
        </w:tc>
        <w:tc>
          <w:tcPr>
            <w:tcW w:w="40" w:type="dxa"/>
            <w:vAlign w:val="bottom"/>
          </w:tcPr>
          <w:p>
            <w:pPr>
              <w:spacing w:after="0"/>
              <w:rPr>
                <w:sz w:val="17"/>
                <w:szCs w:val="17"/>
                <w:color w:val="auto"/>
              </w:rPr>
            </w:pP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30.25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28.75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22.88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13.38</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7.25</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6.44</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5.66</w:t>
            </w:r>
          </w:p>
        </w:tc>
        <w:tc>
          <w:tcPr>
            <w:tcW w:w="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4.75</w:t>
            </w:r>
          </w:p>
        </w:tc>
      </w:tr>
      <w:tr>
        <w:trPr>
          <w:trHeight w:val="203"/>
        </w:trPr>
        <w:tc>
          <w:tcPr>
            <w:tcW w:w="380" w:type="dxa"/>
            <w:vAlign w:val="bottom"/>
          </w:tcPr>
          <w:p>
            <w:pPr>
              <w:spacing w:after="0"/>
              <w:rPr>
                <w:sz w:val="17"/>
                <w:szCs w:val="17"/>
                <w:color w:val="auto"/>
              </w:rPr>
            </w:pPr>
          </w:p>
        </w:tc>
        <w:tc>
          <w:tcPr>
            <w:tcW w:w="21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Low</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17.75</w:t>
            </w:r>
          </w:p>
        </w:tc>
        <w:tc>
          <w:tcPr>
            <w:tcW w:w="40" w:type="dxa"/>
            <w:vAlign w:val="bottom"/>
          </w:tcPr>
          <w:p>
            <w:pPr>
              <w:spacing w:after="0"/>
              <w:rPr>
                <w:sz w:val="17"/>
                <w:szCs w:val="17"/>
                <w:color w:val="auto"/>
              </w:rPr>
            </w:pP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20.40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20.63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9.13</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6.31</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3.85</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4.16</w:t>
            </w:r>
          </w:p>
        </w:tc>
        <w:tc>
          <w:tcPr>
            <w:tcW w:w="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3.85</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Dividend payout</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ratio(F5)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36.4%</w:t>
            </w:r>
          </w:p>
        </w:tc>
        <w:tc>
          <w:tcPr>
            <w:tcW w:w="40" w:type="dxa"/>
            <w:vAlign w:val="bottom"/>
          </w:tcPr>
          <w:p>
            <w:pPr>
              <w:spacing w:after="0"/>
              <w:rPr>
                <w:sz w:val="17"/>
                <w:szCs w:val="17"/>
                <w:color w:val="auto"/>
              </w:rPr>
            </w:pP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36.1%</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28.9%</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36.5%</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37.4%</w:t>
            </w:r>
          </w:p>
        </w:tc>
        <w:tc>
          <w:tcPr>
            <w:tcW w:w="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38.6%</w:t>
            </w:r>
          </w:p>
        </w:tc>
      </w:tr>
      <w:tr>
        <w:trPr>
          <w:trHeight w:val="405"/>
        </w:trPr>
        <w:tc>
          <w:tcPr>
            <w:tcW w:w="3540" w:type="dxa"/>
            <w:vAlign w:val="bottom"/>
            <w:gridSpan w:val="3"/>
          </w:tcPr>
          <w:p>
            <w:pPr>
              <w:spacing w:after="0"/>
              <w:rPr>
                <w:sz w:val="20"/>
                <w:szCs w:val="20"/>
                <w:color w:val="auto"/>
              </w:rPr>
            </w:pPr>
            <w:r>
              <w:rPr>
                <w:rFonts w:ascii="Courier New" w:cs="Courier New" w:eastAsia="Courier New" w:hAnsi="Courier New"/>
                <w:sz w:val="18"/>
                <w:szCs w:val="18"/>
                <w:color w:val="auto"/>
              </w:rPr>
              <w:t>Average shares outstanding</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equivalents (000's)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81,240</w:t>
            </w:r>
          </w:p>
        </w:tc>
        <w:tc>
          <w:tcPr>
            <w:tcW w:w="40" w:type="dxa"/>
            <w:vAlign w:val="bottom"/>
          </w:tcPr>
          <w:p>
            <w:pPr>
              <w:spacing w:after="0"/>
              <w:rPr>
                <w:sz w:val="17"/>
                <w:szCs w:val="17"/>
                <w:color w:val="auto"/>
              </w:rPr>
            </w:pP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81,766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81,918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82,396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83,720</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87,772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93,068</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94,408 96,848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98,000</w:t>
            </w:r>
          </w:p>
        </w:tc>
      </w:tr>
      <w:tr>
        <w:trPr>
          <w:trHeight w:val="810"/>
        </w:trPr>
        <w:tc>
          <w:tcPr>
            <w:tcW w:w="380" w:type="dxa"/>
            <w:vAlign w:val="bottom"/>
          </w:tcPr>
          <w:p>
            <w:pPr>
              <w:spacing w:after="0"/>
              <w:rPr>
                <w:sz w:val="20"/>
                <w:szCs w:val="20"/>
                <w:color w:val="auto"/>
              </w:rPr>
            </w:pPr>
            <w:r>
              <w:rPr>
                <w:rFonts w:ascii="Courier New" w:cs="Courier New" w:eastAsia="Courier New" w:hAnsi="Courier New"/>
                <w:sz w:val="18"/>
                <w:szCs w:val="18"/>
                <w:color w:val="auto"/>
              </w:rPr>
              <w:t>F1</w:t>
            </w:r>
          </w:p>
        </w:tc>
        <w:tc>
          <w:tcPr>
            <w:tcW w:w="8220" w:type="dxa"/>
            <w:vAlign w:val="bottom"/>
            <w:gridSpan w:val="10"/>
          </w:tcPr>
          <w:p>
            <w:pPr>
              <w:ind w:left="40"/>
              <w:spacing w:after="0"/>
              <w:rPr>
                <w:sz w:val="20"/>
                <w:szCs w:val="20"/>
                <w:color w:val="auto"/>
              </w:rPr>
            </w:pPr>
            <w:r>
              <w:rPr>
                <w:rFonts w:ascii="Courier New" w:cs="Courier New" w:eastAsia="Courier New" w:hAnsi="Courier New"/>
                <w:sz w:val="18"/>
                <w:szCs w:val="18"/>
                <w:color w:val="auto"/>
              </w:rPr>
              <w:t>The Company disposed of its wholly owned real estate subsidiary in 1989.</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F2</w:t>
            </w:r>
          </w:p>
        </w:tc>
        <w:tc>
          <w:tcPr>
            <w:tcW w:w="10480" w:type="dxa"/>
            <w:vAlign w:val="bottom"/>
            <w:gridSpan w:val="14"/>
          </w:tcPr>
          <w:p>
            <w:pPr>
              <w:ind w:left="40"/>
              <w:spacing w:after="0" w:line="203" w:lineRule="exact"/>
              <w:rPr>
                <w:sz w:val="20"/>
                <w:szCs w:val="20"/>
                <w:color w:val="auto"/>
              </w:rPr>
            </w:pPr>
            <w:r>
              <w:rPr>
                <w:rFonts w:ascii="Courier New" w:cs="Courier New" w:eastAsia="Courier New" w:hAnsi="Courier New"/>
                <w:sz w:val="18"/>
                <w:szCs w:val="18"/>
                <w:color w:val="auto"/>
                <w:w w:val="97"/>
              </w:rPr>
              <w:t>In 1993, the Company adopted SFAS No. 106, "Employers' Accounting for Postretirement Benefits Other</w:t>
            </w:r>
          </w:p>
        </w:tc>
      </w:tr>
      <w:tr>
        <w:trPr>
          <w:trHeight w:val="203"/>
        </w:trPr>
        <w:tc>
          <w:tcPr>
            <w:tcW w:w="380" w:type="dxa"/>
            <w:vAlign w:val="bottom"/>
          </w:tcPr>
          <w:p>
            <w:pPr>
              <w:spacing w:after="0"/>
              <w:rPr>
                <w:sz w:val="17"/>
                <w:szCs w:val="17"/>
                <w:color w:val="auto"/>
              </w:rPr>
            </w:pPr>
          </w:p>
        </w:tc>
        <w:tc>
          <w:tcPr>
            <w:tcW w:w="9000" w:type="dxa"/>
            <w:vAlign w:val="bottom"/>
            <w:gridSpan w:val="11"/>
          </w:tcPr>
          <w:p>
            <w:pPr>
              <w:ind w:left="40"/>
              <w:spacing w:after="0" w:line="203" w:lineRule="exact"/>
              <w:rPr>
                <w:sz w:val="20"/>
                <w:szCs w:val="20"/>
                <w:color w:val="auto"/>
              </w:rPr>
            </w:pPr>
            <w:r>
              <w:rPr>
                <w:rFonts w:ascii="Courier New" w:cs="Courier New" w:eastAsia="Courier New" w:hAnsi="Courier New"/>
                <w:sz w:val="18"/>
                <w:szCs w:val="18"/>
                <w:color w:val="auto"/>
                <w:w w:val="99"/>
              </w:rPr>
              <w:t>than Pensions," and in 1988, it adopted SFAS No. 96, "Accounting for Income Taxes."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F3</w:t>
            </w:r>
          </w:p>
        </w:tc>
        <w:tc>
          <w:tcPr>
            <w:tcW w:w="3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All share data adjusted for 2-for-1</w:t>
            </w:r>
          </w:p>
        </w:tc>
        <w:tc>
          <w:tcPr>
            <w:tcW w:w="6740" w:type="dxa"/>
            <w:vAlign w:val="bottom"/>
            <w:gridSpan w:val="10"/>
          </w:tcPr>
          <w:p>
            <w:pPr>
              <w:jc w:val="right"/>
              <w:ind w:right="432"/>
              <w:spacing w:after="0" w:line="203" w:lineRule="exact"/>
              <w:rPr>
                <w:sz w:val="20"/>
                <w:szCs w:val="20"/>
                <w:color w:val="auto"/>
              </w:rPr>
            </w:pPr>
            <w:r>
              <w:rPr>
                <w:rFonts w:ascii="Courier New" w:cs="Courier New" w:eastAsia="Courier New" w:hAnsi="Courier New"/>
                <w:sz w:val="18"/>
                <w:szCs w:val="18"/>
                <w:color w:val="auto"/>
                <w:w w:val="98"/>
              </w:rPr>
              <w:t>stock splits in January 1992, January 1990 and April 1988.</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F4</w:t>
            </w:r>
          </w:p>
        </w:tc>
        <w:tc>
          <w:tcPr>
            <w:tcW w:w="9740" w:type="dxa"/>
            <w:vAlign w:val="bottom"/>
            <w:gridSpan w:val="12"/>
          </w:tcPr>
          <w:p>
            <w:pPr>
              <w:ind w:left="40"/>
              <w:spacing w:after="0" w:line="203" w:lineRule="exact"/>
              <w:rPr>
                <w:sz w:val="20"/>
                <w:szCs w:val="20"/>
                <w:color w:val="auto"/>
              </w:rPr>
            </w:pPr>
            <w:r>
              <w:rPr>
                <w:rFonts w:ascii="Courier New" w:cs="Courier New" w:eastAsia="Courier New" w:hAnsi="Courier New"/>
                <w:sz w:val="18"/>
                <w:szCs w:val="18"/>
                <w:color w:val="auto"/>
              </w:rPr>
              <w:t>Includes fourth quarter dividends for the years 1986 and 1988-1993, which were declared</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in December of each of those years.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F5</w:t>
            </w:r>
          </w:p>
        </w:tc>
        <w:tc>
          <w:tcPr>
            <w:tcW w:w="9740" w:type="dxa"/>
            <w:vAlign w:val="bottom"/>
            <w:gridSpan w:val="12"/>
          </w:tcPr>
          <w:p>
            <w:pPr>
              <w:ind w:left="40"/>
              <w:spacing w:after="0" w:line="203" w:lineRule="exact"/>
              <w:rPr>
                <w:sz w:val="20"/>
                <w:szCs w:val="20"/>
                <w:color w:val="auto"/>
              </w:rPr>
            </w:pPr>
            <w:r>
              <w:rPr>
                <w:rFonts w:ascii="Courier New" w:cs="Courier New" w:eastAsia="Courier New" w:hAnsi="Courier New"/>
                <w:sz w:val="18"/>
                <w:szCs w:val="18"/>
                <w:color w:val="auto"/>
                <w:w w:val="98"/>
              </w:rPr>
              <w:t>Dividend payout ratio does not include gain on sale of discontinued real estate operations,</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7380" w:type="dxa"/>
            <w:vAlign w:val="bottom"/>
            <w:gridSpan w:val="9"/>
          </w:tcPr>
          <w:p>
            <w:pPr>
              <w:ind w:left="40"/>
              <w:spacing w:after="0" w:line="203" w:lineRule="exact"/>
              <w:rPr>
                <w:sz w:val="20"/>
                <w:szCs w:val="20"/>
                <w:color w:val="auto"/>
              </w:rPr>
            </w:pPr>
            <w:r>
              <w:rPr>
                <w:rFonts w:ascii="Courier New" w:cs="Courier New" w:eastAsia="Courier New" w:hAnsi="Courier New"/>
                <w:sz w:val="18"/>
                <w:szCs w:val="18"/>
                <w:color w:val="auto"/>
              </w:rPr>
              <w:t>cumulative effect of accounting changes and restructuring charge.</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[Photograph of various Company products, and other objects,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Income</w:t>
      </w:r>
    </w:p>
    <w:p>
      <w:pPr>
        <w:ind w:left="3800"/>
        <w:spacing w:after="0" w:line="238" w:lineRule="auto"/>
        <w:rPr>
          <w:sz w:val="20"/>
          <w:szCs w:val="20"/>
          <w:color w:val="auto"/>
        </w:rPr>
      </w:pPr>
      <w:r>
        <w:rPr>
          <w:rFonts w:ascii="Courier New" w:cs="Courier New" w:eastAsia="Courier New" w:hAnsi="Courier New"/>
          <w:sz w:val="18"/>
          <w:szCs w:val="18"/>
          <w:color w:val="auto"/>
        </w:rPr>
        <w:t>Year ended November 30</w:t>
      </w:r>
    </w:p>
    <w:p>
      <w:pPr>
        <w:ind w:left="2640"/>
        <w:spacing w:after="0"/>
        <w:tabs>
          <w:tab w:leader="none" w:pos="4200" w:val="left"/>
          <w:tab w:leader="none" w:pos="578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1993</w:t>
      </w:r>
      <w:r>
        <w:rPr>
          <w:sz w:val="20"/>
          <w:szCs w:val="20"/>
          <w:color w:val="auto"/>
        </w:rPr>
        <w:tab/>
      </w:r>
      <w:r>
        <w:rPr>
          <w:rFonts w:ascii="Courier New" w:cs="Courier New" w:eastAsia="Courier New" w:hAnsi="Courier New"/>
          <w:sz w:val="16"/>
          <w:szCs w:val="16"/>
          <w:color w:val="auto"/>
        </w:rPr>
        <w:t>1992</w:t>
      </w:r>
    </w:p>
    <w:p>
      <w:pPr>
        <w:ind w:left="3160"/>
        <w:spacing w:after="0" w:line="237" w:lineRule="auto"/>
        <w:rPr>
          <w:sz w:val="20"/>
          <w:szCs w:val="20"/>
          <w:color w:val="auto"/>
        </w:rPr>
      </w:pPr>
      <w:r>
        <w:rPr>
          <w:rFonts w:ascii="Courier New" w:cs="Courier New" w:eastAsia="Courier New" w:hAnsi="Courier New"/>
          <w:sz w:val="18"/>
          <w:szCs w:val="18"/>
          <w:color w:val="auto"/>
        </w:rPr>
        <w:t>(in thousands except per-share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$1,694,772</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$1,556,566</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$1,471,369</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1,066,573</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953,409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887,394</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628,199</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603,157</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583,975</w:t>
            </w:r>
          </w:p>
        </w:tc>
      </w:tr>
    </w:tbl>
    <w:p>
      <w:pPr>
        <w:sectPr>
          <w:pgSz w:w="11900" w:h="16838" w:orient="portrait"/>
          <w:cols w:equalWidth="0" w:num="1">
            <w:col w:w="10860"/>
          </w:cols>
          <w:pgMar w:left="240" w:top="136" w:right="79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Selling, general and</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 expense</w:t>
            </w:r>
          </w:p>
        </w:tc>
        <w:tc>
          <w:tcPr>
            <w:tcW w:w="11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429,518</w:t>
            </w: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422,700</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416,788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420" w:type="dxa"/>
            <w:vAlign w:val="bottom"/>
          </w:tcPr>
          <w:p>
            <w:pPr>
              <w:spacing w:after="0"/>
              <w:rPr>
                <w:sz w:val="17"/>
                <w:szCs w:val="17"/>
                <w:color w:val="auto"/>
              </w:rPr>
            </w:pP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70,445</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Profit from operations</w:t>
            </w:r>
          </w:p>
        </w:tc>
        <w:tc>
          <w:tcPr>
            <w:tcW w:w="4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128,236</w:t>
            </w:r>
          </w:p>
        </w:tc>
        <w:tc>
          <w:tcPr>
            <w:tcW w:w="84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180,457</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167,187</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Other income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6,175</w:t>
            </w:r>
          </w:p>
        </w:tc>
        <w:tc>
          <w:tcPr>
            <w:tcW w:w="84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6,397</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8,778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42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38,659</w:t>
            </w:r>
          </w:p>
        </w:tc>
        <w:tc>
          <w:tcPr>
            <w:tcW w:w="8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31,102</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30,895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8,774</w:t>
            </w:r>
          </w:p>
        </w:tc>
        <w:tc>
          <w:tcPr>
            <w:tcW w:w="8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5,862</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6,757</w:t>
            </w:r>
          </w:p>
        </w:tc>
      </w:tr>
      <w:tr>
        <w:trPr>
          <w:trHeight w:val="405"/>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Income before income taxes</w:t>
            </w: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86,978</w:t>
            </w:r>
          </w:p>
        </w:tc>
        <w:tc>
          <w:tcPr>
            <w:tcW w:w="84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149,890</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138,313</w:t>
            </w: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33,750</w:t>
            </w:r>
          </w:p>
        </w:tc>
        <w:tc>
          <w:tcPr>
            <w:tcW w:w="8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60,500</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53,000</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Income from consolidated</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w:t>
            </w:r>
          </w:p>
        </w:tc>
        <w:tc>
          <w:tcPr>
            <w:tcW w:w="42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53,228</w:t>
            </w:r>
          </w:p>
        </w:tc>
        <w:tc>
          <w:tcPr>
            <w:tcW w:w="8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89,390</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85,313</w:t>
            </w:r>
          </w:p>
        </w:tc>
      </w:tr>
      <w:tr>
        <w:trPr>
          <w:trHeight w:val="405"/>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Income from unconsolidated</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7,929</w:t>
            </w:r>
          </w:p>
        </w:tc>
        <w:tc>
          <w:tcPr>
            <w:tcW w:w="8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10,290</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9,904</w:t>
            </w:r>
          </w:p>
        </w:tc>
      </w:tr>
      <w:tr>
        <w:trPr>
          <w:trHeight w:val="405"/>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Net income before cumulative</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on prior years of</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accounting change</w:t>
            </w:r>
          </w:p>
        </w:tc>
        <w:tc>
          <w:tcPr>
            <w:tcW w:w="42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61,157</w:t>
            </w:r>
          </w:p>
        </w:tc>
        <w:tc>
          <w:tcPr>
            <w:tcW w:w="8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99,680</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95,217</w:t>
            </w:r>
          </w:p>
        </w:tc>
      </w:tr>
      <w:tr>
        <w:trPr>
          <w:trHeight w:val="405"/>
        </w:trPr>
        <w:tc>
          <w:tcPr>
            <w:tcW w:w="5700" w:type="dxa"/>
            <w:vAlign w:val="bottom"/>
            <w:gridSpan w:val="6"/>
          </w:tcPr>
          <w:p>
            <w:pPr>
              <w:spacing w:after="0"/>
              <w:rPr>
                <w:sz w:val="20"/>
                <w:szCs w:val="20"/>
                <w:color w:val="auto"/>
              </w:rPr>
            </w:pPr>
            <w:r>
              <w:rPr>
                <w:rFonts w:ascii="Courier New" w:cs="Courier New" w:eastAsia="Courier New" w:hAnsi="Courier New"/>
                <w:sz w:val="18"/>
                <w:szCs w:val="18"/>
                <w:color w:val="auto"/>
                <w:w w:val="99"/>
              </w:rPr>
              <w:t>Cumulative effect on prior years of accounting change</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for postretirement benefits</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(26,626)</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61,157</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73,054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95,217</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w w:val="97"/>
              </w:rPr>
              <w:t>Earnings per common share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Before cumulative effect</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accounting change</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c>
          <w:tcPr>
            <w:tcW w:w="2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on</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prior years of accounting</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Earnings per common share $</w:t>
            </w:r>
          </w:p>
        </w:tc>
        <w:tc>
          <w:tcPr>
            <w:tcW w:w="2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r>
      <w:tr>
        <w:trPr>
          <w:trHeight w:val="608"/>
        </w:trPr>
        <w:tc>
          <w:tcPr>
            <w:tcW w:w="5700" w:type="dxa"/>
            <w:vAlign w:val="bottom"/>
            <w:gridSpan w:val="6"/>
          </w:tcPr>
          <w:p>
            <w:pPr>
              <w:spacing w:after="0"/>
              <w:rPr>
                <w:sz w:val="20"/>
                <w:szCs w:val="20"/>
                <w:color w:val="auto"/>
              </w:rPr>
            </w:pPr>
            <w:r>
              <w:rPr>
                <w:rFonts w:ascii="Courier New" w:cs="Courier New" w:eastAsia="Courier New" w:hAnsi="Courier New"/>
                <w:sz w:val="18"/>
                <w:szCs w:val="18"/>
                <w:color w:val="auto"/>
              </w:rPr>
              <w:t>See Notes to Financial Statements, pages 27-35</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08"/>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CONSOLIDATED BALANCE SHEET</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2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November 30</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420" w:type="dxa"/>
            <w:vAlign w:val="bottom"/>
          </w:tcPr>
          <w:p>
            <w:pPr>
              <w:spacing w:after="0"/>
              <w:rPr>
                <w:sz w:val="17"/>
                <w:szCs w:val="17"/>
                <w:color w:val="auto"/>
              </w:rPr>
            </w:pP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1994</w:t>
            </w:r>
          </w:p>
        </w:tc>
        <w:tc>
          <w:tcPr>
            <w:tcW w:w="8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(in thousands)</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3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15,566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12,838</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Trade</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189,915</w:t>
            </w:r>
          </w:p>
        </w:tc>
        <w:tc>
          <w:tcPr>
            <w:tcW w:w="1060" w:type="dxa"/>
            <w:vAlign w:val="bottom"/>
          </w:tcPr>
          <w:p>
            <w:pPr>
              <w:spacing w:after="0"/>
              <w:rPr>
                <w:sz w:val="17"/>
                <w:szCs w:val="17"/>
                <w:color w:val="auto"/>
              </w:rPr>
            </w:pPr>
          </w:p>
        </w:tc>
        <w:tc>
          <w:tcPr>
            <w:tcW w:w="1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158,904</w:t>
            </w: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21,416</w:t>
            </w:r>
          </w:p>
        </w:tc>
        <w:tc>
          <w:tcPr>
            <w:tcW w:w="1060" w:type="dxa"/>
            <w:vAlign w:val="bottom"/>
          </w:tcPr>
          <w:p>
            <w:pPr>
              <w:spacing w:after="0"/>
              <w:rPr>
                <w:sz w:val="17"/>
                <w:szCs w:val="17"/>
                <w:color w:val="auto"/>
              </w:rPr>
            </w:pPr>
          </w:p>
        </w:tc>
        <w:tc>
          <w:tcPr>
            <w:tcW w:w="1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18,727</w:t>
            </w: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Allowance for losses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(2,520)</w:t>
            </w:r>
          </w:p>
        </w:tc>
        <w:tc>
          <w:tcPr>
            <w:tcW w:w="1060" w:type="dxa"/>
            <w:vAlign w:val="bottom"/>
          </w:tcPr>
          <w:p>
            <w:pPr>
              <w:spacing w:after="0"/>
              <w:rPr>
                <w:sz w:val="17"/>
                <w:szCs w:val="17"/>
                <w:color w:val="auto"/>
              </w:rPr>
            </w:pP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(2,530)</w:t>
            </w:r>
          </w:p>
        </w:tc>
      </w:tr>
      <w:tr>
        <w:trPr>
          <w:trHeight w:val="203"/>
        </w:trPr>
        <w:tc>
          <w:tcPr>
            <w:tcW w:w="2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208,811</w:t>
            </w:r>
          </w:p>
        </w:tc>
        <w:tc>
          <w:tcPr>
            <w:tcW w:w="1060" w:type="dxa"/>
            <w:vAlign w:val="bottom"/>
          </w:tcPr>
          <w:p>
            <w:pPr>
              <w:spacing w:after="0"/>
              <w:rPr>
                <w:sz w:val="17"/>
                <w:szCs w:val="17"/>
                <w:color w:val="auto"/>
              </w:rPr>
            </w:pPr>
          </w:p>
        </w:tc>
        <w:tc>
          <w:tcPr>
            <w:tcW w:w="1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175,101</w:t>
            </w:r>
          </w:p>
        </w:tc>
      </w:tr>
      <w:tr>
        <w:trPr>
          <w:trHeight w:val="405"/>
        </w:trPr>
        <w:tc>
          <w:tcPr>
            <w:tcW w:w="2640" w:type="dxa"/>
            <w:vAlign w:val="bottom"/>
          </w:tcPr>
          <w:p>
            <w:pPr>
              <w:ind w:left="220"/>
              <w:spacing w:after="0"/>
              <w:rPr>
                <w:sz w:val="20"/>
                <w:szCs w:val="20"/>
                <w:color w:val="auto"/>
              </w:rPr>
            </w:pPr>
            <w:r>
              <w:rPr>
                <w:rFonts w:ascii="Courier New" w:cs="Courier New" w:eastAsia="Courier New" w:hAnsi="Courier New"/>
                <w:sz w:val="18"/>
                <w:szCs w:val="18"/>
                <w:color w:val="auto"/>
              </w:rPr>
              <w:t>Inventories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Finished products and</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work-in-process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249,054</w:t>
            </w:r>
          </w:p>
        </w:tc>
        <w:tc>
          <w:tcPr>
            <w:tcW w:w="1060" w:type="dxa"/>
            <w:vAlign w:val="bottom"/>
          </w:tcPr>
          <w:p>
            <w:pPr>
              <w:spacing w:after="0"/>
              <w:rPr>
                <w:sz w:val="17"/>
                <w:szCs w:val="17"/>
                <w:color w:val="auto"/>
              </w:rPr>
            </w:pPr>
          </w:p>
        </w:tc>
        <w:tc>
          <w:tcPr>
            <w:tcW w:w="1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215,538</w:t>
            </w:r>
          </w:p>
        </w:tc>
      </w:tr>
      <w:tr>
        <w:trPr>
          <w:trHeight w:val="203"/>
        </w:trPr>
        <w:tc>
          <w:tcPr>
            <w:tcW w:w="3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Raw materials and supplies</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125,413</w:t>
            </w:r>
          </w:p>
        </w:tc>
        <w:tc>
          <w:tcPr>
            <w:tcW w:w="1060" w:type="dxa"/>
            <w:vAlign w:val="bottom"/>
          </w:tcPr>
          <w:p>
            <w:pPr>
              <w:spacing w:after="0"/>
              <w:rPr>
                <w:sz w:val="17"/>
                <w:szCs w:val="17"/>
                <w:color w:val="auto"/>
              </w:rPr>
            </w:pPr>
          </w:p>
        </w:tc>
        <w:tc>
          <w:tcPr>
            <w:tcW w:w="1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105,713</w:t>
            </w:r>
          </w:p>
        </w:tc>
      </w:tr>
      <w:tr>
        <w:trPr>
          <w:trHeight w:val="203"/>
        </w:trPr>
        <w:tc>
          <w:tcPr>
            <w:tcW w:w="2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374,467</w:t>
            </w:r>
          </w:p>
        </w:tc>
        <w:tc>
          <w:tcPr>
            <w:tcW w:w="1060" w:type="dxa"/>
            <w:vAlign w:val="bottom"/>
          </w:tcPr>
          <w:p>
            <w:pPr>
              <w:spacing w:after="0"/>
              <w:rPr>
                <w:sz w:val="17"/>
                <w:szCs w:val="17"/>
                <w:color w:val="auto"/>
              </w:rPr>
            </w:pPr>
          </w:p>
        </w:tc>
        <w:tc>
          <w:tcPr>
            <w:tcW w:w="1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321,251</w:t>
            </w:r>
          </w:p>
        </w:tc>
      </w:tr>
      <w:tr>
        <w:trPr>
          <w:trHeight w:val="405"/>
        </w:trPr>
        <w:tc>
          <w:tcPr>
            <w:tcW w:w="2640" w:type="dxa"/>
            <w:vAlign w:val="bottom"/>
          </w:tcPr>
          <w:p>
            <w:pPr>
              <w:ind w:left="220"/>
              <w:spacing w:after="0"/>
              <w:rPr>
                <w:sz w:val="20"/>
                <w:szCs w:val="20"/>
                <w:color w:val="auto"/>
              </w:rPr>
            </w:pPr>
            <w:r>
              <w:rPr>
                <w:rFonts w:ascii="Courier New" w:cs="Courier New" w:eastAsia="Courier New" w:hAnsi="Courier New"/>
                <w:sz w:val="18"/>
                <w:szCs w:val="18"/>
                <w:color w:val="auto"/>
              </w:rPr>
              <w:t>Prepaid expenses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15,343</w:t>
            </w:r>
          </w:p>
        </w:tc>
        <w:tc>
          <w:tcPr>
            <w:tcW w:w="1060" w:type="dxa"/>
            <w:vAlign w:val="bottom"/>
          </w:tcPr>
          <w:p>
            <w:pPr>
              <w:spacing w:after="0"/>
              <w:rPr>
                <w:sz w:val="24"/>
                <w:szCs w:val="24"/>
                <w:color w:val="auto"/>
              </w:rPr>
            </w:pPr>
          </w:p>
        </w:tc>
        <w:tc>
          <w:tcPr>
            <w:tcW w:w="126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17,960</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43,470</w:t>
            </w:r>
          </w:p>
        </w:tc>
        <w:tc>
          <w:tcPr>
            <w:tcW w:w="1060" w:type="dxa"/>
            <w:vAlign w:val="bottom"/>
          </w:tcPr>
          <w:p>
            <w:pPr>
              <w:spacing w:after="0"/>
              <w:rPr>
                <w:sz w:val="17"/>
                <w:szCs w:val="17"/>
                <w:color w:val="auto"/>
              </w:rPr>
            </w:pPr>
          </w:p>
        </w:tc>
        <w:tc>
          <w:tcPr>
            <w:tcW w:w="1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13,003</w:t>
            </w: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657,657</w:t>
            </w:r>
          </w:p>
        </w:tc>
        <w:tc>
          <w:tcPr>
            <w:tcW w:w="1060" w:type="dxa"/>
            <w:vAlign w:val="bottom"/>
          </w:tcPr>
          <w:p>
            <w:pPr>
              <w:spacing w:after="0"/>
              <w:rPr>
                <w:sz w:val="17"/>
                <w:szCs w:val="17"/>
                <w:color w:val="auto"/>
              </w:rPr>
            </w:pPr>
          </w:p>
        </w:tc>
        <w:tc>
          <w:tcPr>
            <w:tcW w:w="1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540,153</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62,410</w:t>
            </w:r>
          </w:p>
        </w:tc>
        <w:tc>
          <w:tcPr>
            <w:tcW w:w="1060" w:type="dxa"/>
            <w:vAlign w:val="bottom"/>
          </w:tcPr>
          <w:p>
            <w:pPr>
              <w:spacing w:after="0"/>
              <w:rPr>
                <w:sz w:val="24"/>
                <w:szCs w:val="24"/>
                <w:color w:val="auto"/>
              </w:rPr>
            </w:pPr>
          </w:p>
        </w:tc>
        <w:tc>
          <w:tcPr>
            <w:tcW w:w="126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45,728</w:t>
            </w:r>
          </w:p>
        </w:tc>
      </w:tr>
      <w:tr>
        <w:trPr>
          <w:trHeight w:val="405"/>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w w:val="97"/>
              </w:rPr>
              <w:t>Property, plant and equipment</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 and improvements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30,461</w:t>
            </w:r>
          </w:p>
        </w:tc>
        <w:tc>
          <w:tcPr>
            <w:tcW w:w="1060" w:type="dxa"/>
            <w:vAlign w:val="bottom"/>
          </w:tcPr>
          <w:p>
            <w:pPr>
              <w:spacing w:after="0"/>
              <w:rPr>
                <w:sz w:val="17"/>
                <w:szCs w:val="17"/>
                <w:color w:val="auto"/>
              </w:rPr>
            </w:pPr>
          </w:p>
        </w:tc>
        <w:tc>
          <w:tcPr>
            <w:tcW w:w="1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28,566</w:t>
            </w:r>
          </w:p>
        </w:tc>
      </w:tr>
      <w:tr>
        <w:trPr>
          <w:trHeight w:val="203"/>
        </w:trPr>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Buildings and improvements</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211,456</w:t>
            </w:r>
          </w:p>
        </w:tc>
        <w:tc>
          <w:tcPr>
            <w:tcW w:w="1060" w:type="dxa"/>
            <w:vAlign w:val="bottom"/>
          </w:tcPr>
          <w:p>
            <w:pPr>
              <w:spacing w:after="0"/>
              <w:rPr>
                <w:sz w:val="17"/>
                <w:szCs w:val="17"/>
                <w:color w:val="auto"/>
              </w:rPr>
            </w:pPr>
          </w:p>
        </w:tc>
        <w:tc>
          <w:tcPr>
            <w:tcW w:w="1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199,621</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Machinery and equipment</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557,833</w:t>
            </w:r>
          </w:p>
        </w:tc>
        <w:tc>
          <w:tcPr>
            <w:tcW w:w="1060" w:type="dxa"/>
            <w:vAlign w:val="bottom"/>
          </w:tcPr>
          <w:p>
            <w:pPr>
              <w:spacing w:after="0"/>
              <w:rPr>
                <w:sz w:val="17"/>
                <w:szCs w:val="17"/>
                <w:color w:val="auto"/>
              </w:rPr>
            </w:pPr>
          </w:p>
        </w:tc>
        <w:tc>
          <w:tcPr>
            <w:tcW w:w="1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494,143</w:t>
            </w:r>
          </w:p>
        </w:tc>
      </w:tr>
      <w:tr>
        <w:trPr>
          <w:trHeight w:val="203"/>
        </w:trPr>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37,307</w:t>
            </w:r>
          </w:p>
        </w:tc>
        <w:tc>
          <w:tcPr>
            <w:tcW w:w="1060" w:type="dxa"/>
            <w:vAlign w:val="bottom"/>
          </w:tcPr>
          <w:p>
            <w:pPr>
              <w:spacing w:after="0"/>
              <w:rPr>
                <w:sz w:val="17"/>
                <w:szCs w:val="17"/>
                <w:color w:val="auto"/>
              </w:rPr>
            </w:pPr>
          </w:p>
        </w:tc>
        <w:tc>
          <w:tcPr>
            <w:tcW w:w="1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32,492</w:t>
            </w:r>
          </w:p>
        </w:tc>
      </w:tr>
      <w:tr>
        <w:trPr>
          <w:trHeight w:val="203"/>
        </w:trPr>
        <w:tc>
          <w:tcPr>
            <w:tcW w:w="2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837,057</w:t>
            </w:r>
          </w:p>
        </w:tc>
        <w:tc>
          <w:tcPr>
            <w:tcW w:w="1060" w:type="dxa"/>
            <w:vAlign w:val="bottom"/>
          </w:tcPr>
          <w:p>
            <w:pPr>
              <w:spacing w:after="0"/>
              <w:rPr>
                <w:sz w:val="17"/>
                <w:szCs w:val="17"/>
                <w:color w:val="auto"/>
              </w:rPr>
            </w:pPr>
          </w:p>
        </w:tc>
        <w:tc>
          <w:tcPr>
            <w:tcW w:w="1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754,822</w:t>
            </w:r>
          </w:p>
        </w:tc>
      </w:tr>
      <w:tr>
        <w:trPr>
          <w:trHeight w:val="405"/>
        </w:trPr>
        <w:tc>
          <w:tcPr>
            <w:tcW w:w="32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Less accumulated depreciation</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332,458</w:t>
            </w:r>
          </w:p>
        </w:tc>
        <w:tc>
          <w:tcPr>
            <w:tcW w:w="1060" w:type="dxa"/>
            <w:vAlign w:val="bottom"/>
          </w:tcPr>
          <w:p>
            <w:pPr>
              <w:spacing w:after="0"/>
              <w:rPr>
                <w:sz w:val="17"/>
                <w:szCs w:val="17"/>
                <w:color w:val="auto"/>
              </w:rPr>
            </w:pPr>
          </w:p>
        </w:tc>
        <w:tc>
          <w:tcPr>
            <w:tcW w:w="1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289,212</w:t>
            </w:r>
          </w:p>
        </w:tc>
      </w:tr>
      <w:tr>
        <w:trPr>
          <w:trHeight w:val="203"/>
        </w:trPr>
        <w:tc>
          <w:tcPr>
            <w:tcW w:w="380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net</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504,599</w:t>
            </w:r>
          </w:p>
        </w:tc>
        <w:tc>
          <w:tcPr>
            <w:tcW w:w="1060" w:type="dxa"/>
            <w:vAlign w:val="bottom"/>
          </w:tcPr>
          <w:p>
            <w:pPr>
              <w:spacing w:after="0"/>
              <w:rPr>
                <w:sz w:val="17"/>
                <w:szCs w:val="17"/>
                <w:color w:val="auto"/>
              </w:rPr>
            </w:pPr>
          </w:p>
        </w:tc>
        <w:tc>
          <w:tcPr>
            <w:tcW w:w="1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465,610</w:t>
            </w:r>
          </w:p>
        </w:tc>
      </w:tr>
      <w:tr>
        <w:trPr>
          <w:trHeight w:val="405"/>
        </w:trPr>
        <w:tc>
          <w:tcPr>
            <w:tcW w:w="3800" w:type="dxa"/>
            <w:vAlign w:val="bottom"/>
            <w:gridSpan w:val="4"/>
          </w:tcPr>
          <w:p>
            <w:pPr>
              <w:spacing w:after="0"/>
              <w:rPr>
                <w:sz w:val="20"/>
                <w:szCs w:val="20"/>
                <w:color w:val="auto"/>
              </w:rPr>
            </w:pPr>
            <w:r>
              <w:rPr>
                <w:rFonts w:ascii="Courier New" w:cs="Courier New" w:eastAsia="Courier New" w:hAnsi="Courier New"/>
                <w:sz w:val="18"/>
                <w:szCs w:val="18"/>
                <w:color w:val="auto"/>
              </w:rPr>
              <w:t>Excess cost of acquisitions - net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196,166</w:t>
            </w:r>
          </w:p>
        </w:tc>
        <w:tc>
          <w:tcPr>
            <w:tcW w:w="1060" w:type="dxa"/>
            <w:vAlign w:val="bottom"/>
          </w:tcPr>
          <w:p>
            <w:pPr>
              <w:spacing w:after="0"/>
              <w:rPr>
                <w:sz w:val="24"/>
                <w:szCs w:val="24"/>
                <w:color w:val="auto"/>
              </w:rPr>
            </w:pPr>
          </w:p>
        </w:tc>
        <w:tc>
          <w:tcPr>
            <w:tcW w:w="126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w w:val="95"/>
              </w:rPr>
              <w:t>130,638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allowances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143,181</w:t>
            </w:r>
          </w:p>
        </w:tc>
        <w:tc>
          <w:tcPr>
            <w:tcW w:w="1060" w:type="dxa"/>
            <w:vAlign w:val="bottom"/>
          </w:tcPr>
          <w:p>
            <w:pPr>
              <w:spacing w:after="0"/>
              <w:rPr>
                <w:sz w:val="17"/>
                <w:szCs w:val="17"/>
                <w:color w:val="auto"/>
              </w:rPr>
            </w:pPr>
          </w:p>
        </w:tc>
        <w:tc>
          <w:tcPr>
            <w:tcW w:w="1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126,399</w:t>
            </w:r>
          </w:p>
        </w:tc>
      </w:tr>
    </w:tbl>
    <w:p>
      <w:pPr>
        <w:sectPr>
          <w:pgSz w:w="11900" w:h="16838" w:orient="portrait"/>
          <w:cols w:equalWidth="0" w:num="1">
            <w:col w:w="10219"/>
          </w:cols>
          <w:pgMar w:left="240" w:top="339" w:right="1440"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4,686</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4,706</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trademarks, formulae, etc.</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Human relations</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0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$1,568,701</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$1,313,236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Financial Statements, pages 27-35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November 30</w:t>
      </w:r>
    </w:p>
    <w:p>
      <w:pPr>
        <w:spacing w:after="0"/>
        <w:tabs>
          <w:tab w:leader="none" w:pos="4200" w:val="left"/>
          <w:tab w:leader="none" w:pos="5780" w:val="left"/>
        </w:tabs>
        <w:rPr>
          <w:sz w:val="20"/>
          <w:szCs w:val="20"/>
          <w:color w:val="auto"/>
        </w:rPr>
      </w:pPr>
      <w:r>
        <w:rPr>
          <w:rFonts w:ascii="Courier New" w:cs="Courier New" w:eastAsia="Courier New" w:hAnsi="Courier New"/>
          <w:sz w:val="18"/>
          <w:szCs w:val="18"/>
          <w:color w:val="auto"/>
        </w:rPr>
        <w:t>Liabilities and Shareholders' Equity</w:t>
      </w:r>
      <w:r>
        <w:rPr>
          <w:sz w:val="20"/>
          <w:szCs w:val="20"/>
          <w:color w:val="auto"/>
        </w:rPr>
        <w:tab/>
      </w: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6"/>
          <w:szCs w:val="16"/>
          <w:color w:val="auto"/>
        </w:rPr>
        <w:t>1993</w:t>
      </w:r>
    </w:p>
    <w:p>
      <w:pPr>
        <w:ind w:left="4740"/>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   202,542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76,389</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11,532</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8,299</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checks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17,955</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25,401</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Trade accounts payable</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128,236</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113,884</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payroll</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30,424</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29,781</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sales allowances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38,373</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31,240</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restructuring costs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50,334</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accrued expenses and liabilities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107,125</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90,980</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14,307</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16,893</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600,828</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392,867</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374,288</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346,436</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19,229</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39,006</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Employee benefit liabilities</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68,375</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63,875</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Other liabilities</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16,017</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4,231</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1,078,737</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846,415</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 no par value; authorized 160,000,000</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1994 - 13,279,000 shares,</w:t>
            </w: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1993 - 14,562,000 shares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50,006</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53,470</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Non-Voting, no par value;</w:t>
            </w: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authorized 160,000,000 shares; issued</w:t>
            </w: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outstanding: 1994 -</w:t>
            </w: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67,927,000 shares, 1993 -</w:t>
            </w: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66,437,000 shares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101,697</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93,047</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343,285</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330,327</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Foreign currency translation adjustments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(5,024)</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(10,023)</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489,964</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466,821</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Commitments and contingent liabilities</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$1,568,701</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$1,313,236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Financial Statements, pages 27-35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gridSpan w:val="3"/>
          </w:tcPr>
          <w:p>
            <w:pPr>
              <w:spacing w:after="0"/>
              <w:rPr>
                <w:sz w:val="20"/>
                <w:szCs w:val="20"/>
                <w:color w:val="auto"/>
              </w:rPr>
            </w:pPr>
            <w:r>
              <w:rPr>
                <w:rFonts w:ascii="Courier New" w:cs="Courier New" w:eastAsia="Courier New" w:hAnsi="Courier New"/>
                <w:sz w:val="18"/>
                <w:szCs w:val="18"/>
                <w:color w:val="auto"/>
              </w:rPr>
              <w:t>CONSOLIDATED STATEMENT OF SHAREHOLDERS' EQUITY</w:t>
            </w:r>
          </w:p>
        </w:tc>
        <w:tc>
          <w:tcPr>
            <w:tcW w:w="1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3020" w:type="dxa"/>
            <w:vAlign w:val="bottom"/>
          </w:tcPr>
          <w:p>
            <w:pPr>
              <w:spacing w:after="0"/>
              <w:rPr>
                <w:sz w:val="24"/>
                <w:szCs w:val="24"/>
                <w:color w:val="auto"/>
              </w:rPr>
            </w:pPr>
          </w:p>
        </w:tc>
        <w:tc>
          <w:tcPr>
            <w:tcW w:w="11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Common</w:t>
            </w:r>
          </w:p>
        </w:tc>
        <w:tc>
          <w:tcPr>
            <w:tcW w:w="18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Retained</w:t>
            </w:r>
          </w:p>
        </w:tc>
        <w:tc>
          <w:tcPr>
            <w:tcW w:w="1680" w:type="dxa"/>
            <w:vAlign w:val="bottom"/>
          </w:tcPr>
          <w:p>
            <w:pPr>
              <w:ind w:left="300"/>
              <w:spacing w:after="0"/>
              <w:rPr>
                <w:sz w:val="20"/>
                <w:szCs w:val="20"/>
                <w:color w:val="auto"/>
              </w:rPr>
            </w:pPr>
            <w:r>
              <w:rPr>
                <w:rFonts w:ascii="Courier New" w:cs="Courier New" w:eastAsia="Courier New" w:hAnsi="Courier New"/>
                <w:sz w:val="18"/>
                <w:szCs w:val="18"/>
                <w:color w:val="auto"/>
              </w:rPr>
              <w:t>Currency</w:t>
            </w:r>
          </w:p>
        </w:tc>
        <w:tc>
          <w:tcPr>
            <w:tcW w:w="1360" w:type="dxa"/>
            <w:vAlign w:val="bottom"/>
          </w:tcPr>
          <w:p>
            <w:pPr>
              <w:ind w:left="200"/>
              <w:spacing w:after="0"/>
              <w:rPr>
                <w:sz w:val="20"/>
                <w:szCs w:val="20"/>
                <w:color w:val="auto"/>
              </w:rPr>
            </w:pPr>
            <w:r>
              <w:rPr>
                <w:rFonts w:ascii="Courier New" w:cs="Courier New" w:eastAsia="Courier New" w:hAnsi="Courier New"/>
                <w:sz w:val="18"/>
                <w:szCs w:val="18"/>
                <w:color w:val="auto"/>
                <w:w w:val="95"/>
              </w:rPr>
              <w:t>Translation</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Changes in Amounts</w:t>
            </w:r>
          </w:p>
        </w:tc>
        <w:tc>
          <w:tcPr>
            <w:tcW w:w="11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Stocks</w:t>
            </w:r>
          </w:p>
        </w:tc>
        <w:tc>
          <w:tcPr>
            <w:tcW w:w="18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Earnings</w:t>
            </w:r>
          </w:p>
        </w:tc>
        <w:tc>
          <w:tcPr>
            <w:tcW w:w="1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Adjustments</w:t>
            </w:r>
          </w:p>
        </w:tc>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900" w:type="dxa"/>
            <w:vAlign w:val="bottom"/>
            <w:gridSpan w:val="3"/>
          </w:tcPr>
          <w:p>
            <w:pPr>
              <w:jc w:val="right"/>
              <w:ind w:right="952"/>
              <w:spacing w:after="0" w:line="203" w:lineRule="exact"/>
              <w:rPr>
                <w:sz w:val="20"/>
                <w:szCs w:val="20"/>
                <w:color w:val="auto"/>
              </w:rPr>
            </w:pPr>
            <w:r>
              <w:rPr>
                <w:rFonts w:ascii="Courier New" w:cs="Courier New" w:eastAsia="Courier New" w:hAnsi="Courier New"/>
                <w:sz w:val="18"/>
                <w:szCs w:val="18"/>
                <w:color w:val="auto"/>
                <w:w w:val="98"/>
              </w:rPr>
              <w:t>(in thousands except per-share data)</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Balance, December 1, 1991 .</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$100,257</w:t>
            </w:r>
          </w:p>
        </w:tc>
        <w:tc>
          <w:tcPr>
            <w:tcW w:w="18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$280,572</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8,374</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$389,203</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 . . . . . . .</w:t>
            </w:r>
          </w:p>
        </w:tc>
        <w:tc>
          <w:tcPr>
            <w:tcW w:w="1140" w:type="dxa"/>
            <w:vAlign w:val="bottom"/>
          </w:tcPr>
          <w:p>
            <w:pPr>
              <w:spacing w:after="0"/>
              <w:rPr>
                <w:sz w:val="17"/>
                <w:szCs w:val="17"/>
                <w:color w:val="auto"/>
              </w:rPr>
            </w:pPr>
          </w:p>
        </w:tc>
        <w:tc>
          <w:tcPr>
            <w:tcW w:w="18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95,217</w:t>
            </w:r>
          </w:p>
        </w:tc>
        <w:tc>
          <w:tcPr>
            <w:tcW w:w="168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95,217</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Dividends declared ($.38/share)</w:t>
            </w:r>
          </w:p>
        </w:tc>
        <w:tc>
          <w:tcPr>
            <w:tcW w:w="1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(30,435)</w:t>
            </w:r>
          </w:p>
        </w:tc>
        <w:tc>
          <w:tcPr>
            <w:tcW w:w="16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(30,435)</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Currency translation adjustments</w:t>
            </w:r>
          </w:p>
        </w:tc>
        <w:tc>
          <w:tcPr>
            <w:tcW w:w="186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(11,890)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(11,890)</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purchased. . . . . .</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(4,633)</w:t>
            </w:r>
          </w:p>
        </w:tc>
        <w:tc>
          <w:tcPr>
            <w:tcW w:w="1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(26,643)</w:t>
            </w:r>
          </w:p>
        </w:tc>
        <w:tc>
          <w:tcPr>
            <w:tcW w:w="16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(31,276)</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issued . . . . . . .</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27,119</w:t>
            </w:r>
          </w:p>
        </w:tc>
        <w:tc>
          <w:tcPr>
            <w:tcW w:w="1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27,119</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November 30, 1992.</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122,743</w:t>
            </w:r>
          </w:p>
        </w:tc>
        <w:tc>
          <w:tcPr>
            <w:tcW w:w="18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318,711</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(3,516)</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437,938</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Net income. . . . . . . . .</w:t>
            </w:r>
          </w:p>
        </w:tc>
        <w:tc>
          <w:tcPr>
            <w:tcW w:w="1140" w:type="dxa"/>
            <w:vAlign w:val="bottom"/>
          </w:tcPr>
          <w:p>
            <w:pPr>
              <w:spacing w:after="0"/>
              <w:rPr>
                <w:sz w:val="24"/>
                <w:szCs w:val="24"/>
                <w:color w:val="auto"/>
              </w:rPr>
            </w:pPr>
          </w:p>
        </w:tc>
        <w:tc>
          <w:tcPr>
            <w:tcW w:w="18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73,054</w:t>
            </w:r>
          </w:p>
        </w:tc>
        <w:tc>
          <w:tcPr>
            <w:tcW w:w="1680" w:type="dxa"/>
            <w:vAlign w:val="bottom"/>
          </w:tcPr>
          <w:p>
            <w:pPr>
              <w:spacing w:after="0"/>
              <w:rPr>
                <w:sz w:val="24"/>
                <w:szCs w:val="24"/>
                <w:color w:val="auto"/>
              </w:rPr>
            </w:pP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73,054</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Dividends declared ($.44/share)</w:t>
            </w:r>
          </w:p>
        </w:tc>
        <w:tc>
          <w:tcPr>
            <w:tcW w:w="1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(35,553)</w:t>
            </w:r>
          </w:p>
        </w:tc>
        <w:tc>
          <w:tcPr>
            <w:tcW w:w="16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(35,553)</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Currency translation adjustments</w:t>
            </w:r>
          </w:p>
        </w:tc>
        <w:tc>
          <w:tcPr>
            <w:tcW w:w="1860" w:type="dxa"/>
            <w:vAlign w:val="bottom"/>
          </w:tcPr>
          <w:p>
            <w:pPr>
              <w:spacing w:after="0"/>
              <w:rPr>
                <w:sz w:val="17"/>
                <w:szCs w:val="17"/>
                <w:color w:val="auto"/>
              </w:rPr>
            </w:pP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(6,507)</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(6,507)</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adjustments . . . . .</w:t>
            </w:r>
          </w:p>
        </w:tc>
        <w:tc>
          <w:tcPr>
            <w:tcW w:w="1140" w:type="dxa"/>
            <w:vAlign w:val="bottom"/>
          </w:tcPr>
          <w:p>
            <w:pPr>
              <w:spacing w:after="0"/>
              <w:rPr>
                <w:sz w:val="17"/>
                <w:szCs w:val="17"/>
                <w:color w:val="auto"/>
              </w:rPr>
            </w:pPr>
          </w:p>
        </w:tc>
        <w:tc>
          <w:tcPr>
            <w:tcW w:w="1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(3,066)</w:t>
            </w:r>
          </w:p>
        </w:tc>
        <w:tc>
          <w:tcPr>
            <w:tcW w:w="16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(3,066)</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purchased. . . . . .</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(3,580)</w:t>
            </w:r>
          </w:p>
        </w:tc>
        <w:tc>
          <w:tcPr>
            <w:tcW w:w="1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(22,819)</w:t>
            </w:r>
          </w:p>
        </w:tc>
        <w:tc>
          <w:tcPr>
            <w:tcW w:w="16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(26,399)</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issued . . . . . . .</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27,354</w:t>
            </w:r>
          </w:p>
        </w:tc>
        <w:tc>
          <w:tcPr>
            <w:tcW w:w="1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27,354</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November 30, 1993.</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146,517</w:t>
            </w:r>
          </w:p>
        </w:tc>
        <w:tc>
          <w:tcPr>
            <w:tcW w:w="18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330,327</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(10,023)</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466,821</w:t>
            </w:r>
          </w:p>
        </w:tc>
      </w:tr>
    </w:tbl>
    <w:p>
      <w:pPr>
        <w:sectPr>
          <w:pgSz w:w="11900" w:h="16838" w:orient="portrait"/>
          <w:cols w:equalWidth="0" w:num="1">
            <w:col w:w="10219"/>
          </w:cols>
          <w:pgMar w:left="240" w:top="136" w:right="1440"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Net income. . . . . . . . .</w:t>
            </w:r>
          </w:p>
        </w:tc>
        <w:tc>
          <w:tcPr>
            <w:tcW w:w="1720" w:type="dxa"/>
            <w:vAlign w:val="bottom"/>
          </w:tcPr>
          <w:p>
            <w:pPr>
              <w:spacing w:after="0"/>
              <w:rPr>
                <w:sz w:val="17"/>
                <w:szCs w:val="17"/>
                <w:color w:val="auto"/>
              </w:rPr>
            </w:pPr>
          </w:p>
        </w:tc>
        <w:tc>
          <w:tcPr>
            <w:tcW w:w="1580" w:type="dxa"/>
            <w:vAlign w:val="bottom"/>
            <w:gridSpan w:val="2"/>
          </w:tcPr>
          <w:p>
            <w:pPr>
              <w:jc w:val="right"/>
              <w:ind w:right="632"/>
              <w:spacing w:after="0"/>
              <w:rPr>
                <w:sz w:val="20"/>
                <w:szCs w:val="20"/>
                <w:color w:val="auto"/>
              </w:rPr>
            </w:pPr>
            <w:r>
              <w:rPr>
                <w:rFonts w:ascii="Courier New" w:cs="Courier New" w:eastAsia="Courier New" w:hAnsi="Courier New"/>
                <w:sz w:val="18"/>
                <w:szCs w:val="18"/>
                <w:color w:val="auto"/>
              </w:rPr>
              <w:t>61,157</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61,157</w:t>
            </w: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Dividends declared ($.48/share)</w:t>
            </w:r>
          </w:p>
        </w:tc>
        <w:tc>
          <w:tcPr>
            <w:tcW w:w="15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(39,000)</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(39,000)</w:t>
            </w: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Currency translation adjustments</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4,999</w:t>
            </w: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4,999</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adjustments . . . . .</w:t>
            </w:r>
          </w:p>
        </w:tc>
        <w:tc>
          <w:tcPr>
            <w:tcW w:w="1720" w:type="dxa"/>
            <w:vAlign w:val="bottom"/>
          </w:tcPr>
          <w:p>
            <w:pPr>
              <w:spacing w:after="0"/>
              <w:rPr>
                <w:sz w:val="17"/>
                <w:szCs w:val="17"/>
                <w:color w:val="auto"/>
              </w:rPr>
            </w:pPr>
          </w:p>
        </w:tc>
        <w:tc>
          <w:tcPr>
            <w:tcW w:w="158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842</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842</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purchased. . . . . .</w:t>
            </w:r>
          </w:p>
        </w:tc>
        <w:tc>
          <w:tcPr>
            <w:tcW w:w="17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(920)</w:t>
            </w:r>
          </w:p>
        </w:tc>
        <w:tc>
          <w:tcPr>
            <w:tcW w:w="15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(10,041)</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(10,961)</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issued . . . . . . .</w:t>
            </w:r>
          </w:p>
        </w:tc>
        <w:tc>
          <w:tcPr>
            <w:tcW w:w="17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6,106</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6,106</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November 30, 1994.</w:t>
            </w:r>
          </w:p>
        </w:tc>
        <w:tc>
          <w:tcPr>
            <w:tcW w:w="17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$151,703</w:t>
            </w:r>
          </w:p>
        </w:tc>
        <w:tc>
          <w:tcPr>
            <w:tcW w:w="158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w w:val="97"/>
              </w:rPr>
              <w:t>$343,285</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(5,024)</w:t>
            </w: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$489,964</w:t>
            </w:r>
          </w:p>
        </w:tc>
      </w:tr>
      <w:tr>
        <w:trPr>
          <w:trHeight w:val="810"/>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CHANGES IN SHARES ISSUED AND OUTSTANDING</w:t>
            </w:r>
          </w:p>
        </w:tc>
        <w:tc>
          <w:tcPr>
            <w:tcW w:w="740" w:type="dxa"/>
            <w:vAlign w:val="bottom"/>
          </w:tcPr>
          <w:p>
            <w:pPr>
              <w:spacing w:after="0"/>
              <w:rPr>
                <w:sz w:val="24"/>
                <w:szCs w:val="24"/>
                <w:color w:val="auto"/>
              </w:rPr>
            </w:pPr>
          </w:p>
        </w:tc>
        <w:tc>
          <w:tcPr>
            <w:tcW w:w="10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Common</w:t>
            </w: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3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Common</w:t>
            </w:r>
          </w:p>
        </w:tc>
        <w:tc>
          <w:tcPr>
            <w:tcW w:w="23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Non-Voting</w:t>
            </w:r>
          </w:p>
        </w:tc>
        <w:tc>
          <w:tcPr>
            <w:tcW w:w="1520" w:type="dxa"/>
            <w:vAlign w:val="bottom"/>
          </w:tcPr>
          <w:p>
            <w:pPr>
              <w:spacing w:after="0"/>
              <w:rPr>
                <w:sz w:val="17"/>
                <w:szCs w:val="17"/>
                <w:color w:val="auto"/>
              </w:rPr>
            </w:pPr>
          </w:p>
        </w:tc>
      </w:tr>
      <w:tr>
        <w:trPr>
          <w:trHeight w:val="405"/>
        </w:trPr>
        <w:tc>
          <w:tcPr>
            <w:tcW w:w="3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20" w:type="dxa"/>
            <w:vAlign w:val="bottom"/>
            <w:gridSpan w:val="4"/>
          </w:tcPr>
          <w:p>
            <w:pPr>
              <w:ind w:left="540"/>
              <w:spacing w:after="0"/>
              <w:rPr>
                <w:sz w:val="20"/>
                <w:szCs w:val="20"/>
                <w:color w:val="auto"/>
              </w:rPr>
            </w:pPr>
            <w:r>
              <w:rPr>
                <w:rFonts w:ascii="Courier New" w:cs="Courier New" w:eastAsia="Courier New" w:hAnsi="Courier New"/>
                <w:sz w:val="18"/>
                <w:szCs w:val="18"/>
                <w:color w:val="auto"/>
              </w:rPr>
              <w:t>(in thousands)</w:t>
            </w:r>
          </w:p>
        </w:tc>
        <w:tc>
          <w:tcPr>
            <w:tcW w:w="1520" w:type="dxa"/>
            <w:vAlign w:val="bottom"/>
          </w:tcPr>
          <w:p>
            <w:pPr>
              <w:spacing w:after="0"/>
              <w:rPr>
                <w:sz w:val="24"/>
                <w:szCs w:val="24"/>
                <w:color w:val="auto"/>
              </w:rPr>
            </w:pPr>
          </w:p>
        </w:tc>
      </w:tr>
      <w:tr>
        <w:trPr>
          <w:trHeight w:val="405"/>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Balance, November 30, 1991. . . . . . .</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14,441</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65,241</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Purchased and retired . . . . . . . . .</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(393)</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(861)</w:t>
            </w: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Issued. . . . . . . . . . . . . . . . .</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Equal exchange. . . . . . . . . . . . .</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764</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Balance, November 30, 1992. . . . . . .</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14,357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65,951</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Purchased and retired . . . . . . . . .</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(286)</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(676)</w:t>
            </w: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Issued. . . . . . . . . . . . . . . . .</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862</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Equal Exchange. . . . . . . . . . . . .</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Balance, November 30, 1993. . . . . . .</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14,562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66,437</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Purchased and retired . . . . . . . . .</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(111)</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(300)</w:t>
            </w: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Issued. . . . . . . . . . . . . . . . .</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Equal exchange. . . . . . . . . . . . .</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(1,453)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1,453</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Balance, November 30, 1994. . . . . . .</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13,279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67,927</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5480" w:type="dxa"/>
            <w:vAlign w:val="bottom"/>
            <w:gridSpan w:val="3"/>
          </w:tcPr>
          <w:p>
            <w:pPr>
              <w:spacing w:after="0"/>
              <w:rPr>
                <w:sz w:val="20"/>
                <w:szCs w:val="20"/>
                <w:color w:val="auto"/>
              </w:rPr>
            </w:pPr>
            <w:r>
              <w:rPr>
                <w:rFonts w:ascii="Courier New" w:cs="Courier New" w:eastAsia="Courier New" w:hAnsi="Courier New"/>
                <w:sz w:val="18"/>
                <w:szCs w:val="18"/>
                <w:color w:val="auto"/>
              </w:rPr>
              <w:t>See Notes to Financial Statements, pages 27-35</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810"/>
        </w:trPr>
        <w:tc>
          <w:tcPr>
            <w:tcW w:w="3020" w:type="dxa"/>
            <w:vAlign w:val="bottom"/>
          </w:tcPr>
          <w:p>
            <w:pPr>
              <w:spacing w:after="0"/>
              <w:rPr>
                <w:sz w:val="20"/>
                <w:szCs w:val="20"/>
                <w:color w:val="auto"/>
              </w:rPr>
            </w:pPr>
            <w:r>
              <w:rPr>
                <w:rFonts w:ascii="Courier New" w:cs="Courier New" w:eastAsia="Courier New" w:hAnsi="Courier New"/>
                <w:sz w:val="18"/>
                <w:szCs w:val="18"/>
                <w:color w:val="auto"/>
              </w:rPr>
              <w:t>CONSOLIDATED CASH FLOWS</w:t>
            </w:r>
          </w:p>
        </w:tc>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3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Year ended November 30</w:t>
            </w:r>
          </w:p>
        </w:tc>
      </w:tr>
      <w:tr>
        <w:trPr>
          <w:trHeight w:val="203"/>
        </w:trPr>
        <w:tc>
          <w:tcPr>
            <w:tcW w:w="3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1994</w:t>
            </w:r>
          </w:p>
        </w:tc>
        <w:tc>
          <w:tcPr>
            <w:tcW w:w="22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1993</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3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1520" w:type="dxa"/>
            <w:vAlign w:val="bottom"/>
          </w:tcPr>
          <w:p>
            <w:pPr>
              <w:spacing w:after="0"/>
              <w:rPr>
                <w:sz w:val="17"/>
                <w:szCs w:val="17"/>
                <w:color w:val="auto"/>
              </w:rPr>
            </w:pPr>
          </w:p>
        </w:tc>
      </w:tr>
      <w:tr>
        <w:trPr>
          <w:trHeight w:val="405"/>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income. . . . . . . . . . . . . . . .</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$ 61,157</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$ 73,054</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$ 95,217</w:t>
            </w:r>
          </w:p>
        </w:tc>
      </w:tr>
      <w:tr>
        <w:trPr>
          <w:trHeight w:val="203"/>
        </w:trPr>
        <w:tc>
          <w:tcPr>
            <w:tcW w:w="4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Adjustments to reconcile net income to net</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Restructuring charges. . . . . . . . . .</w:t>
            </w:r>
          </w:p>
        </w:tc>
        <w:tc>
          <w:tcPr>
            <w:tcW w:w="7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70,445</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Cumulative effect of accounting change .</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26,626</w:t>
            </w:r>
          </w:p>
        </w:tc>
        <w:tc>
          <w:tcPr>
            <w:tcW w:w="1520" w:type="dxa"/>
            <w:vAlign w:val="bottom"/>
          </w:tcPr>
          <w:p>
            <w:pPr>
              <w:spacing w:after="0"/>
              <w:rPr>
                <w:sz w:val="17"/>
                <w:szCs w:val="17"/>
                <w:color w:val="auto"/>
              </w:rPr>
            </w:pPr>
          </w:p>
        </w:tc>
      </w:tr>
      <w:tr>
        <w:trPr>
          <w:trHeight w:val="203"/>
        </w:trPr>
        <w:tc>
          <w:tcPr>
            <w:tcW w:w="4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 . . . . .</w:t>
            </w:r>
          </w:p>
        </w:tc>
        <w:tc>
          <w:tcPr>
            <w:tcW w:w="7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62,540</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50,522</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43,839</w:t>
            </w:r>
          </w:p>
        </w:tc>
      </w:tr>
      <w:tr>
        <w:trPr>
          <w:trHeight w:val="203"/>
        </w:trPr>
        <w:tc>
          <w:tcPr>
            <w:tcW w:w="4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Provision for deferred income taxes. . .</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(27,095)</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(1,077)</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(706)</w:t>
            </w:r>
          </w:p>
        </w:tc>
      </w:tr>
      <w:tr>
        <w:trPr>
          <w:trHeight w:val="203"/>
        </w:trPr>
        <w:tc>
          <w:tcPr>
            <w:tcW w:w="4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Loss/(gain) on sales of assets . . . . .</w:t>
            </w:r>
          </w:p>
        </w:tc>
        <w:tc>
          <w:tcPr>
            <w:tcW w:w="7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1,305</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(1,779)</w:t>
            </w:r>
          </w:p>
        </w:tc>
      </w:tr>
      <w:tr>
        <w:trPr>
          <w:trHeight w:val="203"/>
        </w:trPr>
        <w:tc>
          <w:tcPr>
            <w:tcW w:w="54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Share of income from unconsolidated operations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(7,929)</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(10,290)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(9,904)</w:t>
            </w:r>
          </w:p>
        </w:tc>
      </w:tr>
      <w:tr>
        <w:trPr>
          <w:trHeight w:val="203"/>
        </w:trPr>
        <w:tc>
          <w:tcPr>
            <w:tcW w:w="6540" w:type="dxa"/>
            <w:vAlign w:val="bottom"/>
            <w:gridSpan w:val="5"/>
          </w:tcPr>
          <w:p>
            <w:pPr>
              <w:ind w:left="320"/>
              <w:spacing w:after="0" w:line="203" w:lineRule="exact"/>
              <w:rPr>
                <w:sz w:val="20"/>
                <w:szCs w:val="20"/>
                <w:color w:val="auto"/>
              </w:rPr>
            </w:pPr>
            <w:r>
              <w:rPr>
                <w:rFonts w:ascii="Courier New" w:cs="Courier New" w:eastAsia="Courier New" w:hAnsi="Courier New"/>
                <w:sz w:val="18"/>
                <w:szCs w:val="18"/>
                <w:color w:val="auto"/>
                <w:w w:val="98"/>
              </w:rPr>
              <w:t>Changes in operating assets and liabilities net of effects</w:t>
            </w: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from businesses acquired or sold</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Receivables (increase)/decrease. . . .</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(24,895)</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(26,293)</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1,446</w:t>
            </w:r>
          </w:p>
        </w:tc>
      </w:tr>
      <w:tr>
        <w:trPr>
          <w:trHeight w:val="203"/>
        </w:trPr>
        <w:tc>
          <w:tcPr>
            <w:tcW w:w="4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Inventories (increase) . . . . . . . .</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(41,011)</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(34,089)</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(14,795)</w:t>
            </w:r>
          </w:p>
        </w:tc>
      </w:tr>
      <w:tr>
        <w:trPr>
          <w:trHeight w:val="203"/>
        </w:trPr>
        <w:tc>
          <w:tcPr>
            <w:tcW w:w="4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Prepaid expenses (increase)/decrease .</w:t>
            </w:r>
          </w:p>
        </w:tc>
        <w:tc>
          <w:tcPr>
            <w:tcW w:w="7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2,621</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1,719</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4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Prepaid allowances (increase). . . . .</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(16,914)</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(15,763)</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(8,577)</w:t>
            </w:r>
          </w:p>
        </w:tc>
      </w:tr>
      <w:tr>
        <w:trPr>
          <w:trHeight w:val="203"/>
        </w:trPr>
        <w:tc>
          <w:tcPr>
            <w:tcW w:w="4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Other assets (increase)/decrease . . .</w:t>
            </w:r>
          </w:p>
        </w:tc>
        <w:tc>
          <w:tcPr>
            <w:tcW w:w="7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(1,028)</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(393)</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w:t>
            </w:r>
          </w:p>
        </w:tc>
      </w:tr>
      <w:tr>
        <w:trPr>
          <w:trHeight w:val="203"/>
        </w:trPr>
        <w:tc>
          <w:tcPr>
            <w:tcW w:w="4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Outstanding checks increase/(decrease)</w:t>
            </w:r>
          </w:p>
        </w:tc>
        <w:tc>
          <w:tcPr>
            <w:tcW w:w="7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(7,446)</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1,252</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(10,068)</w:t>
            </w:r>
          </w:p>
        </w:tc>
      </w:tr>
      <w:tr>
        <w:trPr>
          <w:trHeight w:val="203"/>
        </w:trPr>
        <w:tc>
          <w:tcPr>
            <w:tcW w:w="4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Accounts payable increase. . . . . . .</w:t>
            </w:r>
          </w:p>
        </w:tc>
        <w:tc>
          <w:tcPr>
            <w:tcW w:w="7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5,597</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7,117</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15,408</w:t>
            </w:r>
          </w:p>
        </w:tc>
      </w:tr>
      <w:tr>
        <w:trPr>
          <w:trHeight w:val="203"/>
        </w:trPr>
        <w:tc>
          <w:tcPr>
            <w:tcW w:w="4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Accrued payroll increase/(decrease). .</w:t>
            </w:r>
          </w:p>
        </w:tc>
        <w:tc>
          <w:tcPr>
            <w:tcW w:w="7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643</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(1,884)</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2,276</w:t>
            </w:r>
          </w:p>
        </w:tc>
      </w:tr>
      <w:tr>
        <w:trPr>
          <w:trHeight w:val="203"/>
        </w:trPr>
        <w:tc>
          <w:tcPr>
            <w:tcW w:w="54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Accrued sales allowances increase/(decrease)</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7,133</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4,358</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(1,378)</w:t>
            </w:r>
          </w:p>
        </w:tc>
      </w:tr>
      <w:tr>
        <w:trPr>
          <w:trHeight w:val="203"/>
        </w:trPr>
        <w:tc>
          <w:tcPr>
            <w:tcW w:w="4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Other accrued expenses and liabilities</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increase/(decrease)</w:t>
            </w:r>
          </w:p>
        </w:tc>
        <w:tc>
          <w:tcPr>
            <w:tcW w:w="1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8,078</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(10,319)</w:t>
            </w:r>
          </w:p>
        </w:tc>
      </w:tr>
      <w:tr>
        <w:trPr>
          <w:trHeight w:val="203"/>
        </w:trPr>
        <w:tc>
          <w:tcPr>
            <w:tcW w:w="4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6"/>
              </w:rPr>
              <w:t>Income taxes payable increase/(decrease)</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(26,763)</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(6,185)</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5,065</w:t>
            </w:r>
          </w:p>
        </w:tc>
      </w:tr>
      <w:tr>
        <w:trPr>
          <w:trHeight w:val="203"/>
        </w:trPr>
        <w:tc>
          <w:tcPr>
            <w:tcW w:w="4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Other non-current liabilities increase</w:t>
            </w:r>
          </w:p>
        </w:tc>
        <w:tc>
          <w:tcPr>
            <w:tcW w:w="7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2,694</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5,379</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5,820</w:t>
            </w:r>
          </w:p>
        </w:tc>
      </w:tr>
      <w:tr>
        <w:trPr>
          <w:trHeight w:val="203"/>
        </w:trPr>
        <w:tc>
          <w:tcPr>
            <w:tcW w:w="54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Dividend received from unconsolidated affiliate</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3,345</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10,391</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5,635</w:t>
            </w:r>
          </w:p>
        </w:tc>
      </w:tr>
      <w:tr>
        <w:trPr>
          <w:trHeight w:val="203"/>
        </w:trPr>
        <w:tc>
          <w:tcPr>
            <w:tcW w:w="4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Net cash provided by operating activities</w:t>
            </w:r>
          </w:p>
        </w:tc>
        <w:tc>
          <w:tcPr>
            <w:tcW w:w="7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72,477</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80,575</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117,325</w:t>
            </w:r>
          </w:p>
        </w:tc>
      </w:tr>
      <w:tr>
        <w:trPr>
          <w:trHeight w:val="405"/>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Acquisitions of businesses. . . . . . . .</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(82,573)</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(75,915)</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(43,703)</w:t>
            </w:r>
          </w:p>
        </w:tc>
      </w:tr>
      <w:tr>
        <w:trPr>
          <w:trHeight w:val="203"/>
        </w:trPr>
        <w:tc>
          <w:tcPr>
            <w:tcW w:w="4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Purchases of property, plant and equipment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(87,676)</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(76,063)</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(79,345)</w:t>
            </w:r>
          </w:p>
        </w:tc>
      </w:tr>
      <w:tr>
        <w:trPr>
          <w:trHeight w:val="203"/>
        </w:trPr>
        <w:tc>
          <w:tcPr>
            <w:tcW w:w="4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assets. . . . . . .</w:t>
            </w:r>
          </w:p>
        </w:tc>
        <w:tc>
          <w:tcPr>
            <w:tcW w:w="7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152</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1,461</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5,726</w:t>
            </w:r>
          </w:p>
        </w:tc>
      </w:tr>
      <w:tr>
        <w:trPr>
          <w:trHeight w:val="203"/>
        </w:trPr>
        <w:tc>
          <w:tcPr>
            <w:tcW w:w="54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Proceeds/(payments) on settlement of forward</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exchange contracts</w:t>
            </w:r>
          </w:p>
        </w:tc>
        <w:tc>
          <w:tcPr>
            <w:tcW w:w="1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(1,894)</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9,288</w:t>
            </w:r>
          </w:p>
        </w:tc>
        <w:tc>
          <w:tcPr>
            <w:tcW w:w="1520" w:type="dxa"/>
            <w:vAlign w:val="bottom"/>
          </w:tcPr>
          <w:p>
            <w:pPr>
              <w:spacing w:after="0"/>
              <w:rPr>
                <w:sz w:val="17"/>
                <w:szCs w:val="17"/>
                <w:color w:val="auto"/>
              </w:rPr>
            </w:pPr>
          </w:p>
        </w:tc>
      </w:tr>
      <w:tr>
        <w:trPr>
          <w:trHeight w:val="203"/>
        </w:trPr>
        <w:tc>
          <w:tcPr>
            <w:tcW w:w="4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Other investments . . . . . . . . . . . .</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(12,035)</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(3,823)</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(3,965)</w:t>
            </w:r>
          </w:p>
        </w:tc>
      </w:tr>
      <w:tr>
        <w:trPr>
          <w:trHeight w:val="203"/>
        </w:trPr>
        <w:tc>
          <w:tcPr>
            <w:tcW w:w="4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(184,026)</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(145,052)</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(121,287)</w:t>
            </w:r>
          </w:p>
        </w:tc>
      </w:tr>
      <w:tr>
        <w:trPr>
          <w:trHeight w:val="405"/>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Notes payable increase. . . . . . . . . .</w:t>
            </w:r>
          </w:p>
        </w:tc>
        <w:tc>
          <w:tcPr>
            <w:tcW w:w="7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7,023</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85,159</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69,075</w:t>
            </w:r>
          </w:p>
        </w:tc>
      </w:tr>
      <w:tr>
        <w:trPr>
          <w:trHeight w:val="203"/>
        </w:trPr>
        <w:tc>
          <w:tcPr>
            <w:tcW w:w="4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Long-term debt borrowings . . . . . . . .</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165,692</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38,535</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4,714</w:t>
            </w:r>
          </w:p>
        </w:tc>
      </w:tr>
      <w:tr>
        <w:trPr>
          <w:trHeight w:val="203"/>
        </w:trPr>
        <w:tc>
          <w:tcPr>
            <w:tcW w:w="4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Long-term debt repayments . . . . . . . .</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(15,012)</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(10,002)</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(34,954)</w:t>
            </w:r>
          </w:p>
        </w:tc>
      </w:tr>
    </w:tbl>
    <w:p>
      <w:pPr>
        <w:sectPr>
          <w:pgSz w:w="11900" w:h="16838" w:orient="portrait"/>
          <w:cols w:equalWidth="0" w:num="1">
            <w:col w:w="10219"/>
          </w:cols>
          <w:pgMar w:left="240" w:top="136" w:right="1440"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Stocks</w:t>
            </w:r>
          </w:p>
        </w:tc>
        <w:tc>
          <w:tcPr>
            <w:tcW w:w="4260" w:type="dxa"/>
            <w:vAlign w:val="bottom"/>
          </w:tcPr>
          <w:p>
            <w:pPr>
              <w:ind w:left="60"/>
              <w:spacing w:after="0"/>
              <w:rPr>
                <w:sz w:val="20"/>
                <w:szCs w:val="20"/>
                <w:color w:val="auto"/>
              </w:rPr>
            </w:pPr>
            <w:r>
              <w:rPr>
                <w:rFonts w:ascii="Courier New" w:cs="Courier New" w:eastAsia="Courier New" w:hAnsi="Courier New"/>
                <w:sz w:val="18"/>
                <w:szCs w:val="18"/>
                <w:color w:val="auto"/>
              </w:rPr>
              <w:t>issued . . . . . . . . . . . . . .</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6,106</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27,354</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Stocks</w:t>
            </w:r>
          </w:p>
        </w:tc>
        <w:tc>
          <w:tcPr>
            <w:tcW w:w="4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acquired by purchase . . . . . .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(10,961)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(26,399)</w:t>
            </w:r>
          </w:p>
        </w:tc>
      </w:tr>
      <w:tr>
        <w:trPr>
          <w:trHeight w:val="203"/>
        </w:trPr>
        <w:tc>
          <w:tcPr>
            <w:tcW w:w="5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Dividends paid. . . . . . . . . . . . .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(38,997)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(35,551)</w:t>
            </w:r>
          </w:p>
        </w:tc>
      </w:tr>
      <w:tr>
        <w:trPr>
          <w:trHeight w:val="203"/>
        </w:trPr>
        <w:tc>
          <w:tcPr>
            <w:tcW w:w="5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113,851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79,096</w:t>
            </w:r>
          </w:p>
        </w:tc>
      </w:tr>
      <w:tr>
        <w:trPr>
          <w:trHeight w:val="405"/>
        </w:trPr>
        <w:tc>
          <w:tcPr>
            <w:tcW w:w="5160" w:type="dxa"/>
            <w:vAlign w:val="bottom"/>
            <w:gridSpan w:val="2"/>
          </w:tcPr>
          <w:p>
            <w:pPr>
              <w:spacing w:after="0"/>
              <w:rPr>
                <w:sz w:val="20"/>
                <w:szCs w:val="20"/>
                <w:color w:val="auto"/>
              </w:rPr>
            </w:pPr>
            <w:r>
              <w:rPr>
                <w:rFonts w:ascii="Courier New" w:cs="Courier New" w:eastAsia="Courier New" w:hAnsi="Courier New"/>
                <w:sz w:val="18"/>
                <w:szCs w:val="18"/>
                <w:color w:val="auto"/>
              </w:rPr>
              <w:t>Effect of exchange rate changes on cash</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and cash</w:t>
            </w:r>
          </w:p>
        </w:tc>
        <w:tc>
          <w:tcPr>
            <w:tcW w:w="4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equivalents</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(3,587)</w:t>
            </w:r>
          </w:p>
        </w:tc>
      </w:tr>
      <w:tr>
        <w:trPr>
          <w:trHeight w:val="203"/>
        </w:trPr>
        <w:tc>
          <w:tcPr>
            <w:tcW w:w="5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Increase/(decrease) in cash and cash equivalents</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2,728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11,032</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Cash and</w:t>
            </w:r>
          </w:p>
        </w:tc>
        <w:tc>
          <w:tcPr>
            <w:tcW w:w="4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cash equivalents at beginning of year</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12,838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1,806</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Cash and</w:t>
            </w:r>
          </w:p>
        </w:tc>
        <w:tc>
          <w:tcPr>
            <w:tcW w:w="4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cash equivalents at end of year. .</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$ 15,566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$ 12,838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Financial Statements, pages 27-35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Consolidated</w:t>
      </w:r>
    </w:p>
    <w:p>
      <w:pPr>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rPr>
          <w:sz w:val="20"/>
          <w:szCs w:val="20"/>
          <w:color w:val="auto"/>
        </w:rPr>
      </w:pPr>
      <w:r>
        <w:rPr>
          <w:rFonts w:ascii="Courier New" w:cs="Courier New" w:eastAsia="Courier New" w:hAnsi="Courier New"/>
          <w:sz w:val="18"/>
          <w:szCs w:val="18"/>
          <w:color w:val="auto"/>
        </w:rPr>
        <w:t>(dollars in thousands except per-share data)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Summary of Accounting Policies: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CONSOLIDATION</w:t>
      </w:r>
    </w:p>
    <w:p>
      <w:pPr>
        <w:spacing w:after="0" w:line="4" w:lineRule="exact"/>
        <w:rPr>
          <w:sz w:val="20"/>
          <w:szCs w:val="20"/>
          <w:color w:val="auto"/>
        </w:rPr>
      </w:pPr>
    </w:p>
    <w:p>
      <w:pPr>
        <w:ind w:right="840" w:firstLine="105"/>
        <w:spacing w:after="0" w:line="237" w:lineRule="auto"/>
        <w:rPr>
          <w:sz w:val="20"/>
          <w:szCs w:val="20"/>
          <w:color w:val="auto"/>
        </w:rPr>
      </w:pPr>
      <w:r>
        <w:rPr>
          <w:rFonts w:ascii="Courier New" w:cs="Courier New" w:eastAsia="Courier New" w:hAnsi="Courier New"/>
          <w:sz w:val="18"/>
          <w:szCs w:val="18"/>
          <w:color w:val="auto"/>
        </w:rPr>
        <w:t>The consolidated financial statements include the accounts of the Company and all majority-owned subsidiaries. Subsidiaries outside the United States and Canada are consolidated using an October 31 yearend. Investments in 20 percent to 50 percent owned affiliates are accounted for under the equity method. Other investments are accounted for under the cost method. All significant intercompany transactions have been eliminated.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CASH EQUIVALENTS</w:t>
      </w:r>
    </w:p>
    <w:p>
      <w:pPr>
        <w:spacing w:after="0" w:line="4" w:lineRule="exact"/>
        <w:rPr>
          <w:sz w:val="20"/>
          <w:szCs w:val="20"/>
          <w:color w:val="auto"/>
        </w:rPr>
      </w:pPr>
    </w:p>
    <w:p>
      <w:pPr>
        <w:ind w:right="740" w:firstLine="105"/>
        <w:spacing w:after="0" w:line="236" w:lineRule="auto"/>
        <w:rPr>
          <w:sz w:val="20"/>
          <w:szCs w:val="20"/>
          <w:color w:val="auto"/>
        </w:rPr>
      </w:pPr>
      <w:r>
        <w:rPr>
          <w:rFonts w:ascii="Courier New" w:cs="Courier New" w:eastAsia="Courier New" w:hAnsi="Courier New"/>
          <w:sz w:val="18"/>
          <w:szCs w:val="18"/>
          <w:color w:val="auto"/>
        </w:rPr>
        <w:t>The Company considers all highly liquid investments purchased with an original maturity date of three months or less to be cash equivalents.</w:t>
      </w:r>
    </w:p>
    <w:p>
      <w:pPr>
        <w:spacing w:after="0" w:line="209" w:lineRule="exact"/>
        <w:rPr>
          <w:sz w:val="20"/>
          <w:szCs w:val="20"/>
          <w:color w:val="auto"/>
        </w:rPr>
      </w:pPr>
    </w:p>
    <w:p>
      <w:pPr>
        <w:ind w:right="1060" w:firstLine="105"/>
        <w:spacing w:after="0" w:line="237" w:lineRule="auto"/>
        <w:rPr>
          <w:sz w:val="20"/>
          <w:szCs w:val="20"/>
          <w:color w:val="auto"/>
        </w:rPr>
      </w:pPr>
      <w:r>
        <w:rPr>
          <w:rFonts w:ascii="Courier New" w:cs="Courier New" w:eastAsia="Courier New" w:hAnsi="Courier New"/>
          <w:sz w:val="18"/>
          <w:szCs w:val="18"/>
          <w:color w:val="auto"/>
        </w:rPr>
        <w:t>The Company's central cash management system is designed to maintain zero balances at certain banks. Checks written but not yet presented to these banks are included in the Consolidated Balance Sheet as outstanding checks.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w:t>
      </w:r>
    </w:p>
    <w:p>
      <w:pPr>
        <w:spacing w:after="0" w:line="207" w:lineRule="exact"/>
        <w:rPr>
          <w:sz w:val="20"/>
          <w:szCs w:val="20"/>
          <w:color w:val="auto"/>
        </w:rPr>
      </w:pPr>
    </w:p>
    <w:p>
      <w:pPr>
        <w:ind w:right="840" w:firstLine="105"/>
        <w:spacing w:after="0" w:line="235" w:lineRule="auto"/>
        <w:rPr>
          <w:sz w:val="20"/>
          <w:szCs w:val="20"/>
          <w:color w:val="auto"/>
        </w:rPr>
      </w:pPr>
      <w:r>
        <w:rPr>
          <w:rFonts w:ascii="Courier New" w:cs="Courier New" w:eastAsia="Courier New" w:hAnsi="Courier New"/>
          <w:sz w:val="18"/>
          <w:szCs w:val="18"/>
          <w:color w:val="auto"/>
        </w:rPr>
        <w:t>Inventories are stated at the lower of cost (first-in, first-out) or market.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PLANT AND EQUIPMENT</w:t>
      </w:r>
    </w:p>
    <w:p>
      <w:pPr>
        <w:spacing w:after="0" w:line="4" w:lineRule="exact"/>
        <w:rPr>
          <w:sz w:val="20"/>
          <w:szCs w:val="20"/>
          <w:color w:val="auto"/>
        </w:rPr>
      </w:pPr>
    </w:p>
    <w:p>
      <w:pPr>
        <w:ind w:right="740" w:firstLine="105"/>
        <w:spacing w:after="0" w:line="237" w:lineRule="auto"/>
        <w:rPr>
          <w:sz w:val="20"/>
          <w:szCs w:val="20"/>
          <w:color w:val="auto"/>
        </w:rPr>
      </w:pPr>
      <w:r>
        <w:rPr>
          <w:rFonts w:ascii="Courier New" w:cs="Courier New" w:eastAsia="Courier New" w:hAnsi="Courier New"/>
          <w:sz w:val="18"/>
          <w:szCs w:val="18"/>
          <w:color w:val="auto"/>
        </w:rPr>
        <w:t>Property, plant and equipment is stated at cost. Depreciation is computed principally using the straight-line method over the estimated useful lives of the related assets. Capitalized leased assets and leasehold improvements are amortized over the shorter of their estimated useful lives or the period of the related leases. Amortization of capitalized leased assets is included in depreciation and amortization expense.</w:t>
      </w:r>
    </w:p>
    <w:p>
      <w:pPr>
        <w:spacing w:after="0" w:line="211" w:lineRule="exact"/>
        <w:rPr>
          <w:sz w:val="20"/>
          <w:szCs w:val="20"/>
          <w:color w:val="auto"/>
        </w:rPr>
      </w:pPr>
    </w:p>
    <w:p>
      <w:pPr>
        <w:jc w:val="both"/>
        <w:ind w:right="940" w:firstLine="105"/>
        <w:spacing w:after="0" w:line="236" w:lineRule="auto"/>
        <w:rPr>
          <w:sz w:val="20"/>
          <w:szCs w:val="20"/>
          <w:color w:val="auto"/>
        </w:rPr>
      </w:pPr>
      <w:r>
        <w:rPr>
          <w:rFonts w:ascii="Courier New" w:cs="Courier New" w:eastAsia="Courier New" w:hAnsi="Courier New"/>
          <w:sz w:val="18"/>
          <w:szCs w:val="18"/>
          <w:color w:val="auto"/>
        </w:rPr>
        <w:t>The expense for depreciation and amortization of property, plant and equipment was $56,845 in 1994; $46,702 in 1993 and $40,033 in 1992.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EXCESS COST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ACQUISITIONS</w:t>
            </w:r>
          </w:p>
        </w:tc>
        <w:tc>
          <w:tcPr>
            <w:tcW w:w="4160" w:type="dxa"/>
            <w:vAlign w:val="bottom"/>
          </w:tcPr>
          <w:p>
            <w:pPr>
              <w:spacing w:after="0"/>
              <w:rPr>
                <w:sz w:val="17"/>
                <w:szCs w:val="17"/>
                <w:color w:val="auto"/>
              </w:rPr>
            </w:pP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The excess</w:t>
            </w:r>
          </w:p>
        </w:tc>
        <w:tc>
          <w:tcPr>
            <w:tcW w:w="5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cost of acquisitions of subsidiaries and affiliates is</w:t>
            </w:r>
          </w:p>
        </w:tc>
      </w:tr>
      <w:tr>
        <w:trPr>
          <w:trHeight w:val="203"/>
        </w:trPr>
        <w:tc>
          <w:tcPr>
            <w:tcW w:w="7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being amortized using the straight-line method over 40 years.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amortization of</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excess cost of acquisitions was $28,921</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$23,994</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November 30,</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 and 1993, respectively.</w:t>
            </w:r>
          </w:p>
        </w:tc>
      </w:tr>
    </w:tbl>
    <w:p>
      <w:pPr>
        <w:spacing w:after="0" w:line="207" w:lineRule="exact"/>
        <w:rPr>
          <w:sz w:val="20"/>
          <w:szCs w:val="20"/>
          <w:color w:val="auto"/>
        </w:rPr>
      </w:pPr>
    </w:p>
    <w:p>
      <w:pPr>
        <w:ind w:right="840" w:firstLine="105"/>
        <w:spacing w:after="0" w:line="237" w:lineRule="auto"/>
        <w:rPr>
          <w:sz w:val="20"/>
          <w:szCs w:val="20"/>
          <w:color w:val="auto"/>
        </w:rPr>
      </w:pPr>
      <w:r>
        <w:rPr>
          <w:rFonts w:ascii="Courier New" w:cs="Courier New" w:eastAsia="Courier New" w:hAnsi="Courier New"/>
          <w:sz w:val="18"/>
          <w:szCs w:val="18"/>
          <w:color w:val="auto"/>
        </w:rPr>
        <w:t>The Company evaluates the realizability of the excess cost of acquisitions based upon expectations of undiscounted future cash flows and operating income for each business having a material goodwill balance. Based upon its most recent analysis, the Company believes that no material impairment of the excess cost of acquisitions exists at November 30, 1994.</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PREPAID ALLOWANCES</w:t>
      </w:r>
    </w:p>
    <w:p>
      <w:pPr>
        <w:ind w:left="120"/>
        <w:spacing w:after="0" w:line="238" w:lineRule="auto"/>
        <w:rPr>
          <w:sz w:val="20"/>
          <w:szCs w:val="20"/>
          <w:color w:val="auto"/>
        </w:rPr>
      </w:pPr>
      <w:r>
        <w:rPr>
          <w:rFonts w:ascii="Courier New" w:cs="Courier New" w:eastAsia="Courier New" w:hAnsi="Courier New"/>
          <w:sz w:val="18"/>
          <w:szCs w:val="18"/>
          <w:color w:val="auto"/>
        </w:rPr>
        <w:t>Prepaid allowances arise when the Company prepays sales discounts</w:t>
      </w: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20"/>
                <w:szCs w:val="20"/>
                <w:color w:val="auto"/>
              </w:rPr>
            </w:pPr>
            <w:r>
              <w:rPr>
                <w:rFonts w:ascii="Courier New" w:cs="Courier New" w:eastAsia="Courier New" w:hAnsi="Courier New"/>
                <w:sz w:val="18"/>
                <w:szCs w:val="18"/>
                <w:color w:val="auto"/>
              </w:rPr>
              <w:t>and marketing</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w w:val="99"/>
              </w:rPr>
              <w:t>allowances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39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certain customers in connection with</w:t>
            </w: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multi-year sales contracts.</w:t>
            </w:r>
          </w:p>
        </w:tc>
        <w:tc>
          <w:tcPr>
            <w:tcW w:w="3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These costs are capitalized and</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amortized over the lives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the contracts, generally</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ranging from</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three to five</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years. The</w:t>
            </w:r>
          </w:p>
        </w:tc>
        <w:tc>
          <w:tcPr>
            <w:tcW w:w="42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amounts reported in the Consolidated</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are stated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the lower of unamortized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cost or</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management's estimate of</w:t>
            </w:r>
          </w:p>
        </w:tc>
        <w:tc>
          <w:tcPr>
            <w:tcW w:w="2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the net realizable value of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these costs.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 RECOGNITION</w:t>
      </w:r>
    </w:p>
    <w:p>
      <w:pPr>
        <w:spacing w:after="0" w:line="20" w:lineRule="exact"/>
        <w:rPr>
          <w:sz w:val="20"/>
          <w:szCs w:val="20"/>
          <w:color w:val="auto"/>
        </w:rPr>
      </w:pPr>
      <w:r>
        <w:rPr>
          <w:sz w:val="20"/>
          <w:szCs w:val="20"/>
          <w:color w:val="auto"/>
        </w:rPr>
        <w:br w:type="column"/>
      </w:r>
    </w:p>
    <w:p>
      <w:pPr>
        <w:ind w:left="205"/>
        <w:spacing w:after="0"/>
        <w:rPr>
          <w:sz w:val="20"/>
          <w:szCs w:val="20"/>
          <w:color w:val="auto"/>
        </w:rPr>
      </w:pPr>
      <w:r>
        <w:rPr>
          <w:rFonts w:ascii="Courier New" w:cs="Courier New" w:eastAsia="Courier New" w:hAnsi="Courier New"/>
          <w:sz w:val="18"/>
          <w:szCs w:val="18"/>
          <w:color w:val="auto"/>
        </w:rPr>
        <w:t>27,077</w:t>
      </w:r>
    </w:p>
    <w:p>
      <w:pPr>
        <w:jc w:val="right"/>
        <w:ind w:right="839"/>
        <w:spacing w:after="0" w:line="238" w:lineRule="auto"/>
        <w:rPr>
          <w:sz w:val="20"/>
          <w:szCs w:val="20"/>
          <w:color w:val="auto"/>
        </w:rPr>
      </w:pPr>
      <w:r>
        <w:rPr>
          <w:rFonts w:ascii="Courier New" w:cs="Courier New" w:eastAsia="Courier New" w:hAnsi="Courier New"/>
          <w:sz w:val="18"/>
          <w:szCs w:val="18"/>
          <w:color w:val="auto"/>
        </w:rPr>
        <w:t>(31,276)</w:t>
      </w:r>
    </w:p>
    <w:p>
      <w:pPr>
        <w:jc w:val="right"/>
        <w:ind w:right="839"/>
        <w:spacing w:after="0"/>
        <w:rPr>
          <w:sz w:val="20"/>
          <w:szCs w:val="20"/>
          <w:color w:val="auto"/>
        </w:rPr>
      </w:pPr>
      <w:r>
        <w:rPr>
          <w:rFonts w:ascii="Courier New" w:cs="Courier New" w:eastAsia="Courier New" w:hAnsi="Courier New"/>
          <w:sz w:val="18"/>
          <w:szCs w:val="18"/>
          <w:color w:val="auto"/>
        </w:rPr>
        <w:t>(30,431)</w:t>
      </w:r>
    </w:p>
    <w:p>
      <w:pPr>
        <w:ind w:left="325"/>
        <w:spacing w:after="0" w:line="237" w:lineRule="auto"/>
        <w:rPr>
          <w:sz w:val="20"/>
          <w:szCs w:val="20"/>
          <w:color w:val="auto"/>
        </w:rPr>
      </w:pPr>
      <w:r>
        <w:rPr>
          <w:rFonts w:ascii="Courier New" w:cs="Courier New" w:eastAsia="Courier New" w:hAnsi="Courier New"/>
          <w:sz w:val="18"/>
          <w:szCs w:val="18"/>
          <w:color w:val="auto"/>
        </w:rPr>
        <w:t>4,205</w:t>
      </w:r>
    </w:p>
    <w:p>
      <w:pPr>
        <w:spacing w:after="0" w:line="200" w:lineRule="exact"/>
        <w:rPr>
          <w:sz w:val="20"/>
          <w:szCs w:val="20"/>
          <w:color w:val="auto"/>
        </w:rPr>
      </w:pPr>
    </w:p>
    <w:p>
      <w:pPr>
        <w:spacing w:after="0" w:line="210" w:lineRule="exact"/>
        <w:rPr>
          <w:sz w:val="20"/>
          <w:szCs w:val="20"/>
          <w:color w:val="auto"/>
        </w:rPr>
      </w:pPr>
    </w:p>
    <w:p>
      <w:pPr>
        <w:jc w:val="center"/>
        <w:ind w:right="635"/>
        <w:spacing w:after="0"/>
        <w:rPr>
          <w:sz w:val="20"/>
          <w:szCs w:val="20"/>
          <w:color w:val="auto"/>
        </w:rPr>
      </w:pPr>
      <w:r>
        <w:rPr>
          <w:rFonts w:ascii="Courier New" w:cs="Courier New" w:eastAsia="Courier New" w:hAnsi="Courier New"/>
          <w:sz w:val="16"/>
          <w:szCs w:val="16"/>
          <w:color w:val="auto"/>
        </w:rPr>
        <w:t>(4,461)</w:t>
      </w:r>
    </w:p>
    <w:p>
      <w:pPr>
        <w:spacing w:after="0" w:line="21" w:lineRule="exact"/>
        <w:rPr>
          <w:sz w:val="20"/>
          <w:szCs w:val="20"/>
          <w:color w:val="auto"/>
        </w:rPr>
      </w:pPr>
    </w:p>
    <w:p>
      <w:pPr>
        <w:jc w:val="center"/>
        <w:ind w:right="635"/>
        <w:spacing w:after="0"/>
        <w:rPr>
          <w:sz w:val="20"/>
          <w:szCs w:val="20"/>
          <w:color w:val="auto"/>
        </w:rPr>
      </w:pPr>
      <w:r>
        <w:rPr>
          <w:rFonts w:ascii="Courier New" w:cs="Courier New" w:eastAsia="Courier New" w:hAnsi="Courier New"/>
          <w:sz w:val="16"/>
          <w:szCs w:val="16"/>
          <w:color w:val="auto"/>
        </w:rPr>
        <w:t>(4,218)</w:t>
      </w:r>
    </w:p>
    <w:p>
      <w:pPr>
        <w:spacing w:after="0" w:line="16" w:lineRule="exact"/>
        <w:rPr>
          <w:sz w:val="20"/>
          <w:szCs w:val="20"/>
          <w:color w:val="auto"/>
        </w:rPr>
      </w:pPr>
    </w:p>
    <w:p>
      <w:pPr>
        <w:jc w:val="center"/>
        <w:ind w:right="635"/>
        <w:spacing w:after="0"/>
        <w:rPr>
          <w:sz w:val="20"/>
          <w:szCs w:val="20"/>
          <w:color w:val="auto"/>
        </w:rPr>
      </w:pPr>
      <w:r>
        <w:rPr>
          <w:rFonts w:ascii="Courier New" w:cs="Courier New" w:eastAsia="Courier New" w:hAnsi="Courier New"/>
          <w:sz w:val="18"/>
          <w:szCs w:val="18"/>
          <w:color w:val="auto"/>
        </w:rPr>
        <w:t>6,024</w:t>
      </w:r>
    </w:p>
    <w:p>
      <w:pPr>
        <w:ind w:left="325" w:hanging="325"/>
        <w:spacing w:after="0" w:line="238" w:lineRule="auto"/>
        <w:tabs>
          <w:tab w:leader="none" w:pos="32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1,806</w:t>
      </w:r>
    </w:p>
    <w:p>
      <w:pPr>
        <w:sectPr>
          <w:pgSz w:w="11900" w:h="16838" w:orient="portrait"/>
          <w:cols w:equalWidth="0" w:num="2">
            <w:col w:w="7800" w:space="635"/>
            <w:col w:w="1784"/>
          </w:cols>
          <w:pgMar w:left="240" w:top="136" w:right="1440" w:bottom="0" w:gutter="0" w:footer="0" w:header="0"/>
        </w:sectPr>
      </w:pPr>
    </w:p>
    <w:bookmarkStart w:id="22" w:name="page23"/>
    <w:bookmarkEnd w:id="22"/>
    <w:p>
      <w:pPr>
        <w:ind w:right="3359" w:firstLine="105"/>
        <w:spacing w:after="0" w:line="235" w:lineRule="auto"/>
        <w:rPr>
          <w:sz w:val="20"/>
          <w:szCs w:val="20"/>
          <w:color w:val="auto"/>
        </w:rPr>
      </w:pPr>
      <w:r>
        <w:rPr>
          <w:rFonts w:ascii="Courier New" w:cs="Courier New" w:eastAsia="Courier New" w:hAnsi="Courier New"/>
          <w:sz w:val="18"/>
          <w:szCs w:val="18"/>
          <w:color w:val="auto"/>
        </w:rPr>
        <w:t>Sales revenue is recognized as products are shipped and services are rendered.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4" w:lineRule="exact"/>
        <w:rPr>
          <w:sz w:val="20"/>
          <w:szCs w:val="20"/>
          <w:color w:val="auto"/>
        </w:rPr>
      </w:pPr>
    </w:p>
    <w:p>
      <w:pPr>
        <w:ind w:right="3579" w:firstLine="105"/>
        <w:spacing w:after="0" w:line="236" w:lineRule="auto"/>
        <w:rPr>
          <w:sz w:val="20"/>
          <w:szCs w:val="20"/>
          <w:color w:val="auto"/>
        </w:rPr>
      </w:pPr>
      <w:r>
        <w:rPr>
          <w:rFonts w:ascii="Courier New" w:cs="Courier New" w:eastAsia="Courier New" w:hAnsi="Courier New"/>
          <w:sz w:val="18"/>
          <w:szCs w:val="18"/>
          <w:color w:val="auto"/>
        </w:rPr>
        <w:t>Research and development costs are charged to operations as incurred. Such costs were $12,999 in 1994; $12,259 in 1993 and $11,844 in 1992.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4" w:lineRule="exact"/>
        <w:rPr>
          <w:sz w:val="20"/>
          <w:szCs w:val="20"/>
          <w:color w:val="auto"/>
        </w:rPr>
      </w:pPr>
    </w:p>
    <w:p>
      <w:pPr>
        <w:ind w:right="3159" w:firstLine="105"/>
        <w:spacing w:after="0" w:line="237" w:lineRule="auto"/>
        <w:rPr>
          <w:sz w:val="20"/>
          <w:szCs w:val="20"/>
          <w:color w:val="auto"/>
        </w:rPr>
      </w:pPr>
      <w:r>
        <w:rPr>
          <w:rFonts w:ascii="Courier New" w:cs="Courier New" w:eastAsia="Courier New" w:hAnsi="Courier New"/>
          <w:sz w:val="18"/>
          <w:szCs w:val="18"/>
          <w:color w:val="auto"/>
        </w:rPr>
        <w:t>The Company provides for income taxes using the liability method pursuant to Statement of Financial Accounting Standards (SFAS) No. 109, "Accounting for Income Taxes." Deferred income taxes are provided for temporary differences arising between the tax basis of assets and liabilities and their book basis as reported in the financial statements.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EARNINGS PER SHARE</w:t>
      </w:r>
    </w:p>
    <w:p>
      <w:pPr>
        <w:spacing w:after="0" w:line="4" w:lineRule="exact"/>
        <w:rPr>
          <w:sz w:val="20"/>
          <w:szCs w:val="20"/>
          <w:color w:val="auto"/>
        </w:rPr>
      </w:pPr>
    </w:p>
    <w:p>
      <w:pPr>
        <w:ind w:right="3259" w:firstLine="105"/>
        <w:spacing w:after="0" w:line="237" w:lineRule="auto"/>
        <w:rPr>
          <w:sz w:val="20"/>
          <w:szCs w:val="20"/>
          <w:color w:val="auto"/>
        </w:rPr>
      </w:pPr>
      <w:r>
        <w:rPr>
          <w:rFonts w:ascii="Courier New" w:cs="Courier New" w:eastAsia="Courier New" w:hAnsi="Courier New"/>
          <w:sz w:val="18"/>
          <w:szCs w:val="18"/>
          <w:color w:val="auto"/>
        </w:rPr>
        <w:t>Earnings per common share have been computed by dividing net income by the weighted average number of common shares outstanding during the period (81,240,000 shares in 1994; 80,799,000 shares in 1993 and 80,116,000 shares in 1992), plus dilutive common equivalent shares applicable to outstanding stock option and purchase plans (no shares used in 1994; 967,000 shares in 1993 and 1,802,000 shares in 1992).</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TRANSLATION</w:t>
      </w:r>
    </w:p>
    <w:p>
      <w:pPr>
        <w:spacing w:after="0" w:line="4" w:lineRule="exact"/>
        <w:rPr>
          <w:sz w:val="20"/>
          <w:szCs w:val="20"/>
          <w:color w:val="auto"/>
        </w:rPr>
      </w:pPr>
    </w:p>
    <w:p>
      <w:pPr>
        <w:ind w:right="3159" w:firstLine="105"/>
        <w:spacing w:after="0" w:line="237" w:lineRule="auto"/>
        <w:rPr>
          <w:sz w:val="20"/>
          <w:szCs w:val="20"/>
          <w:color w:val="auto"/>
        </w:rPr>
      </w:pPr>
      <w:r>
        <w:rPr>
          <w:rFonts w:ascii="Courier New" w:cs="Courier New" w:eastAsia="Courier New" w:hAnsi="Courier New"/>
          <w:sz w:val="18"/>
          <w:szCs w:val="18"/>
          <w:color w:val="auto"/>
        </w:rPr>
        <w:t>The functional currency for the majority of the Company's operations outside of the United States is the applicable local currency. The translation from the applicable foreign currencies to the United States dollar is performed for balance sheet accounts using the current exchange rates in effect at the balance sheet date and for revenue and expense accounts using the weighted average exchange rate during the period. The gains or losses, net of applicable deferred income taxes, resulting from such translation are included in the foreign currency adjustments account within shareholders' equity.</w:t>
      </w:r>
    </w:p>
    <w:p>
      <w:pPr>
        <w:spacing w:after="0" w:line="215" w:lineRule="exact"/>
        <w:rPr>
          <w:sz w:val="20"/>
          <w:szCs w:val="20"/>
          <w:color w:val="auto"/>
        </w:rPr>
      </w:pPr>
    </w:p>
    <w:p>
      <w:pPr>
        <w:ind w:right="3159" w:firstLine="105"/>
        <w:spacing w:after="0" w:line="237" w:lineRule="auto"/>
        <w:rPr>
          <w:sz w:val="20"/>
          <w:szCs w:val="20"/>
          <w:color w:val="auto"/>
        </w:rPr>
      </w:pPr>
      <w:r>
        <w:rPr>
          <w:rFonts w:ascii="Courier New" w:cs="Courier New" w:eastAsia="Courier New" w:hAnsi="Courier New"/>
          <w:sz w:val="18"/>
          <w:szCs w:val="18"/>
          <w:color w:val="auto"/>
        </w:rPr>
        <w:t>The Company periodically enters into forward exchange contracts to hedge the impact of foreign currency fluctuations on its investments in certain foreign subsidiaries. The gains and losses, net of deferred income taxes, on these contracts are included in the foreign currency translation adjustments account within shareholders' equity.</w:t>
      </w:r>
    </w:p>
    <w:p>
      <w:pPr>
        <w:spacing w:after="0" w:line="210" w:lineRule="exact"/>
        <w:rPr>
          <w:sz w:val="20"/>
          <w:szCs w:val="20"/>
          <w:color w:val="auto"/>
        </w:rPr>
      </w:pPr>
    </w:p>
    <w:p>
      <w:pPr>
        <w:ind w:right="3359" w:firstLine="105"/>
        <w:spacing w:after="0" w:line="275" w:lineRule="auto"/>
        <w:rPr>
          <w:sz w:val="20"/>
          <w:szCs w:val="20"/>
          <w:color w:val="auto"/>
        </w:rPr>
      </w:pPr>
      <w:r>
        <w:rPr>
          <w:rFonts w:ascii="Courier New" w:cs="Courier New" w:eastAsia="Courier New" w:hAnsi="Courier New"/>
          <w:sz w:val="16"/>
          <w:szCs w:val="16"/>
          <w:color w:val="auto"/>
        </w:rPr>
        <w:t>Gains or losses resulting from foreign currency transactions and the translation of the financial statements for those operations outside of the United States whose functional currency is other than the local currency are included in other income.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FAIR VALUE</w:t>
      </w:r>
    </w:p>
    <w:p>
      <w:pPr>
        <w:spacing w:after="0" w:line="4" w:lineRule="exact"/>
        <w:rPr>
          <w:sz w:val="20"/>
          <w:szCs w:val="20"/>
          <w:color w:val="auto"/>
        </w:rPr>
      </w:pPr>
    </w:p>
    <w:p>
      <w:pPr>
        <w:ind w:right="3259" w:firstLine="105"/>
        <w:spacing w:after="0" w:line="235" w:lineRule="auto"/>
        <w:rPr>
          <w:sz w:val="20"/>
          <w:szCs w:val="20"/>
          <w:color w:val="auto"/>
        </w:rPr>
      </w:pPr>
      <w:r>
        <w:rPr>
          <w:rFonts w:ascii="Courier New" w:cs="Courier New" w:eastAsia="Courier New" w:hAnsi="Courier New"/>
          <w:sz w:val="18"/>
          <w:szCs w:val="18"/>
          <w:color w:val="auto"/>
        </w:rPr>
        <w:t>The following methods and assumptions were used by the Company in estimating fair value disclosures for financial instruments:</w:t>
      </w:r>
    </w:p>
    <w:p>
      <w:pPr>
        <w:spacing w:after="0" w:line="208" w:lineRule="exact"/>
        <w:rPr>
          <w:sz w:val="20"/>
          <w:szCs w:val="20"/>
          <w:color w:val="auto"/>
        </w:rPr>
      </w:pPr>
    </w:p>
    <w:p>
      <w:pPr>
        <w:ind w:right="3899" w:firstLine="105"/>
        <w:spacing w:after="0" w:line="237" w:lineRule="auto"/>
        <w:rPr>
          <w:sz w:val="20"/>
          <w:szCs w:val="20"/>
          <w:color w:val="auto"/>
        </w:rPr>
      </w:pPr>
      <w:r>
        <w:rPr>
          <w:rFonts w:ascii="Courier New" w:cs="Courier New" w:eastAsia="Courier New" w:hAnsi="Courier New"/>
          <w:sz w:val="18"/>
          <w:szCs w:val="18"/>
          <w:color w:val="auto"/>
        </w:rPr>
        <w:t>Cash and cash equivalents, trade receivables, short-term borrowings, current portion of long-term debt, accounts payable and accrued liabilities: The amounts reported in the Consolidated Balance Sheet approximate fair value.</w:t>
      </w:r>
    </w:p>
    <w:p>
      <w:pPr>
        <w:spacing w:after="0" w:line="207" w:lineRule="exact"/>
        <w:rPr>
          <w:sz w:val="20"/>
          <w:szCs w:val="20"/>
          <w:color w:val="auto"/>
        </w:rPr>
      </w:pPr>
    </w:p>
    <w:p>
      <w:pPr>
        <w:ind w:right="3579" w:firstLine="105"/>
        <w:spacing w:after="0" w:line="236" w:lineRule="auto"/>
        <w:rPr>
          <w:sz w:val="20"/>
          <w:szCs w:val="20"/>
          <w:color w:val="auto"/>
        </w:rPr>
      </w:pPr>
      <w:r>
        <w:rPr>
          <w:rFonts w:ascii="Courier New" w:cs="Courier New" w:eastAsia="Courier New" w:hAnsi="Courier New"/>
          <w:sz w:val="18"/>
          <w:szCs w:val="18"/>
          <w:color w:val="auto"/>
        </w:rPr>
        <w:t>Long-term debt: The fair value of long-term debt is based on a discounted cash flow analysis using the Company's current incremental borrowing rate for debt of similar maturities.</w:t>
      </w:r>
    </w:p>
    <w:p>
      <w:pPr>
        <w:spacing w:after="0" w:line="209" w:lineRule="exact"/>
        <w:rPr>
          <w:sz w:val="20"/>
          <w:szCs w:val="20"/>
          <w:color w:val="auto"/>
        </w:rPr>
      </w:pPr>
    </w:p>
    <w:p>
      <w:pPr>
        <w:jc w:val="both"/>
        <w:ind w:right="3159" w:firstLine="105"/>
        <w:spacing w:after="0" w:line="236" w:lineRule="auto"/>
        <w:rPr>
          <w:sz w:val="20"/>
          <w:szCs w:val="20"/>
          <w:color w:val="auto"/>
        </w:rPr>
      </w:pPr>
      <w:r>
        <w:rPr>
          <w:rFonts w:ascii="Courier New" w:cs="Courier New" w:eastAsia="Courier New" w:hAnsi="Courier New"/>
          <w:sz w:val="18"/>
          <w:szCs w:val="18"/>
          <w:color w:val="auto"/>
        </w:rPr>
        <w:t>Forward exchange contracts for foreign currency: The fair value of forward exchange contracts for foreign currency are estimated using quoted market prices for comparable instruments.</w:t>
      </w:r>
    </w:p>
    <w:p>
      <w:pPr>
        <w:spacing w:after="0" w:line="209" w:lineRule="exact"/>
        <w:rPr>
          <w:sz w:val="20"/>
          <w:szCs w:val="20"/>
          <w:color w:val="auto"/>
        </w:rPr>
      </w:pPr>
    </w:p>
    <w:p>
      <w:pPr>
        <w:ind w:right="3359" w:firstLine="105"/>
        <w:spacing w:after="0" w:line="236" w:lineRule="auto"/>
        <w:rPr>
          <w:sz w:val="20"/>
          <w:szCs w:val="20"/>
          <w:color w:val="auto"/>
        </w:rPr>
      </w:pPr>
      <w:r>
        <w:rPr>
          <w:rFonts w:ascii="Courier New" w:cs="Courier New" w:eastAsia="Courier New" w:hAnsi="Courier New"/>
          <w:sz w:val="18"/>
          <w:szCs w:val="18"/>
          <w:color w:val="auto"/>
        </w:rPr>
        <w:t>Investments, consisting principally of investments in unconsolidated affiliates, are not readily marketable. Therefore, it is not practicable to estimate their fair value.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RISK</w:t>
      </w:r>
    </w:p>
    <w:p>
      <w:pPr>
        <w:spacing w:after="0" w:line="4" w:lineRule="exact"/>
        <w:rPr>
          <w:sz w:val="20"/>
          <w:szCs w:val="20"/>
          <w:color w:val="auto"/>
        </w:rPr>
      </w:pPr>
    </w:p>
    <w:p>
      <w:pPr>
        <w:ind w:right="3159" w:firstLine="105"/>
        <w:spacing w:after="0" w:line="237" w:lineRule="auto"/>
        <w:rPr>
          <w:sz w:val="20"/>
          <w:szCs w:val="20"/>
          <w:color w:val="auto"/>
        </w:rPr>
      </w:pPr>
      <w:r>
        <w:rPr>
          <w:rFonts w:ascii="Courier New" w:cs="Courier New" w:eastAsia="Courier New" w:hAnsi="Courier New"/>
          <w:sz w:val="18"/>
          <w:szCs w:val="18"/>
          <w:color w:val="auto"/>
        </w:rPr>
        <w:t>The Company is potentially subjected to concentrations of credit risk with trade accounts receivable, prepaid allowances and forward exchange contracts for foreign currency. Because the Company has a large and diverse customer base with no single customer accounting for a significant percentage of trade accounts receivable and prepaid allowances, there was no material concentration of credit risk in these accounts at November 30, 1994. The Company evaluates the creditworthiness of the counterparties to forward exchange contracts for foreign currency and considers nonperformance credit risk to be remote.</w:t>
      </w:r>
    </w:p>
    <w:p>
      <w:pPr>
        <w:sectPr>
          <w:pgSz w:w="11900" w:h="16838" w:orient="portrait"/>
          <w:cols w:equalWidth="0" w:num="1">
            <w:col w:w="10219"/>
          </w:cols>
          <w:pgMar w:left="240" w:top="142"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ACCOUNTING CHANGES</w:t>
      </w:r>
    </w:p>
    <w:p>
      <w:pPr>
        <w:spacing w:after="0" w:line="4" w:lineRule="exact"/>
        <w:rPr>
          <w:sz w:val="20"/>
          <w:szCs w:val="20"/>
          <w:color w:val="auto"/>
        </w:rPr>
      </w:pPr>
    </w:p>
    <w:p>
      <w:pPr>
        <w:ind w:right="3159" w:firstLine="105"/>
        <w:spacing w:after="0" w:line="237" w:lineRule="auto"/>
        <w:rPr>
          <w:sz w:val="20"/>
          <w:szCs w:val="20"/>
          <w:color w:val="auto"/>
        </w:rPr>
      </w:pPr>
      <w:r>
        <w:rPr>
          <w:rFonts w:ascii="Courier New" w:cs="Courier New" w:eastAsia="Courier New" w:hAnsi="Courier New"/>
          <w:sz w:val="18"/>
          <w:szCs w:val="18"/>
          <w:color w:val="auto"/>
        </w:rPr>
        <w:t>In November 1994, the Company adopted SFAS No. 112, "Employers' Accounting for Postemployment Benefits." SFAS No. 112 requires the accrual of the expected costs of providing certain benefits after employment, but before retirement, principally the Company's long-term disability benefits, during the years that the employee renders the necessary service. The adoption of SFAS No. 112 did not have a material impact on net income for 1994. Prior year financial statements have not been restated for the effects of applying SFAS No. 112.</w:t>
      </w:r>
    </w:p>
    <w:p>
      <w:pPr>
        <w:spacing w:after="0" w:line="214" w:lineRule="exact"/>
        <w:rPr>
          <w:sz w:val="20"/>
          <w:szCs w:val="20"/>
          <w:color w:val="auto"/>
        </w:rPr>
      </w:pPr>
    </w:p>
    <w:p>
      <w:pPr>
        <w:ind w:right="3159" w:firstLine="105"/>
        <w:spacing w:after="0" w:line="237" w:lineRule="auto"/>
        <w:rPr>
          <w:sz w:val="20"/>
          <w:szCs w:val="20"/>
          <w:color w:val="auto"/>
        </w:rPr>
      </w:pPr>
      <w:r>
        <w:rPr>
          <w:rFonts w:ascii="Courier New" w:cs="Courier New" w:eastAsia="Courier New" w:hAnsi="Courier New"/>
          <w:sz w:val="18"/>
          <w:szCs w:val="18"/>
          <w:color w:val="auto"/>
        </w:rPr>
        <w:t>Effective December 1, 1992, the Company adopted SFAS No. 106, "Employers' Accounting for Postretirement Benefits Other than Pensions." SFAS No. 106 requires the accrual of the expected costs of providing postretirement benefits during the years that the employee renders the necessary service. Prior year financial statements have not been restated for the effects of applying SFAS No. 106.</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Investments:</w:t>
      </w:r>
    </w:p>
    <w:p>
      <w:pPr>
        <w:spacing w:after="0" w:line="4" w:lineRule="exact"/>
        <w:rPr>
          <w:sz w:val="20"/>
          <w:szCs w:val="20"/>
          <w:color w:val="auto"/>
        </w:rPr>
      </w:pPr>
    </w:p>
    <w:p>
      <w:pPr>
        <w:jc w:val="both"/>
        <w:ind w:right="3479" w:firstLine="211"/>
        <w:spacing w:after="0" w:line="237" w:lineRule="auto"/>
        <w:rPr>
          <w:sz w:val="20"/>
          <w:szCs w:val="20"/>
          <w:color w:val="auto"/>
        </w:rPr>
      </w:pPr>
      <w:r>
        <w:rPr>
          <w:rFonts w:ascii="Courier New" w:cs="Courier New" w:eastAsia="Courier New" w:hAnsi="Courier New"/>
          <w:sz w:val="18"/>
          <w:szCs w:val="18"/>
          <w:color w:val="auto"/>
        </w:rPr>
        <w:t>The Company owns from 21.9% to 50% of its unconsolidated food products affiliates. Although the Company reports its share of earnings from the affiliates, their financial statements are not consolidated with those of the Company. The Company's share of undistributed earnings of the affiliates was $22,440 at November 30, 1994.</w:t>
      </w:r>
    </w:p>
    <w:p>
      <w:pPr>
        <w:spacing w:after="0" w:line="210" w:lineRule="exact"/>
        <w:rPr>
          <w:sz w:val="20"/>
          <w:szCs w:val="20"/>
          <w:color w:val="auto"/>
        </w:rPr>
      </w:pPr>
    </w:p>
    <w:p>
      <w:pPr>
        <w:ind w:right="3359" w:firstLine="211"/>
        <w:spacing w:after="0" w:line="290" w:lineRule="auto"/>
        <w:rPr>
          <w:sz w:val="20"/>
          <w:szCs w:val="20"/>
          <w:color w:val="auto"/>
        </w:rPr>
      </w:pPr>
      <w:r>
        <w:rPr>
          <w:rFonts w:ascii="Courier New" w:cs="Courier New" w:eastAsia="Courier New" w:hAnsi="Courier New"/>
          <w:sz w:val="16"/>
          <w:szCs w:val="16"/>
          <w:color w:val="auto"/>
        </w:rPr>
        <w:t>Summarized yearend information from the financial statements of these companies representing 100% of their businesses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300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Unconsolidated Affiliates</w:t>
            </w:r>
          </w:p>
        </w:tc>
        <w:tc>
          <w:tcPr>
            <w:tcW w:w="1100" w:type="dxa"/>
            <w:vAlign w:val="bottom"/>
          </w:tcPr>
          <w:p>
            <w:pPr>
              <w:spacing w:after="0"/>
              <w:rPr>
                <w:sz w:val="17"/>
                <w:szCs w:val="17"/>
                <w:color w:val="auto"/>
              </w:rPr>
            </w:pPr>
          </w:p>
        </w:tc>
      </w:tr>
      <w:tr>
        <w:trPr>
          <w:trHeight w:val="405"/>
        </w:trPr>
        <w:tc>
          <w:tcPr>
            <w:tcW w:w="2540" w:type="dxa"/>
            <w:vAlign w:val="bottom"/>
          </w:tcPr>
          <w:p>
            <w:pPr>
              <w:spacing w:after="0"/>
              <w:rPr>
                <w:sz w:val="24"/>
                <w:szCs w:val="24"/>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8"/>
                <w:szCs w:val="18"/>
                <w:color w:val="auto"/>
              </w:rPr>
              <w:t>1994</w:t>
            </w:r>
          </w:p>
        </w:tc>
        <w:tc>
          <w:tcPr>
            <w:tcW w:w="1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1993</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1992</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$144,781</w:t>
            </w:r>
          </w:p>
        </w:tc>
        <w:tc>
          <w:tcPr>
            <w:tcW w:w="460" w:type="dxa"/>
            <w:vAlign w:val="bottom"/>
          </w:tcPr>
          <w:p>
            <w:pPr>
              <w:ind w:left="360"/>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5"/>
              </w:rPr>
              <w:t>136,713</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$120,410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assets</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80,087</w:t>
            </w:r>
          </w:p>
        </w:tc>
        <w:tc>
          <w:tcPr>
            <w:tcW w:w="4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68,974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57,611</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94,847</w:t>
            </w:r>
          </w:p>
        </w:tc>
        <w:tc>
          <w:tcPr>
            <w:tcW w:w="4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87,512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80,748</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liabilities</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43,157</w:t>
            </w:r>
          </w:p>
        </w:tc>
        <w:tc>
          <w:tcPr>
            <w:tcW w:w="4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35,138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26,566</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342,163</w:t>
            </w:r>
          </w:p>
        </w:tc>
        <w:tc>
          <w:tcPr>
            <w:tcW w:w="4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309,527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268,182</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130,132</w:t>
            </w:r>
          </w:p>
        </w:tc>
        <w:tc>
          <w:tcPr>
            <w:tcW w:w="4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122,515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110,001</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$ 16,777</w:t>
            </w: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20,557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$ 19,756</w:t>
            </w:r>
          </w:p>
        </w:tc>
      </w:tr>
    </w:tbl>
    <w:p>
      <w:pPr>
        <w:spacing w:after="0" w:line="201" w:lineRule="exact"/>
        <w:rPr>
          <w:sz w:val="20"/>
          <w:szCs w:val="20"/>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Arrangements: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outstanding indebtedness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40" w:type="dxa"/>
            <w:vAlign w:val="bottom"/>
          </w:tcPr>
          <w:p>
            <w:pPr>
              <w:ind w:left="480"/>
              <w:spacing w:after="0"/>
              <w:rPr>
                <w:sz w:val="20"/>
                <w:szCs w:val="20"/>
                <w:color w:val="auto"/>
              </w:rPr>
            </w:pPr>
            <w:r>
              <w:rPr>
                <w:rFonts w:ascii="Courier New" w:cs="Courier New" w:eastAsia="Courier New" w:hAnsi="Courier New"/>
                <w:sz w:val="18"/>
                <w:szCs w:val="18"/>
                <w:color w:val="auto"/>
              </w:rPr>
              <w:t>1994</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Short-term notes payable:</w:t>
            </w: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Commercial paper</w:t>
            </w:r>
          </w:p>
        </w:tc>
        <w:tc>
          <w:tcPr>
            <w:tcW w:w="1880" w:type="dxa"/>
            <w:vAlign w:val="bottom"/>
          </w:tcPr>
          <w:p>
            <w:pPr>
              <w:spacing w:after="0"/>
              <w:rPr>
                <w:sz w:val="17"/>
                <w:szCs w:val="17"/>
                <w:color w:val="auto"/>
              </w:rPr>
            </w:pP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$135,000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$ 60,000</w:t>
            </w:r>
          </w:p>
        </w:tc>
      </w:tr>
      <w:tr>
        <w:trPr>
          <w:trHeight w:val="203"/>
        </w:trPr>
        <w:tc>
          <w:tcPr>
            <w:tcW w:w="1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Other. . . . . .</w:t>
            </w:r>
          </w:p>
        </w:tc>
        <w:tc>
          <w:tcPr>
            <w:tcW w:w="1880" w:type="dxa"/>
            <w:vAlign w:val="bottom"/>
          </w:tcPr>
          <w:p>
            <w:pPr>
              <w:spacing w:after="0"/>
              <w:rPr>
                <w:sz w:val="17"/>
                <w:szCs w:val="17"/>
                <w:color w:val="auto"/>
              </w:rPr>
            </w:pP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67,542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16,389</w:t>
            </w:r>
          </w:p>
        </w:tc>
      </w:tr>
      <w:tr>
        <w:trPr>
          <w:trHeight w:val="203"/>
        </w:trPr>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$202,542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$ 76,389</w:t>
            </w:r>
          </w:p>
        </w:tc>
      </w:tr>
      <w:tr>
        <w:trPr>
          <w:trHeight w:val="405"/>
        </w:trPr>
        <w:tc>
          <w:tcPr>
            <w:tcW w:w="18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9"/>
              </w:rPr>
              <w:t>Weighted-average</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rPr>
              <w:t>interest rate</w:t>
            </w:r>
          </w:p>
        </w:tc>
        <w:tc>
          <w:tcPr>
            <w:tcW w:w="1740" w:type="dxa"/>
            <w:vAlign w:val="bottom"/>
          </w:tcPr>
          <w:p>
            <w:pPr>
              <w:ind w:left="480"/>
              <w:spacing w:after="0"/>
              <w:rPr>
                <w:sz w:val="20"/>
                <w:szCs w:val="20"/>
                <w:color w:val="auto"/>
              </w:rPr>
            </w:pPr>
            <w:r>
              <w:rPr>
                <w:rFonts w:ascii="Courier New" w:cs="Courier New" w:eastAsia="Courier New" w:hAnsi="Courier New"/>
                <w:sz w:val="18"/>
                <w:szCs w:val="18"/>
                <w:color w:val="auto"/>
              </w:rPr>
              <w:t>6.42%</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3.94%</w:t>
            </w:r>
          </w:p>
        </w:tc>
      </w:tr>
      <w:tr>
        <w:trPr>
          <w:trHeight w:val="405"/>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Long-term debt:</w:t>
            </w:r>
          </w:p>
        </w:tc>
        <w:tc>
          <w:tcPr>
            <w:tcW w:w="1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8.95%</w:t>
            </w:r>
          </w:p>
        </w:tc>
        <w:tc>
          <w:tcPr>
            <w:tcW w:w="3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note due 2001</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74,343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$ 74,279</w:t>
            </w:r>
          </w:p>
        </w:tc>
      </w:tr>
      <w:tr>
        <w:trPr>
          <w:trHeight w:val="203"/>
        </w:trPr>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9.00%</w:t>
            </w:r>
          </w:p>
        </w:tc>
        <w:tc>
          <w:tcPr>
            <w:tcW w:w="3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and 9.75% installment</w:t>
            </w: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notes due through 2000</w:t>
            </w: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2002 . . .</w:t>
            </w:r>
          </w:p>
        </w:tc>
        <w:tc>
          <w:tcPr>
            <w:tcW w:w="1880" w:type="dxa"/>
            <w:vAlign w:val="bottom"/>
          </w:tcPr>
          <w:p>
            <w:pPr>
              <w:spacing w:after="0"/>
              <w:rPr>
                <w:sz w:val="17"/>
                <w:szCs w:val="17"/>
                <w:color w:val="auto"/>
              </w:rPr>
            </w:pP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35,864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47,409</w:t>
            </w:r>
          </w:p>
        </w:tc>
      </w:tr>
      <w:tr>
        <w:trPr>
          <w:trHeight w:val="203"/>
        </w:trPr>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5.78%</w:t>
            </w:r>
          </w:p>
        </w:tc>
        <w:tc>
          <w:tcPr>
            <w:tcW w:w="3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- 7.77% medium-term</w:t>
            </w: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notes due 2004</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2006</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95,000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7.63%</w:t>
            </w:r>
          </w:p>
        </w:tc>
        <w:tc>
          <w:tcPr>
            <w:tcW w:w="3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- 8.12% medium-term</w:t>
            </w: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notes due 2024</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 put</w:t>
            </w: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option in 2004</w:t>
            </w:r>
          </w:p>
        </w:tc>
        <w:tc>
          <w:tcPr>
            <w:tcW w:w="1880" w:type="dxa"/>
            <w:vAlign w:val="bottom"/>
          </w:tcPr>
          <w:p>
            <w:pPr>
              <w:spacing w:after="0"/>
              <w:rPr>
                <w:sz w:val="17"/>
                <w:szCs w:val="17"/>
                <w:color w:val="auto"/>
              </w:rPr>
            </w:pP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55,000</w:t>
            </w:r>
          </w:p>
        </w:tc>
        <w:tc>
          <w:tcPr>
            <w:tcW w:w="1160" w:type="dxa"/>
            <w:vAlign w:val="bottom"/>
          </w:tcPr>
          <w:p>
            <w:pPr>
              <w:spacing w:after="0"/>
              <w:rPr>
                <w:sz w:val="17"/>
                <w:szCs w:val="17"/>
                <w:color w:val="auto"/>
              </w:rPr>
            </w:pPr>
          </w:p>
        </w:tc>
      </w:tr>
      <w:tr>
        <w:trPr>
          <w:trHeight w:val="203"/>
        </w:trPr>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9.34%</w:t>
            </w:r>
          </w:p>
        </w:tc>
        <w:tc>
          <w:tcPr>
            <w:tcW w:w="3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pound sterling</w:t>
            </w: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installment note due</w:t>
            </w: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through 2001 .</w:t>
            </w:r>
          </w:p>
        </w:tc>
        <w:tc>
          <w:tcPr>
            <w:tcW w:w="1880" w:type="dxa"/>
            <w:vAlign w:val="bottom"/>
          </w:tcPr>
          <w:p>
            <w:pPr>
              <w:spacing w:after="0"/>
              <w:rPr>
                <w:sz w:val="17"/>
                <w:szCs w:val="17"/>
                <w:color w:val="auto"/>
              </w:rPr>
            </w:pP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18,787</w:t>
            </w:r>
          </w:p>
        </w:tc>
        <w:tc>
          <w:tcPr>
            <w:tcW w:w="1160" w:type="dxa"/>
            <w:vAlign w:val="bottom"/>
          </w:tcPr>
          <w:p>
            <w:pPr>
              <w:spacing w:after="0"/>
              <w:rPr>
                <w:sz w:val="17"/>
                <w:szCs w:val="17"/>
                <w:color w:val="auto"/>
              </w:rPr>
            </w:pPr>
          </w:p>
        </w:tc>
      </w:tr>
      <w:tr>
        <w:trPr>
          <w:trHeight w:val="203"/>
        </w:trPr>
        <w:tc>
          <w:tcPr>
            <w:tcW w:w="37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10.00% Canadian dollar bond</w:t>
            </w: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due</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1999 . . .</w:t>
            </w:r>
          </w:p>
        </w:tc>
        <w:tc>
          <w:tcPr>
            <w:tcW w:w="1880" w:type="dxa"/>
            <w:vAlign w:val="bottom"/>
          </w:tcPr>
          <w:p>
            <w:pPr>
              <w:spacing w:after="0"/>
              <w:rPr>
                <w:sz w:val="17"/>
                <w:szCs w:val="17"/>
                <w:color w:val="auto"/>
              </w:rPr>
            </w:pP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7,266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7,489</w:t>
            </w:r>
          </w:p>
        </w:tc>
      </w:tr>
      <w:tr>
        <w:trPr>
          <w:trHeight w:val="203"/>
        </w:trPr>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3.13%</w:t>
            </w:r>
          </w:p>
        </w:tc>
        <w:tc>
          <w:tcPr>
            <w:tcW w:w="3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yen note due 1999</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7,280</w:t>
            </w:r>
          </w:p>
        </w:tc>
        <w:tc>
          <w:tcPr>
            <w:tcW w:w="1160" w:type="dxa"/>
            <w:vAlign w:val="bottom"/>
          </w:tcPr>
          <w:p>
            <w:pPr>
              <w:spacing w:after="0"/>
              <w:rPr>
                <w:sz w:val="17"/>
                <w:szCs w:val="17"/>
                <w:color w:val="auto"/>
              </w:rPr>
            </w:pPr>
          </w:p>
        </w:tc>
      </w:tr>
      <w:tr>
        <w:trPr>
          <w:trHeight w:val="203"/>
        </w:trPr>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9.74%</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Australian</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dollar note</w:t>
            </w: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due</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1999 . . .</w:t>
            </w:r>
          </w:p>
        </w:tc>
        <w:tc>
          <w:tcPr>
            <w:tcW w:w="1880" w:type="dxa"/>
            <w:vAlign w:val="bottom"/>
          </w:tcPr>
          <w:p>
            <w:pPr>
              <w:spacing w:after="0"/>
              <w:rPr>
                <w:sz w:val="17"/>
                <w:szCs w:val="17"/>
                <w:color w:val="auto"/>
              </w:rPr>
            </w:pP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9,218</w:t>
            </w:r>
          </w:p>
        </w:tc>
        <w:tc>
          <w:tcPr>
            <w:tcW w:w="1160" w:type="dxa"/>
            <w:vAlign w:val="bottom"/>
          </w:tcPr>
          <w:p>
            <w:pPr>
              <w:spacing w:after="0"/>
              <w:rPr>
                <w:sz w:val="17"/>
                <w:szCs w:val="17"/>
                <w:color w:val="auto"/>
              </w:rPr>
            </w:pPr>
          </w:p>
        </w:tc>
      </w:tr>
      <w:tr>
        <w:trPr>
          <w:trHeight w:val="203"/>
        </w:trPr>
        <w:tc>
          <w:tcPr>
            <w:tcW w:w="1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Commercial paper</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supported</w:t>
            </w: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by note agreements</w:t>
            </w:r>
          </w:p>
        </w:tc>
        <w:tc>
          <w:tcPr>
            <w:tcW w:w="17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120,000</w:t>
            </w:r>
          </w:p>
        </w:tc>
      </w:tr>
      <w:tr>
        <w:trPr>
          <w:trHeight w:val="203"/>
        </w:trPr>
        <w:tc>
          <w:tcPr>
            <w:tcW w:w="1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Other. . . . . .</w:t>
            </w:r>
          </w:p>
        </w:tc>
        <w:tc>
          <w:tcPr>
            <w:tcW w:w="1880" w:type="dxa"/>
            <w:vAlign w:val="bottom"/>
          </w:tcPr>
          <w:p>
            <w:pPr>
              <w:spacing w:after="0"/>
              <w:rPr>
                <w:sz w:val="17"/>
                <w:szCs w:val="17"/>
                <w:color w:val="auto"/>
              </w:rPr>
            </w:pP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16,094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9,671</w:t>
            </w:r>
          </w:p>
        </w:tc>
      </w:tr>
      <w:tr>
        <w:trPr>
          <w:trHeight w:val="203"/>
        </w:trPr>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w:t>
            </w:r>
          </w:p>
        </w:tc>
        <w:tc>
          <w:tcPr>
            <w:tcW w:w="3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excluding non-recourse</w:t>
            </w: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debt . . . . .</w:t>
            </w:r>
          </w:p>
        </w:tc>
        <w:tc>
          <w:tcPr>
            <w:tcW w:w="1880" w:type="dxa"/>
            <w:vAlign w:val="bottom"/>
          </w:tcPr>
          <w:p>
            <w:pPr>
              <w:spacing w:after="0"/>
              <w:rPr>
                <w:sz w:val="17"/>
                <w:szCs w:val="17"/>
                <w:color w:val="auto"/>
              </w:rPr>
            </w:pP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318,852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288,848</w:t>
            </w:r>
          </w:p>
        </w:tc>
      </w:tr>
      <w:tr>
        <w:trPr>
          <w:trHeight w:val="203"/>
        </w:trPr>
        <w:tc>
          <w:tcPr>
            <w:tcW w:w="37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11.68% non-recourse</w:t>
            </w: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installment note due 2006</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55,436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57,588</w:t>
            </w:r>
          </w:p>
        </w:tc>
      </w:tr>
      <w:tr>
        <w:trPr>
          <w:trHeight w:val="203"/>
        </w:trPr>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$374,288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$346,436</w:t>
            </w:r>
          </w:p>
        </w:tc>
      </w:tr>
    </w:tbl>
    <w:p>
      <w:pPr>
        <w:sectPr>
          <w:pgSz w:w="11900" w:h="16838" w:orient="portrait"/>
          <w:cols w:equalWidth="0" w:num="1">
            <w:col w:w="10219"/>
          </w:cols>
          <w:pgMar w:left="240" w:top="339" w:right="1440" w:bottom="0" w:gutter="0" w:footer="0" w:header="0"/>
        </w:sectPr>
      </w:pPr>
    </w:p>
    <w:bookmarkStart w:id="24" w:name="page25"/>
    <w:bookmarkEnd w:id="24"/>
    <w:p>
      <w:pPr>
        <w:ind w:right="3159" w:firstLine="211"/>
        <w:spacing w:after="0" w:line="275" w:lineRule="auto"/>
        <w:rPr>
          <w:sz w:val="20"/>
          <w:szCs w:val="20"/>
          <w:color w:val="auto"/>
        </w:rPr>
      </w:pPr>
      <w:r>
        <w:rPr>
          <w:rFonts w:ascii="Courier New" w:cs="Courier New" w:eastAsia="Courier New" w:hAnsi="Courier New"/>
          <w:sz w:val="16"/>
          <w:szCs w:val="16"/>
          <w:color w:val="auto"/>
        </w:rPr>
        <w:t>The Company's long-term debt agreements contain various restrictive covenants, including limitations on the payment of cash dividends. Under the most restrictive covenants, $227,536 of retained earnings was available for dividends at November 30, 1994.</w:t>
      </w:r>
    </w:p>
    <w:p>
      <w:pPr>
        <w:spacing w:after="0" w:line="182" w:lineRule="exact"/>
        <w:rPr>
          <w:sz w:val="20"/>
          <w:szCs w:val="20"/>
          <w:color w:val="auto"/>
        </w:rPr>
      </w:pPr>
    </w:p>
    <w:p>
      <w:pPr>
        <w:ind w:right="3579" w:firstLine="211"/>
        <w:spacing w:after="0" w:line="235" w:lineRule="auto"/>
        <w:rPr>
          <w:sz w:val="20"/>
          <w:szCs w:val="20"/>
          <w:color w:val="auto"/>
        </w:rPr>
      </w:pPr>
      <w:r>
        <w:rPr>
          <w:rFonts w:ascii="Courier New" w:cs="Courier New" w:eastAsia="Courier New" w:hAnsi="Courier New"/>
          <w:sz w:val="18"/>
          <w:szCs w:val="18"/>
          <w:color w:val="auto"/>
        </w:rPr>
        <w:t>The holders of the medium-term notes due 2024 have a one-time option to require retirement of these notes during 2004.</w:t>
      </w:r>
    </w:p>
    <w:p>
      <w:pPr>
        <w:spacing w:after="0" w:line="208" w:lineRule="exact"/>
        <w:rPr>
          <w:sz w:val="20"/>
          <w:szCs w:val="20"/>
          <w:color w:val="auto"/>
        </w:rPr>
      </w:pPr>
    </w:p>
    <w:p>
      <w:pPr>
        <w:ind w:right="3259" w:firstLine="211"/>
        <w:spacing w:after="0" w:line="279" w:lineRule="auto"/>
        <w:rPr>
          <w:sz w:val="20"/>
          <w:szCs w:val="20"/>
          <w:color w:val="auto"/>
        </w:rPr>
      </w:pPr>
      <w:r>
        <w:rPr>
          <w:rFonts w:ascii="Courier New" w:cs="Courier New" w:eastAsia="Courier New" w:hAnsi="Courier New"/>
          <w:sz w:val="16"/>
          <w:szCs w:val="16"/>
          <w:color w:val="auto"/>
        </w:rPr>
        <w:t>Certain commercial paper notes have been classified as long-term debt at November 30, 1993, reflecting the Company's ability and intent at that time to refinance this amount on a long-term basis.</w:t>
      </w:r>
    </w:p>
    <w:p>
      <w:pPr>
        <w:spacing w:after="0" w:line="178" w:lineRule="exact"/>
        <w:rPr>
          <w:sz w:val="20"/>
          <w:szCs w:val="20"/>
          <w:color w:val="auto"/>
        </w:rPr>
      </w:pPr>
    </w:p>
    <w:p>
      <w:pPr>
        <w:jc w:val="both"/>
        <w:ind w:right="3679" w:firstLine="211"/>
        <w:spacing w:after="0" w:line="236" w:lineRule="auto"/>
        <w:rPr>
          <w:sz w:val="20"/>
          <w:szCs w:val="20"/>
          <w:color w:val="auto"/>
        </w:rPr>
      </w:pPr>
      <w:r>
        <w:rPr>
          <w:rFonts w:ascii="Courier New" w:cs="Courier New" w:eastAsia="Courier New" w:hAnsi="Courier New"/>
          <w:sz w:val="18"/>
          <w:szCs w:val="18"/>
          <w:color w:val="auto"/>
        </w:rPr>
        <w:t>The non-recourse installment note is secured by property and equipment owned by Gilroy Energy Company, Inc. with a net book value of $64,238 at November 30, 1994.</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Maturities of long-term debt during the four years subsequent to</w:t>
      </w:r>
    </w:p>
    <w:p>
      <w:pPr>
        <w:spacing w:after="0" w:line="238" w:lineRule="auto"/>
        <w:rPr>
          <w:sz w:val="20"/>
          <w:szCs w:val="20"/>
          <w:color w:val="auto"/>
        </w:rPr>
      </w:pPr>
      <w:r>
        <w:rPr>
          <w:rFonts w:ascii="Courier New" w:cs="Courier New" w:eastAsia="Courier New" w:hAnsi="Courier New"/>
          <w:sz w:val="18"/>
          <w:szCs w:val="18"/>
          <w:color w:val="auto"/>
        </w:rPr>
        <w:t>November 30, 1995 are as follows:</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jc w:val="right"/>
              <w:spacing w:after="0"/>
              <w:rPr>
                <w:sz w:val="20"/>
                <w:szCs w:val="20"/>
                <w:color w:val="auto"/>
              </w:rPr>
            </w:pPr>
            <w:r>
              <w:rPr>
                <w:rFonts w:ascii="Courier New" w:cs="Courier New" w:eastAsia="Courier New" w:hAnsi="Courier New"/>
                <w:sz w:val="18"/>
                <w:szCs w:val="18"/>
                <w:color w:val="auto"/>
                <w:w w:val="92"/>
              </w:rPr>
              <w:t>1996</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$12,870</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1998</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$11,672</w:t>
            </w:r>
          </w:p>
        </w:tc>
      </w:tr>
      <w:tr>
        <w:trPr>
          <w:trHeight w:val="203"/>
        </w:trPr>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1997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$12,414</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$27,723</w:t>
            </w:r>
          </w:p>
        </w:tc>
      </w:tr>
    </w:tbl>
    <w:p>
      <w:pPr>
        <w:spacing w:after="0" w:line="207" w:lineRule="exact"/>
        <w:rPr>
          <w:sz w:val="20"/>
          <w:szCs w:val="20"/>
          <w:color w:val="auto"/>
        </w:rPr>
      </w:pPr>
    </w:p>
    <w:p>
      <w:pPr>
        <w:ind w:right="3579" w:firstLine="211"/>
        <w:spacing w:after="0" w:line="237" w:lineRule="auto"/>
        <w:rPr>
          <w:sz w:val="20"/>
          <w:szCs w:val="20"/>
          <w:color w:val="auto"/>
        </w:rPr>
      </w:pPr>
      <w:r>
        <w:rPr>
          <w:rFonts w:ascii="Courier New" w:cs="Courier New" w:eastAsia="Courier New" w:hAnsi="Courier New"/>
          <w:sz w:val="18"/>
          <w:szCs w:val="18"/>
          <w:color w:val="auto"/>
        </w:rPr>
        <w:t>The Company has available credit facilities with domestic and foreign banks for various purposes. The available credit facilities and the amounts outstanding under each category of facility (and included in indebtedness above)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40" w:type="dxa"/>
            <w:vAlign w:val="bottom"/>
          </w:tcPr>
          <w:p>
            <w:pPr>
              <w:jc w:val="right"/>
              <w:ind w:right="1432"/>
              <w:spacing w:after="0"/>
              <w:rPr>
                <w:sz w:val="20"/>
                <w:szCs w:val="20"/>
                <w:color w:val="auto"/>
              </w:rPr>
            </w:pPr>
            <w:r>
              <w:rPr>
                <w:rFonts w:ascii="Courier New" w:cs="Courier New" w:eastAsia="Courier New" w:hAnsi="Courier New"/>
                <w:sz w:val="18"/>
                <w:szCs w:val="18"/>
                <w:color w:val="auto"/>
                <w:w w:val="92"/>
              </w:rPr>
              <w:t>1994</w:t>
            </w:r>
          </w:p>
        </w:tc>
        <w:tc>
          <w:tcPr>
            <w:tcW w:w="1320" w:type="dxa"/>
            <w:vAlign w:val="bottom"/>
          </w:tcPr>
          <w:p>
            <w:pPr>
              <w:spacing w:after="0"/>
              <w:rPr>
                <w:sz w:val="17"/>
                <w:szCs w:val="17"/>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1993</w:t>
            </w:r>
          </w:p>
        </w:tc>
        <w:tc>
          <w:tcPr>
            <w:tcW w:w="6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Total</w:t>
            </w:r>
          </w:p>
        </w:tc>
        <w:tc>
          <w:tcPr>
            <w:tcW w:w="19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Amount</w:t>
            </w: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Total</w:t>
            </w:r>
          </w:p>
        </w:tc>
        <w:tc>
          <w:tcPr>
            <w:tcW w:w="15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Amount</w:t>
            </w:r>
          </w:p>
        </w:tc>
      </w:tr>
      <w:tr>
        <w:trPr>
          <w:trHeight w:val="203"/>
        </w:trPr>
        <w:tc>
          <w:tcPr>
            <w:tcW w:w="3320" w:type="dxa"/>
            <w:vAlign w:val="bottom"/>
          </w:tcPr>
          <w:p>
            <w:pPr>
              <w:spacing w:after="0"/>
              <w:rPr>
                <w:sz w:val="17"/>
                <w:szCs w:val="17"/>
                <w:color w:val="auto"/>
              </w:rPr>
            </w:pPr>
          </w:p>
        </w:tc>
        <w:tc>
          <w:tcPr>
            <w:tcW w:w="1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Facility</w:t>
            </w:r>
          </w:p>
        </w:tc>
        <w:tc>
          <w:tcPr>
            <w:tcW w:w="19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Borrowed</w:t>
            </w: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Facility</w:t>
            </w:r>
          </w:p>
        </w:tc>
        <w:tc>
          <w:tcPr>
            <w:tcW w:w="15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Borrowed</w:t>
            </w:r>
          </w:p>
        </w:tc>
      </w:tr>
      <w:tr>
        <w:trPr>
          <w:trHeight w:val="405"/>
        </w:trPr>
        <w:tc>
          <w:tcPr>
            <w:tcW w:w="332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7"/>
              </w:rPr>
              <w:t>Available credit facilities:</w:t>
            </w:r>
          </w:p>
        </w:tc>
        <w:tc>
          <w:tcPr>
            <w:tcW w:w="1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3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In support of commercial</w:t>
            </w:r>
          </w:p>
        </w:tc>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32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rPr>
              <w:t>paper issuance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$300,000</w:t>
            </w:r>
          </w:p>
        </w:tc>
        <w:tc>
          <w:tcPr>
            <w:tcW w:w="19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$290,000</w:t>
            </w: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For the benefit of foreign</w:t>
            </w:r>
          </w:p>
        </w:tc>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32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rPr>
              <w:t>subsidiaries .</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57,242</w:t>
            </w:r>
          </w:p>
        </w:tc>
        <w:tc>
          <w:tcPr>
            <w:tcW w:w="1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17,978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37,446</w:t>
            </w:r>
          </w:p>
        </w:tc>
        <w:tc>
          <w:tcPr>
            <w:tcW w:w="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3,692</w:t>
            </w:r>
          </w:p>
        </w:tc>
      </w:tr>
      <w:tr>
        <w:trPr>
          <w:trHeight w:val="203"/>
        </w:trPr>
        <w:tc>
          <w:tcPr>
            <w:tcW w:w="332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rPr>
              <w:t>Other . . . . .</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445,000</w:t>
            </w:r>
          </w:p>
        </w:tc>
        <w:tc>
          <w:tcPr>
            <w:tcW w:w="1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22,830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200,000</w:t>
            </w:r>
          </w:p>
        </w:tc>
        <w:tc>
          <w:tcPr>
            <w:tcW w:w="9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3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$802,242</w:t>
            </w:r>
          </w:p>
        </w:tc>
        <w:tc>
          <w:tcPr>
            <w:tcW w:w="1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$40,808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$527,446</w:t>
            </w:r>
          </w:p>
        </w:tc>
        <w:tc>
          <w:tcPr>
            <w:tcW w:w="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7,692</w:t>
            </w:r>
          </w:p>
        </w:tc>
      </w:tr>
    </w:tbl>
    <w:p>
      <w:pPr>
        <w:spacing w:after="0" w:line="200" w:lineRule="exact"/>
        <w:rPr>
          <w:sz w:val="20"/>
          <w:szCs w:val="20"/>
          <w:color w:val="auto"/>
        </w:rPr>
      </w:pPr>
    </w:p>
    <w:p>
      <w:pPr>
        <w:spacing w:after="0" w:line="209"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Credit facilities in support of commercial paper issuance require a commitment fee of $300. All other credit facilities require no commitment fee. Credit facilities for other purposes are subject to the availability of funds.</w:t>
      </w:r>
    </w:p>
    <w:p>
      <w:pPr>
        <w:spacing w:after="0" w:line="5" w:lineRule="exact"/>
        <w:rPr>
          <w:sz w:val="20"/>
          <w:szCs w:val="20"/>
          <w:color w:val="auto"/>
        </w:rPr>
      </w:pPr>
    </w:p>
    <w:p>
      <w:pPr>
        <w:ind w:right="3259" w:firstLine="211"/>
        <w:spacing w:after="0" w:line="235" w:lineRule="auto"/>
        <w:rPr>
          <w:sz w:val="20"/>
          <w:szCs w:val="20"/>
          <w:color w:val="auto"/>
        </w:rPr>
      </w:pPr>
      <w:r>
        <w:rPr>
          <w:rFonts w:ascii="Courier New" w:cs="Courier New" w:eastAsia="Courier New" w:hAnsi="Courier New"/>
          <w:sz w:val="18"/>
          <w:szCs w:val="18"/>
          <w:color w:val="auto"/>
        </w:rPr>
        <w:t>At November 30, 1994, the Company had unconditionally guaranteed the debt of affiliates amounting to $11,742.</w:t>
      </w:r>
    </w:p>
    <w:p>
      <w:pPr>
        <w:spacing w:after="0" w:line="6" w:lineRule="exact"/>
        <w:rPr>
          <w:sz w:val="20"/>
          <w:szCs w:val="20"/>
          <w:color w:val="auto"/>
        </w:rPr>
      </w:pPr>
    </w:p>
    <w:p>
      <w:pPr>
        <w:ind w:right="3159" w:firstLine="211"/>
        <w:spacing w:after="0" w:line="236" w:lineRule="auto"/>
        <w:rPr>
          <w:sz w:val="20"/>
          <w:szCs w:val="20"/>
          <w:color w:val="auto"/>
        </w:rPr>
      </w:pPr>
      <w:r>
        <w:rPr>
          <w:rFonts w:ascii="Courier New" w:cs="Courier New" w:eastAsia="Courier New" w:hAnsi="Courier New"/>
          <w:sz w:val="18"/>
          <w:szCs w:val="18"/>
          <w:color w:val="auto"/>
        </w:rPr>
        <w:t>Interest paid in 1994, 1993 and 1992 amounted to $40,699; $31,739 and $32,243 respectively, of which $124; $73 and $127 were capitalized in 1994, 1993 and 1992, respectively.</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Rental expense under operating leases was $13,843 in 1994;</w:t>
      </w:r>
    </w:p>
    <w:p>
      <w:pPr>
        <w:spacing w:after="0" w:line="238" w:lineRule="auto"/>
        <w:rPr>
          <w:sz w:val="20"/>
          <w:szCs w:val="20"/>
          <w:color w:val="auto"/>
        </w:rPr>
      </w:pPr>
      <w:r>
        <w:rPr>
          <w:rFonts w:ascii="Courier New" w:cs="Courier New" w:eastAsia="Courier New" w:hAnsi="Courier New"/>
          <w:sz w:val="18"/>
          <w:szCs w:val="18"/>
          <w:color w:val="auto"/>
        </w:rPr>
        <w:t>$12,416 in 1993 and $11,772 in 1992. Future annual fixed rental</w:t>
      </w:r>
    </w:p>
    <w:p>
      <w:pPr>
        <w:spacing w:after="0"/>
        <w:rPr>
          <w:sz w:val="20"/>
          <w:szCs w:val="20"/>
          <w:color w:val="auto"/>
        </w:rPr>
      </w:pPr>
      <w:r>
        <w:rPr>
          <w:rFonts w:ascii="Courier New" w:cs="Courier New" w:eastAsia="Courier New" w:hAnsi="Courier New"/>
          <w:sz w:val="18"/>
          <w:szCs w:val="18"/>
          <w:color w:val="auto"/>
        </w:rPr>
        <w:t>payments for the years ending November 30, are as follows:</w:t>
      </w:r>
    </w:p>
    <w:p>
      <w:pPr>
        <w:sectPr>
          <w:pgSz w:w="11900" w:h="16838" w:orient="portrait"/>
          <w:cols w:equalWidth="0" w:num="1">
            <w:col w:w="10219"/>
          </w:cols>
          <w:pgMar w:left="240" w:top="142" w:right="1440" w:bottom="0" w:gutter="0" w:footer="0" w:header="0"/>
        </w:sect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1995 - $9,812</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1996 - $7,539</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1997 - $7,671</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1998 - $4,618</w:t>
      </w:r>
    </w:p>
    <w:p>
      <w:pPr>
        <w:spacing w:after="0" w:line="238" w:lineRule="auto"/>
        <w:rPr>
          <w:sz w:val="20"/>
          <w:szCs w:val="20"/>
          <w:color w:val="auto"/>
        </w:rPr>
      </w:pPr>
      <w:r>
        <w:rPr>
          <w:rFonts w:ascii="Courier New" w:cs="Courier New" w:eastAsia="Courier New" w:hAnsi="Courier New"/>
          <w:sz w:val="18"/>
          <w:szCs w:val="18"/>
          <w:color w:val="auto"/>
        </w:rPr>
        <w:t>1999 - $4,395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Thereafter - $12,690</w:t>
      </w:r>
    </w:p>
    <w:p>
      <w:pPr>
        <w:spacing w:after="0" w:line="200" w:lineRule="exact"/>
        <w:rPr>
          <w:sz w:val="20"/>
          <w:szCs w:val="20"/>
          <w:color w:val="auto"/>
        </w:rPr>
      </w:pPr>
    </w:p>
    <w:p>
      <w:pPr>
        <w:sectPr>
          <w:pgSz w:w="11900" w:h="16838" w:orient="portrait"/>
          <w:cols w:equalWidth="0" w:num="2">
            <w:col w:w="2440" w:space="720"/>
            <w:col w:w="7059"/>
          </w:cols>
          <w:pgMar w:left="240" w:top="142" w:right="1440" w:bottom="0" w:gutter="0" w:footer="0" w:header="0"/>
          <w:type w:val="continuous"/>
        </w:sectPr>
      </w:pPr>
    </w:p>
    <w:p>
      <w:pPr>
        <w:spacing w:after="0" w:line="18" w:lineRule="exact"/>
        <w:rPr>
          <w:sz w:val="20"/>
          <w:szCs w:val="20"/>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Benefit Plans:</w:t>
      </w:r>
    </w:p>
    <w:p>
      <w:pPr>
        <w:spacing w:after="0" w:line="4"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net periodic cost of the Company's employee benefit plans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follows:</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1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1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1993</w:t>
            </w: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Pension plans:</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Defined benefit plans</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Service cost -</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benefits earned</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during the period</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7,124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6,137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$ 4,912</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cost on</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projected benefit</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obligations</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9,909</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9,272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8,741</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Actual return on</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plan assets including</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unrealized (gain)/loss</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(7,070)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(7,238)</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amortization</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deferral</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(6,808)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pension cost</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10,341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9,191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7,115</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Multi-employer</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pension plans</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1,977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1,477</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Foreign retirement plans</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2,013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1,988</w:t>
            </w:r>
          </w:p>
        </w:tc>
      </w:tr>
    </w:tbl>
    <w:p>
      <w:pPr>
        <w:sectPr>
          <w:pgSz w:w="11900" w:h="16838" w:orient="portrait"/>
          <w:cols w:equalWidth="0" w:num="1">
            <w:col w:w="10219"/>
          </w:cols>
          <w:pgMar w:left="240" w:top="142" w:right="1440" w:bottom="0" w:gutter="0" w:footer="0" w:header="0"/>
          <w:type w:val="continuous"/>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Total pension expense</w:t>
            </w: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$14,331</w:t>
            </w: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$12,689</w:t>
            </w:r>
          </w:p>
        </w:tc>
        <w:tc>
          <w:tcPr>
            <w:tcW w:w="1700" w:type="dxa"/>
            <w:vAlign w:val="bottom"/>
          </w:tcPr>
          <w:p>
            <w:pPr>
              <w:ind w:left="120"/>
              <w:spacing w:after="0"/>
              <w:rPr>
                <w:sz w:val="20"/>
                <w:szCs w:val="20"/>
                <w:color w:val="auto"/>
              </w:rPr>
            </w:pPr>
            <w:r>
              <w:rPr>
                <w:rFonts w:ascii="Courier New" w:cs="Courier New" w:eastAsia="Courier New" w:hAnsi="Courier New"/>
                <w:sz w:val="18"/>
                <w:szCs w:val="18"/>
                <w:color w:val="auto"/>
              </w:rPr>
              <w:t>$10,580</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Profit sharing plan expense</w:t>
            </w:r>
          </w:p>
        </w:tc>
        <w:tc>
          <w:tcPr>
            <w:tcW w:w="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6,250</w:t>
            </w: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$ 6,500</w:t>
            </w:r>
          </w:p>
        </w:tc>
        <w:tc>
          <w:tcPr>
            <w:tcW w:w="1700" w:type="dxa"/>
            <w:vAlign w:val="bottom"/>
          </w:tcPr>
          <w:p>
            <w:pPr>
              <w:ind w:left="120"/>
              <w:spacing w:after="0"/>
              <w:rPr>
                <w:sz w:val="20"/>
                <w:szCs w:val="20"/>
                <w:color w:val="auto"/>
              </w:rPr>
            </w:pPr>
            <w:r>
              <w:rPr>
                <w:rFonts w:ascii="Courier New" w:cs="Courier New" w:eastAsia="Courier New" w:hAnsi="Courier New"/>
                <w:sz w:val="18"/>
                <w:szCs w:val="18"/>
                <w:color w:val="auto"/>
              </w:rPr>
              <w:t>$ 5,700</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Postretirement benefits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 cost</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2,368</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$ 1,947</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cost</w:t>
            </w:r>
          </w:p>
        </w:tc>
        <w:tc>
          <w:tcPr>
            <w:tcW w:w="3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3,775</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3,333</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postretirement benefit</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6,143</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$ 5,280</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$ 2,360</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PENSION PLANS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860" w:type="dxa"/>
            <w:vAlign w:val="bottom"/>
            <w:gridSpan w:val="5"/>
          </w:tcPr>
          <w:p>
            <w:pPr>
              <w:ind w:left="220"/>
              <w:spacing w:after="0" w:line="203" w:lineRule="exact"/>
              <w:rPr>
                <w:sz w:val="20"/>
                <w:szCs w:val="20"/>
                <w:color w:val="auto"/>
              </w:rPr>
            </w:pPr>
            <w:r>
              <w:rPr>
                <w:rFonts w:ascii="Courier New" w:cs="Courier New" w:eastAsia="Courier New" w:hAnsi="Courier New"/>
                <w:sz w:val="18"/>
                <w:szCs w:val="18"/>
                <w:color w:val="auto"/>
              </w:rPr>
              <w:t>The Company has a non-contributory defined benefit plan (the</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18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principal plan) covering substantially all domestic employees other</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8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than those covered under union-sponsored plans, and a</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8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non-contributory defined benefit plan (the supplemental plan)</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18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providing supplemental retirement benefits to certain officers. The</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8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benefits provided by both plans are generally based on the</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8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employee's years of service and compensation during the last</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18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five years of employment. The Company's funding policy is to comply</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18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with federal laws and regulations and to provide the principal plan</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8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with assets sufficient to meet future benefit payments. The plan</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8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assets for both plans consist principally of short-term money</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9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7"/>
              </w:rPr>
              <w:t>market investments, fixed income securities and equity securities.</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8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The principal plan holds 306,573 shares of the Company's stock at</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November 30, 1994.</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860" w:type="dxa"/>
            <w:vAlign w:val="bottom"/>
            <w:gridSpan w:val="5"/>
          </w:tcPr>
          <w:p>
            <w:pPr>
              <w:ind w:left="220"/>
              <w:spacing w:after="0" w:line="203" w:lineRule="exact"/>
              <w:rPr>
                <w:sz w:val="20"/>
                <w:szCs w:val="20"/>
                <w:color w:val="auto"/>
              </w:rPr>
            </w:pPr>
            <w:r>
              <w:rPr>
                <w:rFonts w:ascii="Courier New" w:cs="Courier New" w:eastAsia="Courier New" w:hAnsi="Courier New"/>
                <w:sz w:val="18"/>
                <w:szCs w:val="18"/>
                <w:color w:val="auto"/>
                <w:w w:val="97"/>
              </w:rPr>
              <w:t>The Company also contributes to union-sponsored, multi-employer</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8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pension plans and certain retirement plans of its foreign</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subsidiaries.</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860" w:type="dxa"/>
            <w:vAlign w:val="bottom"/>
            <w:gridSpan w:val="5"/>
          </w:tcPr>
          <w:p>
            <w:pPr>
              <w:ind w:left="220"/>
              <w:spacing w:after="0" w:line="203" w:lineRule="exact"/>
              <w:rPr>
                <w:sz w:val="20"/>
                <w:szCs w:val="20"/>
                <w:color w:val="auto"/>
              </w:rPr>
            </w:pPr>
            <w:r>
              <w:rPr>
                <w:rFonts w:ascii="Courier New" w:cs="Courier New" w:eastAsia="Courier New" w:hAnsi="Courier New"/>
                <w:sz w:val="18"/>
                <w:szCs w:val="18"/>
                <w:color w:val="auto"/>
              </w:rPr>
              <w:t>The following table sets forth the principal and supplemental</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8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plans' funded status, amounts recognized in the Company's</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8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Consolidated Balance Sheet and significant assumptions as of</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September 30, the measurement date:</w:t>
            </w: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10"/>
        </w:trPr>
        <w:tc>
          <w:tcPr>
            <w:tcW w:w="3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Courier New" w:cs="Courier New" w:eastAsia="Courier New" w:hAnsi="Courier New"/>
                <w:sz w:val="18"/>
                <w:szCs w:val="18"/>
                <w:color w:val="auto"/>
              </w:rPr>
              <w:t>1994</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Before</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Impact of</w:t>
            </w:r>
          </w:p>
        </w:tc>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at</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Workforce</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Workforce</w:t>
            </w:r>
          </w:p>
        </w:tc>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Measurment</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Reduction</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Reduction</w:t>
            </w:r>
          </w:p>
        </w:tc>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Funded Status: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Actuarial present value of</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benefit obligation</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Vested</w:t>
            </w:r>
          </w:p>
        </w:tc>
        <w:tc>
          <w:tcPr>
            <w:tcW w:w="36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$102,976</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(1,539)</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101,437</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108,071</w:t>
            </w:r>
          </w:p>
        </w:tc>
      </w:tr>
      <w:tr>
        <w:trPr>
          <w:trHeight w:val="203"/>
        </w:trPr>
        <w:tc>
          <w:tcPr>
            <w:tcW w:w="3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Non-vested</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4,590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(672)</w:t>
            </w:r>
          </w:p>
        </w:tc>
        <w:tc>
          <w:tcPr>
            <w:tcW w:w="10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3,918</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4,177</w:t>
            </w:r>
          </w:p>
        </w:tc>
      </w:tr>
      <w:tr>
        <w:trPr>
          <w:trHeight w:val="203"/>
        </w:trPr>
        <w:tc>
          <w:tcPr>
            <w:tcW w:w="3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Accumulated benefit obligation</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$107,566</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(2,211)</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105,355</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112,248</w:t>
            </w:r>
          </w:p>
        </w:tc>
      </w:tr>
      <w:tr>
        <w:trPr>
          <w:trHeight w:val="405"/>
        </w:trPr>
        <w:tc>
          <w:tcPr>
            <w:tcW w:w="3120" w:type="dxa"/>
            <w:vAlign w:val="bottom"/>
          </w:tcPr>
          <w:p>
            <w:pPr>
              <w:ind w:left="220"/>
              <w:spacing w:after="0"/>
              <w:rPr>
                <w:sz w:val="20"/>
                <w:szCs w:val="20"/>
                <w:color w:val="auto"/>
              </w:rPr>
            </w:pPr>
            <w:r>
              <w:rPr>
                <w:rFonts w:ascii="Courier New" w:cs="Courier New" w:eastAsia="Courier New" w:hAnsi="Courier New"/>
                <w:sz w:val="18"/>
                <w:szCs w:val="18"/>
                <w:color w:val="auto"/>
              </w:rPr>
              <w:t>Balance sheet recognition</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Projected benefit obligation</w:t>
            </w: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4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6"/>
              </w:rPr>
              <w:t>for service rendered to date</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$134,572</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(7,238)</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127,334</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144,209</w:t>
            </w: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Plan assets at fair value</w:t>
            </w:r>
          </w:p>
        </w:tc>
        <w:tc>
          <w:tcPr>
            <w:tcW w:w="36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98,193</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(16,248)</w:t>
            </w:r>
          </w:p>
        </w:tc>
        <w:tc>
          <w:tcPr>
            <w:tcW w:w="10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81,945</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103,207</w:t>
            </w:r>
          </w:p>
        </w:tc>
      </w:tr>
      <w:tr>
        <w:trPr>
          <w:trHeight w:val="203"/>
        </w:trPr>
        <w:tc>
          <w:tcPr>
            <w:tcW w:w="40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Projected benefit obligation in</w:t>
            </w: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excess of plan assets</w:t>
            </w:r>
          </w:p>
        </w:tc>
        <w:tc>
          <w:tcPr>
            <w:tcW w:w="36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36,379</w:t>
            </w:r>
          </w:p>
        </w:tc>
        <w:tc>
          <w:tcPr>
            <w:tcW w:w="17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9,010</w:t>
            </w:r>
          </w:p>
        </w:tc>
        <w:tc>
          <w:tcPr>
            <w:tcW w:w="10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45,389</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41,002</w:t>
            </w:r>
          </w:p>
        </w:tc>
      </w:tr>
      <w:tr>
        <w:trPr>
          <w:trHeight w:val="203"/>
        </w:trPr>
        <w:tc>
          <w:tcPr>
            <w:tcW w:w="40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Unrecognized net loss from past</w:t>
            </w: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02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experience different from that</w:t>
            </w: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assumed of changes in</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assumptions</w:t>
            </w:r>
          </w:p>
        </w:tc>
        <w:tc>
          <w:tcPr>
            <w:tcW w:w="360" w:type="dxa"/>
            <w:vAlign w:val="bottom"/>
          </w:tcPr>
          <w:p>
            <w:pPr>
              <w:spacing w:after="0"/>
              <w:rPr>
                <w:sz w:val="17"/>
                <w:szCs w:val="17"/>
                <w:color w:val="auto"/>
              </w:rPr>
            </w:pP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(29,724)</w:t>
            </w:r>
          </w:p>
        </w:tc>
        <w:tc>
          <w:tcPr>
            <w:tcW w:w="17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5,480</w:t>
            </w:r>
          </w:p>
        </w:tc>
        <w:tc>
          <w:tcPr>
            <w:tcW w:w="1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(24,244)</w:t>
            </w: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(39,512)</w:t>
            </w:r>
          </w:p>
        </w:tc>
      </w:tr>
      <w:tr>
        <w:trPr>
          <w:trHeight w:val="203"/>
        </w:trPr>
        <w:tc>
          <w:tcPr>
            <w:tcW w:w="40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Unrecognized net transition asset</w:t>
            </w: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prior service cost</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2,836</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(690)</w:t>
            </w:r>
          </w:p>
        </w:tc>
        <w:tc>
          <w:tcPr>
            <w:tcW w:w="10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2,146</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3,529</w:t>
            </w:r>
          </w:p>
        </w:tc>
      </w:tr>
      <w:tr>
        <w:trPr>
          <w:trHeight w:val="203"/>
        </w:trPr>
        <w:tc>
          <w:tcPr>
            <w:tcW w:w="3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Additional minimum liability</w:t>
            </w:r>
          </w:p>
        </w:tc>
        <w:tc>
          <w:tcPr>
            <w:tcW w:w="540" w:type="dxa"/>
            <w:vAlign w:val="bottom"/>
          </w:tcPr>
          <w:p>
            <w:pPr>
              <w:spacing w:after="0"/>
              <w:rPr>
                <w:sz w:val="17"/>
                <w:szCs w:val="17"/>
                <w:color w:val="auto"/>
              </w:rPr>
            </w:pPr>
          </w:p>
        </w:tc>
        <w:tc>
          <w:tcPr>
            <w:tcW w:w="11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5,047</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5,047</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6,710</w:t>
            </w: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pension cost</w:t>
            </w:r>
          </w:p>
        </w:tc>
        <w:tc>
          <w:tcPr>
            <w:tcW w:w="36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$ 14,538</w:t>
            </w:r>
          </w:p>
        </w:tc>
        <w:tc>
          <w:tcPr>
            <w:tcW w:w="17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$ 13,800</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28,338</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11,729</w:t>
            </w:r>
          </w:p>
        </w:tc>
      </w:tr>
      <w:tr>
        <w:trPr>
          <w:trHeight w:val="405"/>
        </w:trPr>
        <w:tc>
          <w:tcPr>
            <w:tcW w:w="4020" w:type="dxa"/>
            <w:vAlign w:val="bottom"/>
            <w:gridSpan w:val="3"/>
          </w:tcPr>
          <w:p>
            <w:pPr>
              <w:spacing w:after="0"/>
              <w:rPr>
                <w:sz w:val="20"/>
                <w:szCs w:val="20"/>
                <w:color w:val="auto"/>
              </w:rPr>
            </w:pPr>
            <w:r>
              <w:rPr>
                <w:rFonts w:ascii="Courier New" w:cs="Courier New" w:eastAsia="Courier New" w:hAnsi="Courier New"/>
                <w:sz w:val="18"/>
                <w:szCs w:val="18"/>
                <w:color w:val="auto"/>
              </w:rPr>
              <w:t>Accrued pension costs included in:</w:t>
            </w: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4,000</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Accrued restructuring costs</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13,800</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16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Noncurrent employee benefit liabilities</w:t>
            </w:r>
          </w:p>
        </w:tc>
        <w:tc>
          <w:tcPr>
            <w:tcW w:w="17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10,538</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1994</w:t>
            </w:r>
          </w:p>
        </w:tc>
        <w:tc>
          <w:tcPr>
            <w:tcW w:w="620" w:type="dxa"/>
            <w:vAlign w:val="bottom"/>
          </w:tcPr>
          <w:p>
            <w:pPr>
              <w:spacing w:after="0"/>
              <w:rPr>
                <w:sz w:val="17"/>
                <w:szCs w:val="17"/>
                <w:color w:val="auto"/>
              </w:rPr>
            </w:pPr>
          </w:p>
        </w:tc>
        <w:tc>
          <w:tcPr>
            <w:tcW w:w="1900" w:type="dxa"/>
            <w:vAlign w:val="bottom"/>
          </w:tcPr>
          <w:p>
            <w:pPr>
              <w:jc w:val="right"/>
              <w:ind w:right="1372"/>
              <w:spacing w:after="0"/>
              <w:rPr>
                <w:sz w:val="20"/>
                <w:szCs w:val="20"/>
                <w:color w:val="auto"/>
              </w:rPr>
            </w:pPr>
            <w:r>
              <w:rPr>
                <w:rFonts w:ascii="Courier New" w:cs="Courier New" w:eastAsia="Courier New" w:hAnsi="Courier New"/>
                <w:sz w:val="18"/>
                <w:szCs w:val="18"/>
                <w:color w:val="auto"/>
                <w:w w:val="97"/>
              </w:rPr>
              <w:t>1993</w:t>
            </w:r>
          </w:p>
        </w:tc>
      </w:tr>
      <w:tr>
        <w:trPr>
          <w:trHeight w:val="203"/>
        </w:trPr>
        <w:tc>
          <w:tcPr>
            <w:tcW w:w="348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Principal</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Supplemental</w:t>
            </w:r>
          </w:p>
        </w:tc>
        <w:tc>
          <w:tcPr>
            <w:tcW w:w="2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Principal Supplemental</w:t>
            </w:r>
          </w:p>
        </w:tc>
      </w:tr>
      <w:tr>
        <w:trPr>
          <w:trHeight w:val="203"/>
        </w:trPr>
        <w:tc>
          <w:tcPr>
            <w:tcW w:w="348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Plan</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Plan</w:t>
            </w: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Plan</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Plan</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Significant assumptions:</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Weighted-average discount rate</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w:t>
            </w:r>
          </w:p>
        </w:tc>
        <w:tc>
          <w:tcPr>
            <w:tcW w:w="1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8.5%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Rate of increase in</w:t>
            </w: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compensation levels</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w:t>
            </w:r>
          </w:p>
        </w:tc>
        <w:tc>
          <w:tcPr>
            <w:tcW w:w="1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5.0%</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rate of return</w:t>
            </w: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on plan assets</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10.5%</w:t>
            </w:r>
          </w:p>
        </w:tc>
        <w:tc>
          <w:tcPr>
            <w:tcW w:w="1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w w:val="92"/>
              </w:rPr>
              <w:t>10.5%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10.5%</w:t>
            </w:r>
          </w:p>
        </w:tc>
      </w:tr>
    </w:tbl>
    <w:p>
      <w:pPr>
        <w:sectPr>
          <w:pgSz w:w="11900" w:h="16838" w:orient="portrait"/>
          <w:cols w:equalWidth="0" w:num="1">
            <w:col w:w="10219"/>
          </w:cols>
          <w:pgMar w:left="240" w:top="136" w:right="1440" w:bottom="0" w:gutter="0" w:footer="0" w:header="0"/>
        </w:sectPr>
      </w:pPr>
    </w:p>
    <w:bookmarkStart w:id="26" w:name="page27"/>
    <w:bookmarkEnd w:id="26"/>
    <w:p>
      <w:pPr>
        <w:ind w:right="3159" w:firstLine="211"/>
        <w:spacing w:after="0" w:line="271" w:lineRule="auto"/>
        <w:rPr>
          <w:sz w:val="20"/>
          <w:szCs w:val="20"/>
          <w:color w:val="auto"/>
        </w:rPr>
      </w:pPr>
      <w:r>
        <w:rPr>
          <w:rFonts w:ascii="Courier New" w:cs="Courier New" w:eastAsia="Courier New" w:hAnsi="Courier New"/>
          <w:sz w:val="16"/>
          <w:szCs w:val="16"/>
          <w:color w:val="auto"/>
        </w:rPr>
        <w:t>The workforce reduction and voluntary special retirement program that are components of the restructuring plan announced by the Company in the fourth quarter of 1994 resulted in a curtailment of the principal plan. A significant number of individuals electing the voluntary special retirement program are expected to elect to receive their benefits in lump sum distributions which result in a settlement of a portion of the pension liability. The impact of the curtailment, settlement and enhanced benefits of the special voluntary retirement program are presented above.</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PROFIT SHARING PLAN</w:t>
      </w:r>
    </w:p>
    <w:p>
      <w:pPr>
        <w:spacing w:after="0" w:line="4" w:lineRule="exact"/>
        <w:rPr>
          <w:sz w:val="20"/>
          <w:szCs w:val="20"/>
          <w:color w:val="auto"/>
        </w:rPr>
      </w:pPr>
    </w:p>
    <w:p>
      <w:pPr>
        <w:ind w:right="3259" w:firstLine="211"/>
        <w:spacing w:after="0" w:line="237" w:lineRule="auto"/>
        <w:rPr>
          <w:sz w:val="20"/>
          <w:szCs w:val="20"/>
          <w:color w:val="auto"/>
        </w:rPr>
      </w:pPr>
      <w:r>
        <w:rPr>
          <w:rFonts w:ascii="Courier New" w:cs="Courier New" w:eastAsia="Courier New" w:hAnsi="Courier New"/>
          <w:sz w:val="18"/>
          <w:szCs w:val="18"/>
          <w:color w:val="auto"/>
        </w:rPr>
        <w:t>The Company makes contributions to the McCormick Profit Sharing Plan in accordance with the Plan's provisions. The Profit Sharing Plan is available to substantially all domestic employees other than those covered by union-sponsored benefit plans. The Profit Sharing Plan assets consist principally of short-term money market investments, fixed income securities and equity securities. The Profit Sharing Plan holds 3,711,487 shares of the Company's stock at November 30, 1994.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POSTRETIREMENT BENEFITS</w:t>
      </w:r>
    </w:p>
    <w:p>
      <w:pPr>
        <w:spacing w:after="0" w:line="4" w:lineRule="exact"/>
        <w:rPr>
          <w:sz w:val="20"/>
          <w:szCs w:val="20"/>
          <w:color w:val="auto"/>
        </w:rPr>
      </w:pPr>
    </w:p>
    <w:p>
      <w:pPr>
        <w:ind w:right="3259" w:firstLine="211"/>
        <w:spacing w:after="0" w:line="237" w:lineRule="auto"/>
        <w:rPr>
          <w:sz w:val="20"/>
          <w:szCs w:val="20"/>
          <w:color w:val="auto"/>
        </w:rPr>
      </w:pPr>
      <w:r>
        <w:rPr>
          <w:rFonts w:ascii="Courier New" w:cs="Courier New" w:eastAsia="Courier New" w:hAnsi="Courier New"/>
          <w:sz w:val="18"/>
          <w:szCs w:val="18"/>
          <w:color w:val="auto"/>
        </w:rPr>
        <w:t>The Company provides health care and life insurance benefits to eligible retirees having at least 10 years of service. Health care benefits are also extended to eligible dependents of retirees as long as the retiree remains covered. Medical benefits are based on the retiree's age and service at retirement and require other cost-sharing features, such as deductibles and coinsurance. Life insurance protection is non-contributory. These benefit plans are not funded.</w:t>
      </w:r>
    </w:p>
    <w:p>
      <w:pPr>
        <w:spacing w:after="0" w:line="212" w:lineRule="exact"/>
        <w:rPr>
          <w:sz w:val="20"/>
          <w:szCs w:val="20"/>
          <w:color w:val="auto"/>
        </w:rPr>
      </w:pPr>
    </w:p>
    <w:p>
      <w:pPr>
        <w:ind w:right="3159" w:firstLine="211"/>
        <w:spacing w:after="0" w:line="236" w:lineRule="auto"/>
        <w:rPr>
          <w:sz w:val="20"/>
          <w:szCs w:val="20"/>
          <w:color w:val="auto"/>
        </w:rPr>
      </w:pPr>
      <w:r>
        <w:rPr>
          <w:rFonts w:ascii="Courier New" w:cs="Courier New" w:eastAsia="Courier New" w:hAnsi="Courier New"/>
          <w:sz w:val="18"/>
          <w:szCs w:val="18"/>
          <w:color w:val="auto"/>
        </w:rPr>
        <w:t>The following table sets forth the amounts recognized in the Company's Consolidated Balance Sheet and significant assumptions as of November 30, the measurement date: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17"/>
                <w:szCs w:val="17"/>
                <w:color w:val="auto"/>
              </w:rPr>
            </w:pPr>
          </w:p>
        </w:tc>
        <w:tc>
          <w:tcPr>
            <w:tcW w:w="1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1994</w:t>
            </w:r>
          </w:p>
        </w:tc>
        <w:tc>
          <w:tcPr>
            <w:tcW w:w="13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postretirement</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benefit obligation</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Current retirees</w:t>
            </w:r>
          </w:p>
        </w:tc>
        <w:tc>
          <w:tcPr>
            <w:tcW w:w="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19,808</w:t>
            </w:r>
          </w:p>
        </w:tc>
        <w:tc>
          <w:tcPr>
            <w:tcW w:w="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18,357</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Fully eligible active plan</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participants</w:t>
            </w:r>
          </w:p>
        </w:tc>
        <w:tc>
          <w:tcPr>
            <w:tcW w:w="64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12,082</w:t>
            </w:r>
          </w:p>
        </w:tc>
        <w:tc>
          <w:tcPr>
            <w:tcW w:w="48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10,725</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active plan</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participants</w:t>
            </w:r>
          </w:p>
        </w:tc>
        <w:tc>
          <w:tcPr>
            <w:tcW w:w="64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21,369</w:t>
            </w:r>
          </w:p>
        </w:tc>
        <w:tc>
          <w:tcPr>
            <w:tcW w:w="48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18,377</w:t>
            </w:r>
          </w:p>
        </w:tc>
      </w:tr>
      <w:tr>
        <w:trPr>
          <w:trHeight w:val="203"/>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53,259</w:t>
            </w:r>
          </w:p>
        </w:tc>
        <w:tc>
          <w:tcPr>
            <w:tcW w:w="48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47,459</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Unrecognized net loss from</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past experience different from</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that assumed and effects of</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in assumptions</w:t>
            </w:r>
          </w:p>
        </w:tc>
        <w:tc>
          <w:tcPr>
            <w:tcW w:w="64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2,545</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postretirement</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benefit liability</w:t>
            </w:r>
          </w:p>
        </w:tc>
        <w:tc>
          <w:tcPr>
            <w:tcW w:w="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55,804</w:t>
            </w:r>
          </w:p>
        </w:tc>
        <w:tc>
          <w:tcPr>
            <w:tcW w:w="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47,459</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Accrued postretirement costs</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included in:</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restructuring costs</w:t>
            </w:r>
          </w:p>
        </w:tc>
        <w:tc>
          <w:tcPr>
            <w:tcW w:w="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4,200</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Noncurrent employee benefit</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liabilities</w:t>
            </w:r>
          </w:p>
        </w:tc>
        <w:tc>
          <w:tcPr>
            <w:tcW w:w="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51,604</w:t>
            </w:r>
          </w:p>
        </w:tc>
        <w:tc>
          <w:tcPr>
            <w:tcW w:w="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47,459</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Significant assumption:</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Weighted-average</w:t>
            </w: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discount rate</w:t>
            </w:r>
          </w:p>
        </w:tc>
        <w:tc>
          <w:tcPr>
            <w:tcW w:w="6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8.50%</w:t>
            </w:r>
          </w:p>
        </w:tc>
        <w:tc>
          <w:tcPr>
            <w:tcW w:w="4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7.75%</w:t>
            </w:r>
          </w:p>
        </w:tc>
      </w:tr>
    </w:tbl>
    <w:p>
      <w:pPr>
        <w:spacing w:after="0" w:line="207"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The assumed weighted-average annual rate of increase in the per capita cost of covered health care benefits is 13% for 1995. It is assumed to decrease gradually to 6% in the year 2006 and remain at that level thereafter. Increasing this assumed health care cost trend rate by one percentage point in each year would increase the accumulated postretirement benefit obligation at November 30, 1994, by $6,584 and the aggregate of the service and interest cost components of net periodic postretirement benefit cost for 1994 by $914.</w:t>
      </w:r>
    </w:p>
    <w:p>
      <w:pPr>
        <w:spacing w:after="0" w:line="214"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The workforce reduction plan and voluntary special retirement program that are components of the restructuring plan announced by the Company in the fourth quarter of 1994 resulted in a curtailment of the postretirement benefit plan. The restructuring charge includes $4,200 representing the net pre-tax cost of postretirement benefits granted to individuals electing the voluntary special retirement program who would not have otherwise been entitled to the full amount of postretirement benefits under the provisions of the plan and the curtailment.</w:t>
      </w:r>
    </w:p>
    <w:p>
      <w:pPr>
        <w:sectPr>
          <w:pgSz w:w="11900" w:h="16838" w:orient="portrait"/>
          <w:cols w:equalWidth="0" w:num="1">
            <w:col w:w="10219"/>
          </w:cols>
          <w:pgMar w:left="240" w:top="344" w:right="1440" w:bottom="0" w:gutter="0" w:footer="0" w:header="0"/>
        </w:sectPr>
      </w:pPr>
    </w:p>
    <w:bookmarkStart w:id="27" w:name="page28"/>
    <w:bookmarkEnd w:id="27"/>
    <w:p>
      <w:pPr>
        <w:ind w:right="3159" w:firstLine="211"/>
        <w:spacing w:after="0" w:line="270" w:lineRule="auto"/>
        <w:rPr>
          <w:sz w:val="20"/>
          <w:szCs w:val="20"/>
          <w:color w:val="auto"/>
        </w:rPr>
      </w:pPr>
      <w:r>
        <w:rPr>
          <w:rFonts w:ascii="Courier New" w:cs="Courier New" w:eastAsia="Courier New" w:hAnsi="Courier New"/>
          <w:sz w:val="16"/>
          <w:szCs w:val="16"/>
          <w:color w:val="auto"/>
        </w:rPr>
        <w:t>The Company adopted the provisions of SFAS No. 106 in the fourth quarter of 1993. SFAS No. 106 requires the Company to accrue the cost of postretirement benefits during the years that employees render service. In connection with this adoption, the Company recorded a one-time charge of $26,626, net of deferred income tax benefit for accumulated postretirement benefits. In addition to this one-time charge, the Company's postretirement benefit expense increased by approximately $4,175 and $3,666 in 1994 and 1993 respectively due to SFAS No. 106. Prior to the adoption of SFAS No. 106, the Company recorded as postretirement benefit expense, the amount actually paid for such benefits during the year.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PURCHASE AND OPTION PLANS</w:t>
      </w:r>
    </w:p>
    <w:p>
      <w:pPr>
        <w:spacing w:after="0" w:line="4" w:lineRule="exact"/>
        <w:rPr>
          <w:sz w:val="20"/>
          <w:szCs w:val="20"/>
          <w:color w:val="auto"/>
        </w:rPr>
      </w:pPr>
    </w:p>
    <w:p>
      <w:pPr>
        <w:ind w:right="3159" w:firstLine="211"/>
        <w:spacing w:after="0" w:line="271" w:lineRule="auto"/>
        <w:rPr>
          <w:sz w:val="20"/>
          <w:szCs w:val="20"/>
          <w:color w:val="auto"/>
        </w:rPr>
      </w:pPr>
      <w:r>
        <w:rPr>
          <w:rFonts w:ascii="Courier New" w:cs="Courier New" w:eastAsia="Courier New" w:hAnsi="Courier New"/>
          <w:sz w:val="16"/>
          <w:szCs w:val="16"/>
          <w:color w:val="auto"/>
        </w:rPr>
        <w:t>The Company has an Employee Stock Purchase Plan enabling substantially all domestic employees to purchase the Company's common stock at the lower of the stock price on the grant date or the exercise date. Under this plan a total of 2,512 employees had outstanding subscriptions for a total of 373,902 shares with a grant price of $22.63 per share at November 30, 1994. The last date for exercise of the outstanding subscriptions is May 31, 1995.</w:t>
      </w:r>
    </w:p>
    <w:p>
      <w:pPr>
        <w:spacing w:after="0" w:line="188" w:lineRule="exact"/>
        <w:rPr>
          <w:sz w:val="20"/>
          <w:szCs w:val="20"/>
          <w:color w:val="auto"/>
        </w:rPr>
      </w:pPr>
    </w:p>
    <w:p>
      <w:pPr>
        <w:ind w:right="3159" w:firstLine="211"/>
        <w:spacing w:after="0" w:line="237" w:lineRule="auto"/>
        <w:rPr>
          <w:sz w:val="20"/>
          <w:szCs w:val="20"/>
          <w:color w:val="auto"/>
        </w:rPr>
      </w:pPr>
      <w:r>
        <w:rPr>
          <w:rFonts w:ascii="Courier New" w:cs="Courier New" w:eastAsia="Courier New" w:hAnsi="Courier New"/>
          <w:sz w:val="18"/>
          <w:szCs w:val="18"/>
          <w:color w:val="auto"/>
        </w:rPr>
        <w:t>Under the Company's 1984 and 1990 Stock Option Plans and the McCormick (U.K.) Share Option Schemes, options to purchase shares of the Company's common stock have been or may be granted to employees. The option price for shares granted under these plans is the fair market value on the grant date. At November 30, 1994, the average exercise price of outstanding options was $19.54 per share, and the expiration dates ranged from January 14, 1995 to June 23, 2004. The changes in outstanding stock options during the past three years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Common</w:t>
            </w:r>
          </w:p>
        </w:tc>
        <w:tc>
          <w:tcPr>
            <w:tcW w:w="1840" w:type="dxa"/>
            <w:vAlign w:val="bottom"/>
          </w:tcPr>
          <w:p>
            <w:pPr>
              <w:ind w:left="780"/>
              <w:spacing w:after="0"/>
              <w:rPr>
                <w:sz w:val="20"/>
                <w:szCs w:val="20"/>
                <w:color w:val="auto"/>
              </w:rPr>
            </w:pPr>
            <w:r>
              <w:rPr>
                <w:rFonts w:ascii="Courier New" w:cs="Courier New" w:eastAsia="Courier New" w:hAnsi="Courier New"/>
                <w:sz w:val="18"/>
                <w:szCs w:val="18"/>
                <w:color w:val="auto"/>
              </w:rPr>
              <w:t>Price</w:t>
            </w:r>
          </w:p>
        </w:tc>
      </w:tr>
      <w:tr>
        <w:trPr>
          <w:trHeight w:val="203"/>
        </w:trPr>
        <w:tc>
          <w:tcPr>
            <w:tcW w:w="1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Common</w:t>
            </w:r>
          </w:p>
        </w:tc>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Non-voting</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Range Per Share</w:t>
            </w:r>
          </w:p>
        </w:tc>
      </w:tr>
      <w:tr>
        <w:trPr>
          <w:trHeight w:val="405"/>
        </w:trPr>
        <w:tc>
          <w:tcPr>
            <w:tcW w:w="1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(shares in thousands)</w:t>
            </w:r>
          </w:p>
        </w:tc>
      </w:tr>
      <w:tr>
        <w:trPr>
          <w:trHeight w:val="405"/>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Outstanding</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December 1, 1991. .</w:t>
            </w:r>
          </w:p>
        </w:tc>
        <w:tc>
          <w:tcPr>
            <w:tcW w:w="16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1,808</w:t>
            </w:r>
          </w:p>
        </w:tc>
        <w:tc>
          <w:tcPr>
            <w:tcW w:w="14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2,585</w:t>
            </w:r>
          </w:p>
        </w:tc>
        <w:tc>
          <w:tcPr>
            <w:tcW w:w="1840" w:type="dxa"/>
            <w:vAlign w:val="bottom"/>
          </w:tcPr>
          <w:p>
            <w:pPr>
              <w:ind w:left="260"/>
              <w:spacing w:after="0"/>
              <w:rPr>
                <w:sz w:val="20"/>
                <w:szCs w:val="20"/>
                <w:color w:val="auto"/>
              </w:rPr>
            </w:pPr>
            <w:r>
              <w:rPr>
                <w:rFonts w:ascii="Courier New" w:cs="Courier New" w:eastAsia="Courier New" w:hAnsi="Courier New"/>
                <w:sz w:val="18"/>
                <w:szCs w:val="18"/>
                <w:color w:val="auto"/>
              </w:rPr>
              <w:t>$3.55-$18.00</w:t>
            </w:r>
          </w:p>
        </w:tc>
      </w:tr>
      <w:tr>
        <w:trPr>
          <w:trHeight w:val="203"/>
        </w:trPr>
        <w:tc>
          <w:tcPr>
            <w:tcW w:w="3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Granted (to 370 employees). .</w:t>
            </w:r>
          </w:p>
        </w:tc>
        <w:tc>
          <w:tcPr>
            <w:tcW w:w="16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189</w:t>
            </w:r>
          </w:p>
        </w:tc>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193</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$26.00</w:t>
            </w:r>
          </w:p>
        </w:tc>
      </w:tr>
      <w:tr>
        <w:trPr>
          <w:trHeight w:val="203"/>
        </w:trPr>
        <w:tc>
          <w:tcPr>
            <w:tcW w:w="3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Exercised . . . . . . . . . .</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(545)</w:t>
            </w:r>
          </w:p>
        </w:tc>
        <w:tc>
          <w:tcPr>
            <w:tcW w:w="14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(771)</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$3.55-$18.00</w:t>
            </w: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Cancelled</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expired. . . . .</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(16)</w:t>
            </w:r>
          </w:p>
        </w:tc>
        <w:tc>
          <w:tcPr>
            <w:tcW w:w="14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(72)</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$4.66-$26.00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Outstanding</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November 30, 1992 .</w:t>
            </w:r>
          </w:p>
        </w:tc>
        <w:tc>
          <w:tcPr>
            <w:tcW w:w="16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1,436</w:t>
            </w:r>
          </w:p>
        </w:tc>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1,935</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$3.55-$26.00</w:t>
            </w:r>
          </w:p>
        </w:tc>
      </w:tr>
      <w:tr>
        <w:trPr>
          <w:trHeight w:val="405"/>
        </w:trPr>
        <w:tc>
          <w:tcPr>
            <w:tcW w:w="516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6"/>
              </w:rPr>
              <w:t>Granted to 398 employees under the Stock Option</w:t>
            </w:r>
          </w:p>
        </w:tc>
        <w:tc>
          <w:tcPr>
            <w:tcW w:w="1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6600" w:type="dxa"/>
            <w:vAlign w:val="bottom"/>
            <w:gridSpan w:val="4"/>
          </w:tcPr>
          <w:p>
            <w:pPr>
              <w:jc w:val="right"/>
              <w:ind w:right="1232"/>
              <w:spacing w:after="0" w:line="203" w:lineRule="exact"/>
              <w:rPr>
                <w:sz w:val="20"/>
                <w:szCs w:val="20"/>
                <w:color w:val="auto"/>
              </w:rPr>
            </w:pPr>
            <w:r>
              <w:rPr>
                <w:rFonts w:ascii="Courier New" w:cs="Courier New" w:eastAsia="Courier New" w:hAnsi="Courier New"/>
                <w:sz w:val="18"/>
                <w:szCs w:val="18"/>
                <w:color w:val="auto"/>
              </w:rPr>
              <w:t>Plans and 4,254 employees in the Employee Stock</w:t>
            </w:r>
          </w:p>
        </w:tc>
        <w:tc>
          <w:tcPr>
            <w:tcW w:w="1840" w:type="dxa"/>
            <w:vAlign w:val="bottom"/>
          </w:tcPr>
          <w:p>
            <w:pPr>
              <w:spacing w:after="0"/>
              <w:rPr>
                <w:sz w:val="17"/>
                <w:szCs w:val="17"/>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Purchase</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Plan. . . . . . . .</w:t>
            </w:r>
          </w:p>
        </w:tc>
        <w:tc>
          <w:tcPr>
            <w:tcW w:w="16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192</w:t>
            </w:r>
          </w:p>
        </w:tc>
        <w:tc>
          <w:tcPr>
            <w:tcW w:w="14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784</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$22.63</w:t>
            </w:r>
          </w:p>
        </w:tc>
      </w:tr>
      <w:tr>
        <w:trPr>
          <w:trHeight w:val="203"/>
        </w:trPr>
        <w:tc>
          <w:tcPr>
            <w:tcW w:w="3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Exercised . . . . . . . . . .</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(413)</w:t>
            </w:r>
          </w:p>
        </w:tc>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(830)</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$3.55-$22.63</w:t>
            </w: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Cancelled</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expired. . . . .</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w:t>
            </w:r>
          </w:p>
        </w:tc>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(73)</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$18.00-$26.00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Outstanding</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November 30, 1993 .</w:t>
            </w:r>
          </w:p>
        </w:tc>
        <w:tc>
          <w:tcPr>
            <w:tcW w:w="16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1,208</w:t>
            </w:r>
          </w:p>
        </w:tc>
        <w:tc>
          <w:tcPr>
            <w:tcW w:w="14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1,816</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$4.41-$26.00</w:t>
            </w:r>
          </w:p>
        </w:tc>
      </w:tr>
      <w:tr>
        <w:trPr>
          <w:trHeight w:val="405"/>
        </w:trPr>
        <w:tc>
          <w:tcPr>
            <w:tcW w:w="34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Granted (to 415 employees). .</w:t>
            </w:r>
          </w:p>
        </w:tc>
        <w:tc>
          <w:tcPr>
            <w:tcW w:w="16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384</w:t>
            </w:r>
          </w:p>
        </w:tc>
        <w:tc>
          <w:tcPr>
            <w:tcW w:w="144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130</w:t>
            </w:r>
          </w:p>
        </w:tc>
        <w:tc>
          <w:tcPr>
            <w:tcW w:w="1840" w:type="dxa"/>
            <w:vAlign w:val="bottom"/>
          </w:tcPr>
          <w:p>
            <w:pPr>
              <w:ind w:left="260"/>
              <w:spacing w:after="0"/>
              <w:rPr>
                <w:sz w:val="20"/>
                <w:szCs w:val="20"/>
                <w:color w:val="auto"/>
              </w:rPr>
            </w:pPr>
            <w:r>
              <w:rPr>
                <w:rFonts w:ascii="Courier New" w:cs="Courier New" w:eastAsia="Courier New" w:hAnsi="Courier New"/>
                <w:sz w:val="18"/>
                <w:szCs w:val="18"/>
                <w:color w:val="auto"/>
              </w:rPr>
              <w:t>$18.50-$23.00</w:t>
            </w:r>
          </w:p>
        </w:tc>
      </w:tr>
      <w:tr>
        <w:trPr>
          <w:trHeight w:val="203"/>
        </w:trPr>
        <w:tc>
          <w:tcPr>
            <w:tcW w:w="3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Exercised . . . . . . . . . .</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(340)</w:t>
            </w:r>
          </w:p>
        </w:tc>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(408)</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$4.56-$22.63</w:t>
            </w: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Cancelled</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expired. . . . .</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w:t>
            </w:r>
          </w:p>
        </w:tc>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(137)</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$4.56-$26.00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Outstanding</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November 30, 1994 .</w:t>
            </w:r>
          </w:p>
        </w:tc>
        <w:tc>
          <w:tcPr>
            <w:tcW w:w="16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1,248</w:t>
            </w:r>
          </w:p>
        </w:tc>
        <w:tc>
          <w:tcPr>
            <w:tcW w:w="14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1,401</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$4.41-$26.00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firstLine="211"/>
        <w:spacing w:after="0" w:line="275" w:lineRule="auto"/>
        <w:rPr>
          <w:sz w:val="20"/>
          <w:szCs w:val="20"/>
          <w:color w:val="auto"/>
        </w:rPr>
      </w:pPr>
      <w:r>
        <w:rPr>
          <w:rFonts w:ascii="Courier New" w:cs="Courier New" w:eastAsia="Courier New" w:hAnsi="Courier New"/>
          <w:sz w:val="16"/>
          <w:szCs w:val="16"/>
          <w:color w:val="auto"/>
        </w:rPr>
        <w:t>Under all stock purchase and option plans, there were 2,774,787 shares reserved for future grants and 1,928,527 exercisable at November 30, 1994 and 4,205,919 shares reserved for future grants and 2,406,408 exercisable at November 30, 1993.</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Income Taxes:</w:t>
      </w:r>
    </w:p>
    <w:p>
      <w:pPr>
        <w:spacing w:after="0" w:line="4" w:lineRule="exact"/>
        <w:rPr>
          <w:sz w:val="20"/>
          <w:szCs w:val="20"/>
          <w:color w:val="auto"/>
        </w:rPr>
      </w:pPr>
    </w:p>
    <w:p>
      <w:pPr>
        <w:ind w:right="3579" w:firstLine="316"/>
        <w:spacing w:after="0" w:line="235" w:lineRule="auto"/>
        <w:rPr>
          <w:sz w:val="20"/>
          <w:szCs w:val="20"/>
          <w:color w:val="auto"/>
        </w:rPr>
      </w:pPr>
      <w:r>
        <w:rPr>
          <w:rFonts w:ascii="Courier New" w:cs="Courier New" w:eastAsia="Courier New" w:hAnsi="Courier New"/>
          <w:sz w:val="18"/>
          <w:szCs w:val="18"/>
          <w:color w:val="auto"/>
        </w:rPr>
        <w:t>For financial reporting purposes, income before income taxes includes the following components: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142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1994</w:t>
            </w:r>
          </w:p>
        </w:tc>
        <w:tc>
          <w:tcPr>
            <w:tcW w:w="10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1993</w:t>
            </w:r>
          </w:p>
        </w:tc>
        <w:tc>
          <w:tcPr>
            <w:tcW w:w="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Pretax income:</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 . . . .</w:t>
            </w:r>
          </w:p>
        </w:tc>
        <w:tc>
          <w:tcPr>
            <w:tcW w:w="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84,351</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$132,450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$125,249</w:t>
            </w: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Foreign . . . . . .</w:t>
            </w:r>
          </w:p>
        </w:tc>
        <w:tc>
          <w:tcPr>
            <w:tcW w:w="62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17,440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13,064</w:t>
            </w:r>
          </w:p>
        </w:tc>
      </w:tr>
      <w:tr>
        <w:trPr>
          <w:trHeight w:val="203"/>
        </w:trPr>
        <w:tc>
          <w:tcPr>
            <w:tcW w:w="2700" w:type="dxa"/>
            <w:vAlign w:val="bottom"/>
          </w:tcPr>
          <w:p>
            <w:pPr>
              <w:spacing w:after="0"/>
              <w:rPr>
                <w:sz w:val="17"/>
                <w:szCs w:val="17"/>
                <w:color w:val="auto"/>
              </w:rPr>
            </w:pPr>
          </w:p>
        </w:tc>
        <w:tc>
          <w:tcPr>
            <w:tcW w:w="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86,978</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$149,890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$138,313</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components of the income tax provision follow:</w:t>
      </w:r>
    </w:p>
    <w:p>
      <w:pPr>
        <w:spacing w:after="0" w:line="238" w:lineRule="auto"/>
        <w:rPr>
          <w:sz w:val="20"/>
          <w:szCs w:val="20"/>
          <w:color w:val="auto"/>
        </w:rPr>
      </w:pPr>
      <w:r>
        <w:rPr>
          <w:rFonts w:ascii="Courier New" w:cs="Courier New" w:eastAsia="Courier New" w:hAnsi="Courier New"/>
          <w:sz w:val="18"/>
          <w:szCs w:val="18"/>
          <w:color w:val="auto"/>
        </w:rPr>
        <w:t>Current:</w:t>
      </w:r>
    </w:p>
    <w:tbl>
      <w:tblPr>
        <w:tblLayout w:type="fixed"/>
        <w:tblInd w:w="22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Federal . . . . . .</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$ 43,348</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$ 44,878</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$ 40,298</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 . . . . .</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8,391</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7,577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5,122</w:t>
            </w:r>
          </w:p>
        </w:tc>
      </w:tr>
    </w:tbl>
    <w:p>
      <w:pPr>
        <w:sectPr>
          <w:pgSz w:w="11900" w:h="16838" w:orient="portrait"/>
          <w:cols w:equalWidth="0" w:num="1">
            <w:col w:w="10219"/>
          </w:cols>
          <w:pgMar w:left="240" w:top="142" w:right="1440"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ind w:left="220"/>
              <w:spacing w:after="0"/>
              <w:rPr>
                <w:sz w:val="20"/>
                <w:szCs w:val="20"/>
                <w:color w:val="auto"/>
              </w:rPr>
            </w:pPr>
            <w:r>
              <w:rPr>
                <w:rFonts w:ascii="Courier New" w:cs="Courier New" w:eastAsia="Courier New" w:hAnsi="Courier New"/>
                <w:sz w:val="18"/>
                <w:szCs w:val="18"/>
                <w:color w:val="auto"/>
              </w:rPr>
              <w:t>State . . . . . . .</w:t>
            </w:r>
          </w:p>
        </w:tc>
        <w:tc>
          <w:tcPr>
            <w:tcW w:w="14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9,106</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9,122</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8,286</w:t>
            </w: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 . .</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60,845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61,577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53,706</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Deferred:</w:t>
            </w: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Federal . . . . . .</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(19,199)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(718)</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 . . . . . . .</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deferred. . .</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(27,095)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(706)</w:t>
            </w:r>
          </w:p>
        </w:tc>
      </w:tr>
      <w:tr>
        <w:trPr>
          <w:trHeight w:val="203"/>
        </w:trPr>
        <w:tc>
          <w:tcPr>
            <w:tcW w:w="2700" w:type="dxa"/>
            <w:vAlign w:val="bottom"/>
          </w:tcPr>
          <w:p>
            <w:pPr>
              <w:spacing w:after="0"/>
              <w:rPr>
                <w:sz w:val="17"/>
                <w:szCs w:val="17"/>
                <w:color w:val="auto"/>
              </w:rPr>
            </w:pP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$ 33,750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$ 60,500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$ 53,000</w:t>
            </w:r>
          </w:p>
        </w:tc>
      </w:tr>
    </w:tbl>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Tax expense allocated directly to contributed capital was as follows:</w:t>
      </w: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Relating</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employee</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stock options</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2"/>
              </w:rPr>
              <w:t>608</w:t>
            </w: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$ 2,304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4,116</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Relating</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2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translation adjustments</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and foreign currency hedge</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transactions. . . .</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2"/>
              </w:rPr>
              <w:t>540</w:t>
            </w: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$(3,291)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(2,834)</w:t>
            </w:r>
          </w:p>
        </w:tc>
      </w:tr>
    </w:tbl>
    <w:p>
      <w:pPr>
        <w:spacing w:after="0" w:line="207" w:lineRule="exact"/>
        <w:rPr>
          <w:sz w:val="20"/>
          <w:szCs w:val="20"/>
          <w:color w:val="auto"/>
        </w:rPr>
      </w:pPr>
    </w:p>
    <w:p>
      <w:pPr>
        <w:jc w:val="both"/>
        <w:ind w:right="3159" w:firstLine="211"/>
        <w:spacing w:after="0" w:line="236" w:lineRule="auto"/>
        <w:rPr>
          <w:sz w:val="20"/>
          <w:szCs w:val="20"/>
          <w:color w:val="auto"/>
        </w:rPr>
      </w:pPr>
      <w:r>
        <w:rPr>
          <w:rFonts w:ascii="Courier New" w:cs="Courier New" w:eastAsia="Courier New" w:hAnsi="Courier New"/>
          <w:sz w:val="18"/>
          <w:szCs w:val="18"/>
          <w:color w:val="auto"/>
        </w:rPr>
        <w:t>The reconciliation between income tax attributable to continuing operations computed at the United States federal statutory rate and income taxes actually provided, follow:</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1994</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1993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1992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w:t>
      </w:r>
    </w:p>
    <w:sectPr>
      <w:pgSz w:w="11900" w:h="16838" w:orient="portrait"/>
      <w:cols w:equalWidth="0" w:num="6">
        <w:col w:w="4640" w:space="100"/>
        <w:col w:w="740" w:space="320"/>
        <w:col w:w="940" w:space="120"/>
        <w:col w:w="740" w:space="300"/>
        <w:col w:w="960" w:space="100"/>
        <w:col w:w="12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2019-12-13T03:32:13Z</dcterms:created>
  <dcterms:modified xsi:type="dcterms:W3CDTF">2019-12-13T03:32:13Z</dcterms:modified>
</cp:coreProperties>
</file>