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57785</wp:posOffset>
            </wp:positionV>
            <wp:extent cx="27774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55" w:lineRule="exact"/>
        <w:rPr>
          <w:sz w:val="24"/>
          <w:szCs w:val="24"/>
          <w:color w:val="auto"/>
        </w:rPr>
      </w:pPr>
    </w:p>
    <w:p>
      <w:pPr>
        <w:jc w:val="center"/>
        <w:ind w:right="40"/>
        <w:spacing w:after="0"/>
        <w:rPr>
          <w:sz w:val="20"/>
          <w:szCs w:val="20"/>
          <w:color w:val="auto"/>
        </w:rPr>
      </w:pPr>
      <w:r>
        <w:rPr>
          <w:rFonts w:ascii="Arial" w:cs="Arial" w:eastAsia="Arial" w:hAnsi="Arial"/>
          <w:sz w:val="20"/>
          <w:szCs w:val="20"/>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31750</wp:posOffset>
            </wp:positionV>
            <wp:extent cx="27774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61"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(Mark One)</w:t>
      </w:r>
    </w:p>
    <w:p>
      <w:pPr>
        <w:ind w:left="620" w:hanging="594"/>
        <w:spacing w:after="0" w:line="181" w:lineRule="auto"/>
        <w:tabs>
          <w:tab w:leader="none" w:pos="620" w:val="left"/>
        </w:tabs>
        <w:numPr>
          <w:ilvl w:val="0"/>
          <w:numId w:val="1"/>
        </w:numPr>
        <w:rPr>
          <w:rFonts w:ascii="MS PGothic" w:cs="MS PGothic" w:eastAsia="MS PGothic" w:hAnsi="MS PGothic"/>
          <w:sz w:val="28"/>
          <w:szCs w:val="28"/>
          <w:color w:val="auto"/>
          <w:vertAlign w:val="subscript"/>
        </w:rPr>
      </w:pPr>
      <w:r>
        <w:rPr>
          <w:rFonts w:ascii="Arial" w:cs="Arial" w:eastAsia="Arial" w:hAnsi="Arial"/>
          <w:sz w:val="12"/>
          <w:szCs w:val="12"/>
          <w:b w:val="1"/>
          <w:bCs w:val="1"/>
          <w:color w:val="auto"/>
        </w:rPr>
        <w:t>ANNUAL REPORT PURSUANT TO SECTION 13 OR 15(d) OF THE SECURITIES EXCHANGE ACT OF 1934</w:t>
      </w:r>
    </w:p>
    <w:p>
      <w:pPr>
        <w:spacing w:after="0" w:line="125"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For the fiscal year ended November 30, 2025</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OR</w:t>
      </w:r>
    </w:p>
    <w:p>
      <w:pPr>
        <w:ind w:left="680" w:hanging="654"/>
        <w:spacing w:after="0" w:line="184" w:lineRule="auto"/>
        <w:tabs>
          <w:tab w:leader="none" w:pos="680" w:val="left"/>
        </w:tabs>
        <w:numPr>
          <w:ilvl w:val="0"/>
          <w:numId w:val="2"/>
        </w:numPr>
        <w:rPr>
          <w:rFonts w:ascii="MS PGothic" w:cs="MS PGothic" w:eastAsia="MS PGothic" w:hAnsi="MS PGothic"/>
          <w:sz w:val="26"/>
          <w:szCs w:val="26"/>
          <w:color w:val="auto"/>
          <w:vertAlign w:val="subscript"/>
        </w:rPr>
      </w:pPr>
      <w:r>
        <w:rPr>
          <w:rFonts w:ascii="Arial" w:cs="Arial" w:eastAsia="Arial" w:hAnsi="Arial"/>
          <w:sz w:val="11"/>
          <w:szCs w:val="11"/>
          <w:b w:val="1"/>
          <w:bCs w:val="1"/>
          <w:color w:val="auto"/>
        </w:rPr>
        <w:t>TRANSITION REPORT PURSUANT TO SECTION 13 OR 15(d) OF THE SECURITIES EXCHANGE ACT OF 1934</w:t>
      </w:r>
    </w:p>
    <w:p>
      <w:pPr>
        <w:spacing w:after="0" w:line="125" w:lineRule="exact"/>
        <w:rPr>
          <w:sz w:val="24"/>
          <w:szCs w:val="24"/>
          <w:color w:val="auto"/>
        </w:rPr>
      </w:pPr>
    </w:p>
    <w:p>
      <w:pPr>
        <w:ind w:left="4200"/>
        <w:spacing w:after="0"/>
        <w:tabs>
          <w:tab w:leader="none" w:pos="6440" w:val="left"/>
        </w:tabs>
        <w:rPr>
          <w:sz w:val="20"/>
          <w:szCs w:val="20"/>
          <w:color w:val="auto"/>
        </w:rPr>
      </w:pPr>
      <w:r>
        <w:rPr>
          <w:rFonts w:ascii="Arial" w:cs="Arial" w:eastAsia="Arial" w:hAnsi="Arial"/>
          <w:sz w:val="13"/>
          <w:szCs w:val="13"/>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3817620</wp:posOffset>
            </wp:positionH>
            <wp:positionV relativeFrom="paragraph">
              <wp:posOffset>-5715</wp:posOffset>
            </wp:positionV>
            <wp:extent cx="6527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278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3"/>
          <w:szCs w:val="13"/>
          <w:b w:val="1"/>
          <w:bCs w:val="1"/>
          <w:color w:val="auto"/>
        </w:rPr>
        <w:t>Commission file number 001-14920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54610</wp:posOffset>
            </wp:positionV>
            <wp:extent cx="27774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McCORMICK &amp; COMPANY, INCORPORATED</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28575</wp:posOffset>
            </wp:positionV>
            <wp:extent cx="27774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83" w:lineRule="exact"/>
        <w:rPr>
          <w:sz w:val="24"/>
          <w:szCs w:val="24"/>
          <w:color w:val="auto"/>
        </w:rPr>
      </w:pPr>
    </w:p>
    <w:tbl>
      <w:tblPr>
        <w:tblLayout w:type="fixed"/>
        <w:tblInd w:w="600" w:type="dxa"/>
        <w:tblCellMar>
          <w:top w:w="0" w:type="dxa"/>
          <w:left w:w="0" w:type="dxa"/>
          <w:bottom w:w="0" w:type="dxa"/>
          <w:right w:w="0" w:type="dxa"/>
        </w:tblCellMar>
      </w:tblPr>
      <w:tr>
        <w:trPr>
          <w:trHeight w:val="172"/>
        </w:trPr>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gridSpan w:val="2"/>
          </w:tcPr>
          <w:p>
            <w:pPr>
              <w:jc w:val="center"/>
              <w:ind w:left="77"/>
              <w:spacing w:after="0"/>
              <w:rPr>
                <w:sz w:val="20"/>
                <w:szCs w:val="20"/>
                <w:color w:val="auto"/>
              </w:rPr>
            </w:pPr>
            <w:r>
              <w:rPr>
                <w:rFonts w:ascii="Arial" w:cs="Arial" w:eastAsia="Arial" w:hAnsi="Arial"/>
                <w:sz w:val="13"/>
                <w:szCs w:val="13"/>
                <w:b w:val="1"/>
                <w:bCs w:val="1"/>
                <w:color w:val="auto"/>
                <w:w w:val="98"/>
              </w:rPr>
              <w:t>Maryland</w:t>
            </w:r>
          </w:p>
        </w:tc>
        <w:tc>
          <w:tcPr>
            <w:tcW w:w="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340" w:type="dxa"/>
            <w:vAlign w:val="bottom"/>
            <w:gridSpan w:val="2"/>
          </w:tcPr>
          <w:p>
            <w:pPr>
              <w:ind w:left="420"/>
              <w:spacing w:after="0"/>
              <w:rPr>
                <w:sz w:val="20"/>
                <w:szCs w:val="20"/>
                <w:color w:val="auto"/>
              </w:rPr>
            </w:pPr>
            <w:r>
              <w:rPr>
                <w:rFonts w:ascii="Arial" w:cs="Arial" w:eastAsia="Arial" w:hAnsi="Arial"/>
                <w:sz w:val="13"/>
                <w:szCs w:val="13"/>
                <w:b w:val="1"/>
                <w:bCs w:val="1"/>
                <w:color w:val="auto"/>
              </w:rPr>
              <w:t>52-0408290</w:t>
            </w:r>
          </w:p>
        </w:tc>
      </w:tr>
      <w:tr>
        <w:trPr>
          <w:trHeight w:val="116"/>
        </w:trPr>
        <w:tc>
          <w:tcPr>
            <w:tcW w:w="1400" w:type="dxa"/>
            <w:vAlign w:val="bottom"/>
          </w:tcPr>
          <w:p>
            <w:pPr>
              <w:spacing w:after="0"/>
              <w:rPr>
                <w:sz w:val="10"/>
                <w:szCs w:val="10"/>
                <w:color w:val="auto"/>
              </w:rPr>
            </w:pPr>
          </w:p>
        </w:tc>
        <w:tc>
          <w:tcPr>
            <w:tcW w:w="3140" w:type="dxa"/>
            <w:vAlign w:val="bottom"/>
            <w:gridSpan w:val="5"/>
          </w:tcPr>
          <w:p>
            <w:pPr>
              <w:jc w:val="center"/>
              <w:ind w:right="1437"/>
              <w:spacing w:after="0" w:line="116" w:lineRule="exact"/>
              <w:rPr>
                <w:sz w:val="20"/>
                <w:szCs w:val="20"/>
                <w:color w:val="auto"/>
              </w:rPr>
            </w:pPr>
            <w:r>
              <w:rPr>
                <w:rFonts w:ascii="Arial" w:cs="Arial" w:eastAsia="Arial" w:hAnsi="Arial"/>
                <w:sz w:val="11"/>
                <w:szCs w:val="11"/>
                <w:b w:val="1"/>
                <w:bCs w:val="1"/>
                <w:color w:val="auto"/>
                <w:w w:val="98"/>
              </w:rPr>
              <w:t>(State or other jurisdiction of</w:t>
            </w:r>
          </w:p>
        </w:tc>
        <w:tc>
          <w:tcPr>
            <w:tcW w:w="9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0" w:type="dxa"/>
            <w:vAlign w:val="bottom"/>
          </w:tcPr>
          <w:p>
            <w:pPr>
              <w:ind w:left="240"/>
              <w:spacing w:after="0" w:line="116" w:lineRule="exact"/>
              <w:rPr>
                <w:sz w:val="20"/>
                <w:szCs w:val="20"/>
                <w:color w:val="auto"/>
              </w:rPr>
            </w:pPr>
            <w:r>
              <w:rPr>
                <w:rFonts w:ascii="Arial" w:cs="Arial" w:eastAsia="Arial" w:hAnsi="Arial"/>
                <w:sz w:val="11"/>
                <w:szCs w:val="11"/>
                <w:b w:val="1"/>
                <w:bCs w:val="1"/>
                <w:color w:val="auto"/>
              </w:rPr>
              <w:t>(IRS Employer</w:t>
            </w:r>
          </w:p>
        </w:tc>
      </w:tr>
      <w:tr>
        <w:trPr>
          <w:trHeight w:val="148"/>
        </w:trPr>
        <w:tc>
          <w:tcPr>
            <w:tcW w:w="1400" w:type="dxa"/>
            <w:vAlign w:val="bottom"/>
          </w:tcPr>
          <w:p>
            <w:pPr>
              <w:spacing w:after="0"/>
              <w:rPr>
                <w:sz w:val="12"/>
                <w:szCs w:val="12"/>
                <w:color w:val="auto"/>
              </w:rPr>
            </w:pPr>
          </w:p>
        </w:tc>
        <w:tc>
          <w:tcPr>
            <w:tcW w:w="3140" w:type="dxa"/>
            <w:vAlign w:val="bottom"/>
            <w:gridSpan w:val="5"/>
          </w:tcPr>
          <w:p>
            <w:pPr>
              <w:jc w:val="center"/>
              <w:ind w:right="1457"/>
              <w:spacing w:after="0"/>
              <w:rPr>
                <w:sz w:val="20"/>
                <w:szCs w:val="20"/>
                <w:color w:val="auto"/>
              </w:rPr>
            </w:pPr>
            <w:r>
              <w:rPr>
                <w:rFonts w:ascii="Arial" w:cs="Arial" w:eastAsia="Arial" w:hAnsi="Arial"/>
                <w:sz w:val="11"/>
                <w:szCs w:val="11"/>
                <w:b w:val="1"/>
                <w:bCs w:val="1"/>
                <w:color w:val="auto"/>
                <w:w w:val="98"/>
              </w:rPr>
              <w:t>incorporation or organization)</w:t>
            </w:r>
          </w:p>
        </w:tc>
        <w:tc>
          <w:tcPr>
            <w:tcW w:w="9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0" w:type="dxa"/>
            <w:vAlign w:val="bottom"/>
          </w:tcPr>
          <w:p>
            <w:pPr>
              <w:ind w:left="160"/>
              <w:spacing w:after="0"/>
              <w:rPr>
                <w:sz w:val="20"/>
                <w:szCs w:val="20"/>
                <w:color w:val="auto"/>
              </w:rPr>
            </w:pPr>
            <w:r>
              <w:rPr>
                <w:rFonts w:ascii="Arial" w:cs="Arial" w:eastAsia="Arial" w:hAnsi="Arial"/>
                <w:sz w:val="11"/>
                <w:szCs w:val="11"/>
                <w:b w:val="1"/>
                <w:bCs w:val="1"/>
                <w:color w:val="auto"/>
              </w:rPr>
              <w:t>Identification No.)</w:t>
            </w:r>
          </w:p>
        </w:tc>
      </w:tr>
      <w:tr>
        <w:trPr>
          <w:trHeight w:val="303"/>
        </w:trPr>
        <w:tc>
          <w:tcPr>
            <w:tcW w:w="1680" w:type="dxa"/>
            <w:vAlign w:val="bottom"/>
            <w:gridSpan w:val="2"/>
          </w:tcPr>
          <w:p>
            <w:pPr>
              <w:spacing w:after="0"/>
              <w:rPr>
                <w:sz w:val="20"/>
                <w:szCs w:val="20"/>
                <w:color w:val="auto"/>
              </w:rPr>
            </w:pPr>
            <w:r>
              <w:rPr>
                <w:rFonts w:ascii="Arial" w:cs="Arial" w:eastAsia="Arial" w:hAnsi="Arial"/>
                <w:sz w:val="13"/>
                <w:szCs w:val="13"/>
                <w:b w:val="1"/>
                <w:bCs w:val="1"/>
                <w:color w:val="auto"/>
              </w:rPr>
              <w:t>24 Schilling Road, Suite 1,</w:t>
            </w:r>
          </w:p>
        </w:tc>
        <w:tc>
          <w:tcPr>
            <w:tcW w:w="940" w:type="dxa"/>
            <w:vAlign w:val="bottom"/>
            <w:gridSpan w:val="2"/>
          </w:tcPr>
          <w:p>
            <w:pPr>
              <w:ind w:left="120"/>
              <w:spacing w:after="0"/>
              <w:rPr>
                <w:sz w:val="20"/>
                <w:szCs w:val="20"/>
                <w:color w:val="auto"/>
              </w:rPr>
            </w:pPr>
            <w:r>
              <w:rPr>
                <w:rFonts w:ascii="Arial" w:cs="Arial" w:eastAsia="Arial" w:hAnsi="Arial"/>
                <w:sz w:val="13"/>
                <w:szCs w:val="13"/>
                <w:b w:val="1"/>
                <w:bCs w:val="1"/>
                <w:color w:val="auto"/>
              </w:rPr>
              <w:t>Hunt Valley,</w:t>
            </w:r>
          </w:p>
        </w:tc>
        <w:tc>
          <w:tcPr>
            <w:tcW w:w="1920" w:type="dxa"/>
            <w:vAlign w:val="bottom"/>
            <w:gridSpan w:val="2"/>
          </w:tcPr>
          <w:p>
            <w:pPr>
              <w:ind w:left="120"/>
              <w:spacing w:after="0"/>
              <w:rPr>
                <w:sz w:val="20"/>
                <w:szCs w:val="20"/>
                <w:color w:val="auto"/>
              </w:rPr>
            </w:pPr>
            <w:r>
              <w:rPr>
                <w:rFonts w:ascii="Arial" w:cs="Arial" w:eastAsia="Arial" w:hAnsi="Arial"/>
                <w:sz w:val="13"/>
                <w:szCs w:val="13"/>
                <w:b w:val="1"/>
                <w:bCs w:val="1"/>
                <w:color w:val="auto"/>
              </w:rPr>
              <w:t>Maryland</w:t>
            </w:r>
          </w:p>
        </w:tc>
        <w:tc>
          <w:tcPr>
            <w:tcW w:w="9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340" w:type="dxa"/>
            <w:vAlign w:val="bottom"/>
            <w:gridSpan w:val="2"/>
          </w:tcPr>
          <w:p>
            <w:pPr>
              <w:ind w:left="400"/>
              <w:spacing w:after="0"/>
              <w:rPr>
                <w:sz w:val="20"/>
                <w:szCs w:val="20"/>
                <w:color w:val="auto"/>
              </w:rPr>
            </w:pPr>
            <w:r>
              <w:rPr>
                <w:rFonts w:ascii="Arial" w:cs="Arial" w:eastAsia="Arial" w:hAnsi="Arial"/>
                <w:sz w:val="13"/>
                <w:szCs w:val="13"/>
                <w:b w:val="1"/>
                <w:bCs w:val="1"/>
                <w:color w:val="auto"/>
              </w:rPr>
              <w:t>21031</w:t>
            </w:r>
          </w:p>
        </w:tc>
      </w:tr>
      <w:tr>
        <w:trPr>
          <w:trHeight w:val="156"/>
        </w:trPr>
        <w:tc>
          <w:tcPr>
            <w:tcW w:w="4540" w:type="dxa"/>
            <w:vAlign w:val="bottom"/>
            <w:gridSpan w:val="6"/>
          </w:tcPr>
          <w:p>
            <w:pPr>
              <w:ind w:left="1060"/>
              <w:spacing w:after="0"/>
              <w:rPr>
                <w:sz w:val="20"/>
                <w:szCs w:val="20"/>
                <w:color w:val="auto"/>
              </w:rPr>
            </w:pPr>
            <w:r>
              <w:rPr>
                <w:rFonts w:ascii="Arial" w:cs="Arial" w:eastAsia="Arial" w:hAnsi="Arial"/>
                <w:sz w:val="11"/>
                <w:szCs w:val="11"/>
                <w:b w:val="1"/>
                <w:bCs w:val="1"/>
                <w:color w:val="auto"/>
              </w:rPr>
              <w:t>(Address of principal executive offices)</w:t>
            </w:r>
          </w:p>
        </w:tc>
        <w:tc>
          <w:tcPr>
            <w:tcW w:w="9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0" w:type="dxa"/>
            <w:vAlign w:val="bottom"/>
          </w:tcPr>
          <w:p>
            <w:pPr>
              <w:ind w:left="180"/>
              <w:spacing w:after="0"/>
              <w:rPr>
                <w:sz w:val="20"/>
                <w:szCs w:val="20"/>
                <w:color w:val="auto"/>
              </w:rPr>
            </w:pPr>
            <w:r>
              <w:rPr>
                <w:rFonts w:ascii="Arial" w:cs="Arial" w:eastAsia="Arial" w:hAnsi="Arial"/>
                <w:sz w:val="11"/>
                <w:szCs w:val="11"/>
                <w:b w:val="1"/>
                <w:bCs w:val="1"/>
                <w:color w:val="auto"/>
              </w:rPr>
              <w:t>(Zip Code)</w:t>
            </w:r>
          </w:p>
        </w:tc>
      </w:tr>
      <w:tr>
        <w:trPr>
          <w:trHeight w:val="263"/>
        </w:trPr>
        <w:tc>
          <w:tcPr>
            <w:tcW w:w="1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40" w:type="dxa"/>
            <w:vAlign w:val="bottom"/>
            <w:gridSpan w:val="3"/>
          </w:tcPr>
          <w:p>
            <w:pPr>
              <w:jc w:val="center"/>
              <w:ind w:left="57"/>
              <w:spacing w:after="0"/>
              <w:rPr>
                <w:sz w:val="20"/>
                <w:szCs w:val="20"/>
                <w:color w:val="auto"/>
              </w:rPr>
            </w:pPr>
            <w:r>
              <w:rPr>
                <w:rFonts w:ascii="Arial" w:cs="Arial" w:eastAsia="Arial" w:hAnsi="Arial"/>
                <w:sz w:val="13"/>
                <w:szCs w:val="13"/>
                <w:b w:val="1"/>
                <w:bCs w:val="1"/>
                <w:color w:val="auto"/>
                <w:w w:val="96"/>
              </w:rPr>
              <w:t>Registrant’s telephone number, including area code: (410) 771-7301</w:t>
            </w:r>
          </w:p>
        </w:tc>
        <w:tc>
          <w:tcPr>
            <w:tcW w:w="140" w:type="dxa"/>
            <w:vAlign w:val="bottom"/>
          </w:tcPr>
          <w:p>
            <w:pPr>
              <w:spacing w:after="0"/>
              <w:rPr>
                <w:sz w:val="22"/>
                <w:szCs w:val="22"/>
                <w:color w:val="auto"/>
              </w:rPr>
            </w:pPr>
          </w:p>
        </w:tc>
        <w:tc>
          <w:tcPr>
            <w:tcW w:w="2200" w:type="dxa"/>
            <w:vAlign w:val="bottom"/>
          </w:tcPr>
          <w:p>
            <w:pPr>
              <w:spacing w:after="0"/>
              <w:rPr>
                <w:sz w:val="22"/>
                <w:szCs w:val="22"/>
                <w:color w:val="auto"/>
              </w:rPr>
            </w:pPr>
          </w:p>
        </w:tc>
      </w:tr>
      <w:tr>
        <w:trPr>
          <w:trHeight w:val="76"/>
        </w:trPr>
        <w:tc>
          <w:tcPr>
            <w:tcW w:w="1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40" w:type="dxa"/>
            <w:vAlign w:val="bottom"/>
            <w:tcBorders>
              <w:bottom w:val="single" w:sz="8" w:color="auto"/>
            </w:tcBorders>
            <w:gridSpan w:val="2"/>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2200" w:type="dxa"/>
            <w:vAlign w:val="bottom"/>
          </w:tcPr>
          <w:p>
            <w:pPr>
              <w:spacing w:after="0"/>
              <w:rPr>
                <w:sz w:val="6"/>
                <w:szCs w:val="6"/>
                <w:color w:val="auto"/>
              </w:rPr>
            </w:pPr>
          </w:p>
        </w:tc>
      </w:tr>
      <w:tr>
        <w:trPr>
          <w:trHeight w:val="606"/>
        </w:trPr>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40" w:type="dxa"/>
            <w:vAlign w:val="bottom"/>
            <w:gridSpan w:val="3"/>
          </w:tcPr>
          <w:p>
            <w:pPr>
              <w:jc w:val="center"/>
              <w:ind w:left="77"/>
              <w:spacing w:after="0"/>
              <w:rPr>
                <w:sz w:val="20"/>
                <w:szCs w:val="20"/>
                <w:color w:val="auto"/>
              </w:rPr>
            </w:pPr>
            <w:r>
              <w:rPr>
                <w:rFonts w:ascii="Arial" w:cs="Arial" w:eastAsia="Arial" w:hAnsi="Arial"/>
                <w:sz w:val="13"/>
                <w:szCs w:val="13"/>
                <w:b w:val="1"/>
                <w:bCs w:val="1"/>
                <w:color w:val="auto"/>
                <w:w w:val="96"/>
              </w:rPr>
              <w:t>Securities registered pursuant to Section 12(b) of the Act:</w:t>
            </w:r>
          </w:p>
        </w:tc>
        <w:tc>
          <w:tcPr>
            <w:tcW w:w="14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157"/>
        </w:trPr>
        <w:tc>
          <w:tcPr>
            <w:tcW w:w="2620" w:type="dxa"/>
            <w:vAlign w:val="bottom"/>
            <w:gridSpan w:val="4"/>
          </w:tcPr>
          <w:p>
            <w:pPr>
              <w:jc w:val="center"/>
              <w:ind w:left="881"/>
              <w:spacing w:after="0"/>
              <w:rPr>
                <w:sz w:val="20"/>
                <w:szCs w:val="20"/>
                <w:color w:val="auto"/>
              </w:rPr>
            </w:pPr>
            <w:r>
              <w:rPr>
                <w:rFonts w:ascii="Arial" w:cs="Arial" w:eastAsia="Arial" w:hAnsi="Arial"/>
                <w:sz w:val="11"/>
                <w:szCs w:val="11"/>
                <w:b w:val="1"/>
                <w:bCs w:val="1"/>
                <w:color w:val="auto"/>
                <w:w w:val="98"/>
              </w:rPr>
              <w:t>Title of Each Class</w:t>
            </w:r>
          </w:p>
        </w:tc>
        <w:tc>
          <w:tcPr>
            <w:tcW w:w="2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540" w:type="dxa"/>
            <w:vAlign w:val="bottom"/>
            <w:gridSpan w:val="2"/>
          </w:tcPr>
          <w:p>
            <w:pPr>
              <w:jc w:val="center"/>
              <w:ind w:right="1600"/>
              <w:spacing w:after="0"/>
              <w:rPr>
                <w:sz w:val="20"/>
                <w:szCs w:val="20"/>
                <w:color w:val="auto"/>
              </w:rPr>
            </w:pPr>
            <w:r>
              <w:rPr>
                <w:rFonts w:ascii="Arial" w:cs="Arial" w:eastAsia="Arial" w:hAnsi="Arial"/>
                <w:sz w:val="11"/>
                <w:szCs w:val="11"/>
                <w:b w:val="1"/>
                <w:bCs w:val="1"/>
                <w:color w:val="auto"/>
                <w:w w:val="97"/>
              </w:rPr>
              <w:t>Trading Symbol(s)</w:t>
            </w:r>
          </w:p>
        </w:tc>
        <w:tc>
          <w:tcPr>
            <w:tcW w:w="2340" w:type="dxa"/>
            <w:vAlign w:val="bottom"/>
            <w:gridSpan w:val="2"/>
          </w:tcPr>
          <w:p>
            <w:pPr>
              <w:spacing w:after="0"/>
              <w:rPr>
                <w:sz w:val="20"/>
                <w:szCs w:val="20"/>
                <w:color w:val="auto"/>
              </w:rPr>
            </w:pPr>
            <w:r>
              <w:rPr>
                <w:rFonts w:ascii="Arial" w:cs="Arial" w:eastAsia="Arial" w:hAnsi="Arial"/>
                <w:sz w:val="11"/>
                <w:szCs w:val="11"/>
                <w:b w:val="1"/>
                <w:bCs w:val="1"/>
                <w:color w:val="auto"/>
                <w:w w:val="96"/>
              </w:rPr>
              <w:t>Name of Each Exchange on Which Registered</w:t>
            </w:r>
          </w:p>
        </w:tc>
      </w:tr>
      <w:tr>
        <w:trPr>
          <w:trHeight w:val="20"/>
        </w:trPr>
        <w:tc>
          <w:tcPr>
            <w:tcW w:w="140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r>
      <w:tr>
        <w:trPr>
          <w:trHeight w:val="188"/>
        </w:trPr>
        <w:tc>
          <w:tcPr>
            <w:tcW w:w="4540" w:type="dxa"/>
            <w:vAlign w:val="bottom"/>
            <w:gridSpan w:val="6"/>
          </w:tcPr>
          <w:p>
            <w:pPr>
              <w:jc w:val="center"/>
              <w:ind w:right="917"/>
              <w:spacing w:after="0"/>
              <w:rPr>
                <w:sz w:val="20"/>
                <w:szCs w:val="20"/>
                <w:color w:val="auto"/>
              </w:rPr>
            </w:pPr>
            <w:r>
              <w:rPr>
                <w:rFonts w:ascii="Arial" w:cs="Arial" w:eastAsia="Arial" w:hAnsi="Arial"/>
                <w:sz w:val="13"/>
                <w:szCs w:val="13"/>
                <w:b w:val="1"/>
                <w:bCs w:val="1"/>
                <w:color w:val="auto"/>
                <w:w w:val="96"/>
              </w:rPr>
              <w:t>Common Stock, Par Value $0.01 per share</w:t>
            </w:r>
          </w:p>
        </w:tc>
        <w:tc>
          <w:tcPr>
            <w:tcW w:w="2540" w:type="dxa"/>
            <w:vAlign w:val="bottom"/>
            <w:gridSpan w:val="2"/>
          </w:tcPr>
          <w:p>
            <w:pPr>
              <w:jc w:val="center"/>
              <w:ind w:right="1620"/>
              <w:spacing w:after="0"/>
              <w:rPr>
                <w:sz w:val="20"/>
                <w:szCs w:val="20"/>
                <w:color w:val="auto"/>
              </w:rPr>
            </w:pPr>
            <w:r>
              <w:rPr>
                <w:rFonts w:ascii="Arial" w:cs="Arial" w:eastAsia="Arial" w:hAnsi="Arial"/>
                <w:sz w:val="13"/>
                <w:szCs w:val="13"/>
                <w:b w:val="1"/>
                <w:bCs w:val="1"/>
                <w:color w:val="auto"/>
                <w:w w:val="95"/>
              </w:rPr>
              <w:t>MKC.V</w:t>
            </w:r>
          </w:p>
        </w:tc>
        <w:tc>
          <w:tcPr>
            <w:tcW w:w="140" w:type="dxa"/>
            <w:vAlign w:val="bottom"/>
          </w:tcPr>
          <w:p>
            <w:pPr>
              <w:spacing w:after="0"/>
              <w:rPr>
                <w:sz w:val="16"/>
                <w:szCs w:val="16"/>
                <w:color w:val="auto"/>
              </w:rPr>
            </w:pPr>
          </w:p>
        </w:tc>
        <w:tc>
          <w:tcPr>
            <w:tcW w:w="2200" w:type="dxa"/>
            <w:vAlign w:val="bottom"/>
          </w:tcPr>
          <w:p>
            <w:pPr>
              <w:ind w:left="240"/>
              <w:spacing w:after="0"/>
              <w:rPr>
                <w:sz w:val="20"/>
                <w:szCs w:val="20"/>
                <w:color w:val="auto"/>
              </w:rPr>
            </w:pPr>
            <w:r>
              <w:rPr>
                <w:rFonts w:ascii="Arial" w:cs="Arial" w:eastAsia="Arial" w:hAnsi="Arial"/>
                <w:sz w:val="13"/>
                <w:szCs w:val="13"/>
                <w:b w:val="1"/>
                <w:bCs w:val="1"/>
                <w:color w:val="auto"/>
              </w:rPr>
              <w:t>New York Stock Exchange</w:t>
            </w:r>
          </w:p>
        </w:tc>
      </w:tr>
      <w:tr>
        <w:trPr>
          <w:trHeight w:val="175"/>
        </w:trPr>
        <w:tc>
          <w:tcPr>
            <w:tcW w:w="4540" w:type="dxa"/>
            <w:vAlign w:val="bottom"/>
            <w:gridSpan w:val="6"/>
          </w:tcPr>
          <w:p>
            <w:pPr>
              <w:jc w:val="center"/>
              <w:ind w:right="937"/>
              <w:spacing w:after="0"/>
              <w:rPr>
                <w:sz w:val="20"/>
                <w:szCs w:val="20"/>
                <w:color w:val="auto"/>
              </w:rPr>
            </w:pPr>
            <w:r>
              <w:rPr>
                <w:rFonts w:ascii="Arial" w:cs="Arial" w:eastAsia="Arial" w:hAnsi="Arial"/>
                <w:sz w:val="13"/>
                <w:szCs w:val="13"/>
                <w:b w:val="1"/>
                <w:bCs w:val="1"/>
                <w:color w:val="auto"/>
                <w:w w:val="96"/>
              </w:rPr>
              <w:t>Common Stock Non-Voting, Par Value $0.01 per share</w:t>
            </w:r>
          </w:p>
        </w:tc>
        <w:tc>
          <w:tcPr>
            <w:tcW w:w="2540" w:type="dxa"/>
            <w:vAlign w:val="bottom"/>
            <w:gridSpan w:val="2"/>
          </w:tcPr>
          <w:p>
            <w:pPr>
              <w:jc w:val="center"/>
              <w:ind w:right="1620"/>
              <w:spacing w:after="0"/>
              <w:rPr>
                <w:sz w:val="20"/>
                <w:szCs w:val="20"/>
                <w:color w:val="auto"/>
              </w:rPr>
            </w:pPr>
            <w:r>
              <w:rPr>
                <w:rFonts w:ascii="Arial" w:cs="Arial" w:eastAsia="Arial" w:hAnsi="Arial"/>
                <w:sz w:val="13"/>
                <w:szCs w:val="13"/>
                <w:b w:val="1"/>
                <w:bCs w:val="1"/>
                <w:color w:val="auto"/>
                <w:w w:val="94"/>
              </w:rPr>
              <w:t>MKC</w:t>
            </w:r>
          </w:p>
        </w:tc>
        <w:tc>
          <w:tcPr>
            <w:tcW w:w="140" w:type="dxa"/>
            <w:vAlign w:val="bottom"/>
          </w:tcPr>
          <w:p>
            <w:pPr>
              <w:spacing w:after="0"/>
              <w:rPr>
                <w:sz w:val="15"/>
                <w:szCs w:val="15"/>
                <w:color w:val="auto"/>
              </w:rPr>
            </w:pPr>
          </w:p>
        </w:tc>
        <w:tc>
          <w:tcPr>
            <w:tcW w:w="2200" w:type="dxa"/>
            <w:vAlign w:val="bottom"/>
          </w:tcPr>
          <w:p>
            <w:pPr>
              <w:ind w:left="240"/>
              <w:spacing w:after="0"/>
              <w:rPr>
                <w:sz w:val="20"/>
                <w:szCs w:val="20"/>
                <w:color w:val="auto"/>
              </w:rPr>
            </w:pPr>
            <w:r>
              <w:rPr>
                <w:rFonts w:ascii="Arial" w:cs="Arial" w:eastAsia="Arial" w:hAnsi="Arial"/>
                <w:sz w:val="13"/>
                <w:szCs w:val="13"/>
                <w:b w:val="1"/>
                <w:bCs w:val="1"/>
                <w:color w:val="auto"/>
              </w:rPr>
              <w:t>New York Stock Exchange</w:t>
            </w:r>
          </w:p>
        </w:tc>
      </w:tr>
    </w:tbl>
    <w:p>
      <w:pPr>
        <w:spacing w:after="0" w:line="71"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Securities registered pursuant to Section 12(g) of the Act: 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27940</wp:posOffset>
            </wp:positionV>
            <wp:extent cx="27774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186" w:lineRule="exact"/>
        <w:rPr>
          <w:sz w:val="24"/>
          <w:szCs w:val="24"/>
          <w:color w:val="auto"/>
        </w:rPr>
      </w:pPr>
    </w:p>
    <w:p>
      <w:pPr>
        <w:ind w:right="2720"/>
        <w:spacing w:after="0" w:line="263"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ind w:right="100"/>
        <w:spacing w:after="0" w:line="25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61" w:lineRule="exact"/>
        <w:tabs>
          <w:tab w:leader="none" w:pos="480" w:val="left"/>
        </w:tabs>
        <w:rPr>
          <w:sz w:val="20"/>
          <w:szCs w:val="20"/>
          <w:color w:val="auto"/>
        </w:rPr>
      </w:pPr>
      <w:r>
        <w:rPr>
          <w:rFonts w:ascii="Arial" w:cs="Arial" w:eastAsia="Arial" w:hAnsi="Arial"/>
          <w:sz w:val="14"/>
          <w:szCs w:val="14"/>
          <w:color w:val="auto"/>
        </w:rPr>
        <w:t>days.</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2" w:lineRule="exact"/>
        <w:rPr>
          <w:sz w:val="24"/>
          <w:szCs w:val="24"/>
          <w:color w:val="auto"/>
        </w:rPr>
      </w:pPr>
    </w:p>
    <w:p>
      <w:pPr>
        <w:spacing w:after="0" w:line="19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ind w:right="300"/>
        <w:spacing w:after="0" w:line="28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or emerging growth company. See the definitions of “large accelerated filer,” “accelerated filer,” “smaller reporting company” and "emerging growth company" in Rule 12b-2 of the Exchange Act.</w:t>
      </w:r>
    </w:p>
    <w:p>
      <w:pPr>
        <w:spacing w:after="0" w:line="315"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17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42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3360" w:type="dxa"/>
            <w:vAlign w:val="bottom"/>
          </w:tcPr>
          <w:p>
            <w:pPr>
              <w:spacing w:after="0"/>
              <w:rPr>
                <w:sz w:val="17"/>
                <w:szCs w:val="17"/>
                <w:color w:val="auto"/>
              </w:rPr>
            </w:pPr>
          </w:p>
        </w:tc>
        <w:tc>
          <w:tcPr>
            <w:tcW w:w="2520" w:type="dxa"/>
            <w:vAlign w:val="bottom"/>
          </w:tcPr>
          <w:p>
            <w:pPr>
              <w:ind w:left="400"/>
              <w:spacing w:after="0"/>
              <w:rPr>
                <w:sz w:val="20"/>
                <w:szCs w:val="20"/>
                <w:color w:val="auto"/>
              </w:rPr>
            </w:pPr>
            <w:r>
              <w:rPr>
                <w:rFonts w:ascii="Arial" w:cs="Arial" w:eastAsia="Arial" w:hAnsi="Arial"/>
                <w:sz w:val="14"/>
                <w:szCs w:val="14"/>
                <w:color w:val="auto"/>
              </w:rPr>
              <w:t>Accelerated Filer</w:t>
            </w:r>
          </w:p>
        </w:tc>
        <w:tc>
          <w:tcPr>
            <w:tcW w:w="4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1720" w:type="dxa"/>
            <w:vAlign w:val="bottom"/>
          </w:tcPr>
          <w:p>
            <w:pPr>
              <w:spacing w:after="0"/>
              <w:rPr>
                <w:sz w:val="20"/>
                <w:szCs w:val="20"/>
                <w:color w:val="auto"/>
              </w:rPr>
            </w:pPr>
            <w:r>
              <w:rPr>
                <w:rFonts w:ascii="Arial" w:cs="Arial" w:eastAsia="Arial" w:hAnsi="Arial"/>
                <w:sz w:val="14"/>
                <w:szCs w:val="14"/>
                <w:color w:val="auto"/>
              </w:rPr>
              <w:t>Non-accelerated Filer</w:t>
            </w:r>
          </w:p>
        </w:tc>
        <w:tc>
          <w:tcPr>
            <w:tcW w:w="42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3360" w:type="dxa"/>
            <w:vAlign w:val="bottom"/>
          </w:tcPr>
          <w:p>
            <w:pPr>
              <w:ind w:left="80"/>
              <w:spacing w:after="0"/>
              <w:rPr>
                <w:sz w:val="20"/>
                <w:szCs w:val="20"/>
                <w:color w:val="auto"/>
              </w:rPr>
            </w:pPr>
            <w:r>
              <w:rPr>
                <w:rFonts w:ascii="Arial" w:cs="Arial" w:eastAsia="Arial" w:hAnsi="Arial"/>
                <w:sz w:val="14"/>
                <w:szCs w:val="14"/>
                <w:color w:val="auto"/>
              </w:rPr>
              <w:t>(Do not check if a smaller reporting company)</w:t>
            </w:r>
          </w:p>
        </w:tc>
        <w:tc>
          <w:tcPr>
            <w:tcW w:w="2520" w:type="dxa"/>
            <w:vAlign w:val="bottom"/>
          </w:tcPr>
          <w:p>
            <w:pPr>
              <w:ind w:left="400"/>
              <w:spacing w:after="0"/>
              <w:rPr>
                <w:sz w:val="20"/>
                <w:szCs w:val="20"/>
                <w:color w:val="auto"/>
              </w:rPr>
            </w:pPr>
            <w:r>
              <w:rPr>
                <w:rFonts w:ascii="Arial" w:cs="Arial" w:eastAsia="Arial" w:hAnsi="Arial"/>
                <w:sz w:val="14"/>
                <w:szCs w:val="14"/>
                <w:color w:val="auto"/>
              </w:rPr>
              <w:t>Smaller Reporting Company</w:t>
            </w:r>
          </w:p>
        </w:tc>
        <w:tc>
          <w:tcPr>
            <w:tcW w:w="4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1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2520" w:type="dxa"/>
            <w:vAlign w:val="bottom"/>
          </w:tcPr>
          <w:p>
            <w:pPr>
              <w:ind w:left="400"/>
              <w:spacing w:after="0"/>
              <w:rPr>
                <w:sz w:val="20"/>
                <w:szCs w:val="20"/>
                <w:color w:val="auto"/>
              </w:rPr>
            </w:pPr>
            <w:r>
              <w:rPr>
                <w:rFonts w:ascii="Arial" w:cs="Arial" w:eastAsia="Arial" w:hAnsi="Arial"/>
                <w:sz w:val="14"/>
                <w:szCs w:val="14"/>
                <w:color w:val="auto"/>
              </w:rPr>
              <w:t>Emerging Growth Company</w:t>
            </w:r>
          </w:p>
        </w:tc>
        <w:tc>
          <w:tcPr>
            <w:tcW w:w="4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27" w:lineRule="exact"/>
        <w:rPr>
          <w:sz w:val="24"/>
          <w:szCs w:val="24"/>
          <w:color w:val="auto"/>
        </w:rPr>
      </w:pPr>
    </w:p>
    <w:p>
      <w:pPr>
        <w:ind w:right="300"/>
        <w:spacing w:after="0" w:line="19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74" w:lineRule="exact"/>
        <w:rPr>
          <w:sz w:val="24"/>
          <w:szCs w:val="24"/>
          <w:color w:val="auto"/>
        </w:rPr>
      </w:pPr>
    </w:p>
    <w:p>
      <w:pPr>
        <w:ind w:right="200"/>
        <w:spacing w:after="0" w:line="186" w:lineRule="exact"/>
        <w:rPr>
          <w:sz w:val="20"/>
          <w:szCs w:val="20"/>
          <w:color w:val="auto"/>
        </w:rPr>
      </w:pPr>
      <w:r>
        <w:rPr>
          <w:rFonts w:ascii="Arial" w:cs="Arial" w:eastAsia="Arial" w:hAnsi="Arial"/>
          <w:sz w:val="14"/>
          <w:szCs w:val="14"/>
          <w:color w:val="auto"/>
        </w:rPr>
        <w:t xml:space="preserve">Indicate by check mark if the registrant has filed a report on and attestation on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74" w:lineRule="exact"/>
        <w:rPr>
          <w:sz w:val="24"/>
          <w:szCs w:val="24"/>
          <w:color w:val="auto"/>
        </w:rPr>
      </w:pPr>
    </w:p>
    <w:p>
      <w:pPr>
        <w:ind w:right="620"/>
        <w:spacing w:after="0" w:line="193"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74" w:lineRule="exact"/>
        <w:rPr>
          <w:sz w:val="24"/>
          <w:szCs w:val="24"/>
          <w:color w:val="auto"/>
        </w:rPr>
      </w:pPr>
    </w:p>
    <w:p>
      <w:pPr>
        <w:ind w:right="460"/>
        <w:spacing w:after="0" w:line="186"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43" w:lineRule="exact"/>
        <w:rPr>
          <w:sz w:val="24"/>
          <w:szCs w:val="24"/>
          <w:color w:val="auto"/>
        </w:rPr>
      </w:pPr>
    </w:p>
    <w:p>
      <w:pPr>
        <w:spacing w:after="0" w:line="161" w:lineRule="exact"/>
        <w:tabs>
          <w:tab w:leader="none" w:pos="782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54" w:lineRule="exact"/>
        <w:rPr>
          <w:sz w:val="24"/>
          <w:szCs w:val="24"/>
          <w:color w:val="auto"/>
        </w:rPr>
      </w:pPr>
    </w:p>
    <w:p>
      <w:pPr>
        <w:ind w:right="280"/>
        <w:spacing w:after="0" w:line="305" w:lineRule="auto"/>
        <w:rPr>
          <w:sz w:val="20"/>
          <w:szCs w:val="20"/>
          <w:color w:val="auto"/>
        </w:rPr>
      </w:pPr>
      <w:r>
        <w:rPr>
          <w:rFonts w:ascii="Arial" w:cs="Arial" w:eastAsia="Arial" w:hAnsi="Arial"/>
          <w:sz w:val="14"/>
          <w:szCs w:val="14"/>
          <w:color w:val="auto"/>
        </w:rPr>
        <w:t>State the aggregate market value of the voting and non-voting common equity held by non-affiliates computed by reference to the price at which the common equity was last sold, or the average bid and asked prices of such common equity, as of the last business day of the registrant’s most recently completed second fiscal quarter.</w:t>
      </w:r>
    </w:p>
    <w:p>
      <w:pPr>
        <w:spacing w:after="0" w:line="50" w:lineRule="exact"/>
        <w:rPr>
          <w:sz w:val="24"/>
          <w:szCs w:val="24"/>
          <w:color w:val="auto"/>
        </w:rPr>
      </w:pPr>
    </w:p>
    <w:p>
      <w:pPr>
        <w:spacing w:after="0"/>
        <w:rPr>
          <w:sz w:val="20"/>
          <w:szCs w:val="20"/>
          <w:color w:val="auto"/>
        </w:rPr>
      </w:pPr>
      <w:r>
        <w:rPr>
          <w:rFonts w:ascii="Arial" w:cs="Arial" w:eastAsia="Arial" w:hAnsi="Arial"/>
          <w:sz w:val="14"/>
          <w:szCs w:val="14"/>
          <w:color w:val="auto"/>
        </w:rPr>
        <w:t>The aggregate market value of the Voting Common Stock held by non-affiliates at May 30, 2025: $1,099,419,345</w:t>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The aggregate market value of the Non-Voting Common Stock held by non-affiliates at May 30, 2025: $18,403,576,766</w:t>
      </w:r>
    </w:p>
    <w:p>
      <w:pPr>
        <w:spacing w:after="0" w:line="123" w:lineRule="exact"/>
        <w:rPr>
          <w:sz w:val="24"/>
          <w:szCs w:val="24"/>
          <w:color w:val="auto"/>
        </w:rPr>
      </w:pPr>
    </w:p>
    <w:p>
      <w:pPr>
        <w:spacing w:after="0"/>
        <w:rPr>
          <w:sz w:val="20"/>
          <w:szCs w:val="20"/>
          <w:color w:val="auto"/>
        </w:rPr>
      </w:pPr>
      <w:r>
        <w:rPr>
          <w:rFonts w:ascii="Arial" w:cs="Arial" w:eastAsia="Arial" w:hAnsi="Arial"/>
          <w:sz w:val="14"/>
          <w:szCs w:val="14"/>
          <w:color w:val="auto"/>
        </w:rPr>
        <w:t>Indicate the number of shares outstanding of each of the registrant’s classes of common stock, as of the latest practicable date.</w:t>
      </w:r>
    </w:p>
    <w:p>
      <w:pPr>
        <w:spacing w:after="0" w:line="46" w:lineRule="exact"/>
        <w:rPr>
          <w:sz w:val="24"/>
          <w:szCs w:val="24"/>
          <w:color w:val="auto"/>
        </w:rPr>
      </w:pPr>
    </w:p>
    <w:tbl>
      <w:tblPr>
        <w:tblLayout w:type="fixed"/>
        <w:tblInd w:w="1120" w:type="dxa"/>
        <w:tblCellMar>
          <w:top w:w="0" w:type="dxa"/>
          <w:left w:w="0" w:type="dxa"/>
          <w:bottom w:w="0" w:type="dxa"/>
          <w:right w:w="0" w:type="dxa"/>
        </w:tblCellMar>
      </w:tblPr>
      <w:tr>
        <w:trPr>
          <w:trHeight w:val="126"/>
        </w:trPr>
        <w:tc>
          <w:tcPr>
            <w:tcW w:w="600" w:type="dxa"/>
            <w:vAlign w:val="bottom"/>
          </w:tcPr>
          <w:p>
            <w:pPr>
              <w:spacing w:after="0"/>
              <w:rPr>
                <w:sz w:val="10"/>
                <w:szCs w:val="10"/>
                <w:color w:val="auto"/>
              </w:rPr>
            </w:pPr>
          </w:p>
        </w:tc>
        <w:tc>
          <w:tcPr>
            <w:tcW w:w="300" w:type="dxa"/>
            <w:vAlign w:val="bottom"/>
          </w:tcPr>
          <w:p>
            <w:pPr>
              <w:jc w:val="center"/>
              <w:spacing w:after="0"/>
              <w:rPr>
                <w:sz w:val="20"/>
                <w:szCs w:val="20"/>
                <w:color w:val="auto"/>
              </w:rPr>
            </w:pPr>
            <w:r>
              <w:rPr>
                <w:rFonts w:ascii="Arial" w:cs="Arial" w:eastAsia="Arial" w:hAnsi="Arial"/>
                <w:sz w:val="11"/>
                <w:szCs w:val="11"/>
                <w:b w:val="1"/>
                <w:bCs w:val="1"/>
                <w:color w:val="auto"/>
              </w:rPr>
              <w:t>Class</w:t>
            </w:r>
          </w:p>
        </w:tc>
        <w:tc>
          <w:tcPr>
            <w:tcW w:w="1800" w:type="dxa"/>
            <w:vAlign w:val="bottom"/>
            <w:gridSpan w:val="3"/>
          </w:tcPr>
          <w:p>
            <w:pPr>
              <w:spacing w:after="0"/>
              <w:rPr>
                <w:sz w:val="10"/>
                <w:szCs w:val="10"/>
                <w:color w:val="auto"/>
              </w:rPr>
            </w:pPr>
          </w:p>
        </w:tc>
        <w:tc>
          <w:tcPr>
            <w:tcW w:w="980" w:type="dxa"/>
            <w:vAlign w:val="bottom"/>
          </w:tcPr>
          <w:p>
            <w:pPr>
              <w:spacing w:after="0"/>
              <w:rPr>
                <w:sz w:val="10"/>
                <w:szCs w:val="10"/>
                <w:color w:val="auto"/>
              </w:rPr>
            </w:pPr>
          </w:p>
        </w:tc>
        <w:tc>
          <w:tcPr>
            <w:tcW w:w="2360" w:type="dxa"/>
            <w:vAlign w:val="bottom"/>
            <w:gridSpan w:val="2"/>
          </w:tcPr>
          <w:p>
            <w:pPr>
              <w:jc w:val="center"/>
              <w:ind w:right="760"/>
              <w:spacing w:after="0"/>
              <w:rPr>
                <w:sz w:val="20"/>
                <w:szCs w:val="20"/>
                <w:color w:val="auto"/>
              </w:rPr>
            </w:pPr>
            <w:r>
              <w:rPr>
                <w:rFonts w:ascii="Arial" w:cs="Arial" w:eastAsia="Arial" w:hAnsi="Arial"/>
                <w:sz w:val="11"/>
                <w:szCs w:val="11"/>
                <w:b w:val="1"/>
                <w:bCs w:val="1"/>
                <w:color w:val="auto"/>
                <w:w w:val="98"/>
              </w:rPr>
              <w:t>Number of Shares Outstanding</w:t>
            </w:r>
          </w:p>
        </w:tc>
        <w:tc>
          <w:tcPr>
            <w:tcW w:w="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440"/>
              <w:spacing w:after="0"/>
              <w:rPr>
                <w:sz w:val="20"/>
                <w:szCs w:val="20"/>
                <w:color w:val="auto"/>
              </w:rPr>
            </w:pPr>
            <w:r>
              <w:rPr>
                <w:rFonts w:ascii="Arial" w:cs="Arial" w:eastAsia="Arial" w:hAnsi="Arial"/>
                <w:sz w:val="11"/>
                <w:szCs w:val="11"/>
                <w:b w:val="1"/>
                <w:bCs w:val="1"/>
                <w:color w:val="auto"/>
              </w:rPr>
              <w:t>Date</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700" w:type="dxa"/>
            <w:vAlign w:val="bottom"/>
            <w:gridSpan w:val="5"/>
          </w:tcPr>
          <w:p>
            <w:pPr>
              <w:jc w:val="center"/>
              <w:ind w:right="1200"/>
              <w:spacing w:after="0"/>
              <w:rPr>
                <w:sz w:val="20"/>
                <w:szCs w:val="20"/>
                <w:color w:val="auto"/>
              </w:rPr>
            </w:pPr>
            <w:r>
              <w:rPr>
                <w:rFonts w:ascii="Arial" w:cs="Arial" w:eastAsia="Arial" w:hAnsi="Arial"/>
                <w:sz w:val="13"/>
                <w:szCs w:val="13"/>
                <w:color w:val="auto"/>
                <w:w w:val="96"/>
              </w:rPr>
              <w:t>Common Stock</w:t>
            </w:r>
          </w:p>
        </w:tc>
        <w:tc>
          <w:tcPr>
            <w:tcW w:w="2580" w:type="dxa"/>
            <w:vAlign w:val="bottom"/>
            <w:gridSpan w:val="2"/>
          </w:tcPr>
          <w:p>
            <w:pPr>
              <w:jc w:val="right"/>
              <w:ind w:right="426"/>
              <w:spacing w:after="0"/>
              <w:rPr>
                <w:sz w:val="20"/>
                <w:szCs w:val="20"/>
                <w:color w:val="auto"/>
              </w:rPr>
            </w:pPr>
            <w:r>
              <w:rPr>
                <w:rFonts w:ascii="Arial" w:cs="Arial" w:eastAsia="Arial" w:hAnsi="Arial"/>
                <w:sz w:val="13"/>
                <w:szCs w:val="13"/>
                <w:color w:val="auto"/>
              </w:rPr>
              <w:t>14,851,729</w:t>
            </w: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60" w:type="dxa"/>
            <w:vAlign w:val="bottom"/>
            <w:gridSpan w:val="4"/>
          </w:tcPr>
          <w:p>
            <w:pPr>
              <w:jc w:val="center"/>
              <w:ind w:left="1497"/>
              <w:spacing w:after="0"/>
              <w:rPr>
                <w:sz w:val="20"/>
                <w:szCs w:val="20"/>
                <w:color w:val="auto"/>
              </w:rPr>
            </w:pPr>
            <w:r>
              <w:rPr>
                <w:rFonts w:ascii="Arial" w:cs="Arial" w:eastAsia="Arial" w:hAnsi="Arial"/>
                <w:sz w:val="13"/>
                <w:szCs w:val="13"/>
                <w:color w:val="auto"/>
                <w:w w:val="96"/>
              </w:rPr>
              <w:t>December 31, 2025</w:t>
            </w:r>
          </w:p>
        </w:tc>
        <w:tc>
          <w:tcPr>
            <w:tcW w:w="0" w:type="dxa"/>
            <w:vAlign w:val="bottom"/>
          </w:tcPr>
          <w:p>
            <w:pPr>
              <w:spacing w:after="0"/>
              <w:rPr>
                <w:sz w:val="1"/>
                <w:szCs w:val="1"/>
                <w:color w:val="auto"/>
              </w:rPr>
            </w:pPr>
          </w:p>
        </w:tc>
      </w:tr>
      <w:tr>
        <w:trPr>
          <w:trHeight w:val="176"/>
        </w:trPr>
        <w:tc>
          <w:tcPr>
            <w:tcW w:w="2700" w:type="dxa"/>
            <w:vAlign w:val="bottom"/>
            <w:gridSpan w:val="5"/>
          </w:tcPr>
          <w:p>
            <w:pPr>
              <w:jc w:val="center"/>
              <w:ind w:right="1180"/>
              <w:spacing w:after="0"/>
              <w:rPr>
                <w:sz w:val="20"/>
                <w:szCs w:val="20"/>
                <w:color w:val="auto"/>
              </w:rPr>
            </w:pPr>
            <w:r>
              <w:rPr>
                <w:rFonts w:ascii="Arial" w:cs="Arial" w:eastAsia="Arial" w:hAnsi="Arial"/>
                <w:sz w:val="13"/>
                <w:szCs w:val="13"/>
                <w:color w:val="auto"/>
                <w:w w:val="96"/>
              </w:rPr>
              <w:t>Common Stock Non-Voting</w:t>
            </w:r>
          </w:p>
        </w:tc>
        <w:tc>
          <w:tcPr>
            <w:tcW w:w="2580" w:type="dxa"/>
            <w:vAlign w:val="bottom"/>
            <w:gridSpan w:val="2"/>
          </w:tcPr>
          <w:p>
            <w:pPr>
              <w:jc w:val="right"/>
              <w:ind w:right="386"/>
              <w:spacing w:after="0"/>
              <w:rPr>
                <w:sz w:val="20"/>
                <w:szCs w:val="20"/>
                <w:color w:val="auto"/>
              </w:rPr>
            </w:pPr>
            <w:r>
              <w:rPr>
                <w:rFonts w:ascii="Arial" w:cs="Arial" w:eastAsia="Arial" w:hAnsi="Arial"/>
                <w:sz w:val="13"/>
                <w:szCs w:val="13"/>
                <w:color w:val="auto"/>
              </w:rPr>
              <w:t>253,586,510</w:t>
            </w: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60" w:type="dxa"/>
            <w:vAlign w:val="bottom"/>
            <w:gridSpan w:val="4"/>
          </w:tcPr>
          <w:p>
            <w:pPr>
              <w:jc w:val="center"/>
              <w:ind w:left="1497"/>
              <w:spacing w:after="0"/>
              <w:rPr>
                <w:sz w:val="20"/>
                <w:szCs w:val="20"/>
                <w:color w:val="auto"/>
              </w:rPr>
            </w:pPr>
            <w:r>
              <w:rPr>
                <w:rFonts w:ascii="Arial" w:cs="Arial" w:eastAsia="Arial" w:hAnsi="Arial"/>
                <w:sz w:val="13"/>
                <w:szCs w:val="13"/>
                <w:color w:val="auto"/>
                <w:w w:val="96"/>
              </w:rPr>
              <w:t>December 31, 2025</w:t>
            </w:r>
          </w:p>
        </w:tc>
        <w:tc>
          <w:tcPr>
            <w:tcW w:w="0" w:type="dxa"/>
            <w:vAlign w:val="bottom"/>
          </w:tcPr>
          <w:p>
            <w:pPr>
              <w:spacing w:after="0"/>
              <w:rPr>
                <w:sz w:val="1"/>
                <w:szCs w:val="1"/>
                <w:color w:val="auto"/>
              </w:rPr>
            </w:pPr>
          </w:p>
        </w:tc>
      </w:tr>
      <w:tr>
        <w:trPr>
          <w:trHeight w:val="506"/>
        </w:trPr>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340" w:type="dxa"/>
            <w:vAlign w:val="bottom"/>
            <w:gridSpan w:val="3"/>
          </w:tcPr>
          <w:p>
            <w:pPr>
              <w:jc w:val="center"/>
              <w:ind w:left="197"/>
              <w:spacing w:after="0"/>
              <w:rPr>
                <w:sz w:val="20"/>
                <w:szCs w:val="20"/>
                <w:color w:val="auto"/>
              </w:rPr>
            </w:pPr>
            <w:r>
              <w:rPr>
                <w:rFonts w:ascii="Arial" w:cs="Arial" w:eastAsia="Arial" w:hAnsi="Arial"/>
                <w:sz w:val="13"/>
                <w:szCs w:val="13"/>
                <w:b w:val="1"/>
                <w:bCs w:val="1"/>
                <w:color w:val="auto"/>
                <w:w w:val="96"/>
              </w:rPr>
              <w:t>DOCUMENTS INCORPORATED BY REFERENCE</w:t>
            </w:r>
          </w:p>
        </w:tc>
        <w:tc>
          <w:tcPr>
            <w:tcW w:w="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jc w:val="center"/>
              <w:spacing w:after="0"/>
              <w:rPr>
                <w:sz w:val="20"/>
                <w:szCs w:val="20"/>
                <w:color w:val="auto"/>
              </w:rPr>
            </w:pPr>
            <w:r>
              <w:rPr>
                <w:rFonts w:ascii="Arial" w:cs="Arial" w:eastAsia="Arial" w:hAnsi="Arial"/>
                <w:sz w:val="11"/>
                <w:szCs w:val="11"/>
                <w:b w:val="1"/>
                <w:bCs w:val="1"/>
                <w:color w:val="auto"/>
              </w:rPr>
              <w:t>Document</w:t>
            </w:r>
          </w:p>
        </w:tc>
        <w:tc>
          <w:tcPr>
            <w:tcW w:w="9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740" w:type="dxa"/>
            <w:vAlign w:val="bottom"/>
            <w:gridSpan w:val="5"/>
          </w:tcPr>
          <w:p>
            <w:pPr>
              <w:jc w:val="center"/>
              <w:ind w:right="700"/>
              <w:spacing w:after="0"/>
              <w:rPr>
                <w:sz w:val="20"/>
                <w:szCs w:val="20"/>
                <w:color w:val="auto"/>
              </w:rPr>
            </w:pPr>
            <w:r>
              <w:rPr>
                <w:rFonts w:ascii="Arial" w:cs="Arial" w:eastAsia="Arial" w:hAnsi="Arial"/>
                <w:sz w:val="11"/>
                <w:szCs w:val="11"/>
                <w:b w:val="1"/>
                <w:bCs w:val="1"/>
                <w:color w:val="auto"/>
                <w:w w:val="98"/>
              </w:rPr>
              <w:t>Part of 10-K into Which Incorporated</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0" w:type="dxa"/>
            <w:vAlign w:val="bottom"/>
            <w:gridSpan w:val="3"/>
          </w:tcPr>
          <w:p>
            <w:pPr>
              <w:jc w:val="center"/>
              <w:ind w:right="700"/>
              <w:spacing w:after="0" w:line="142" w:lineRule="exact"/>
              <w:rPr>
                <w:sz w:val="20"/>
                <w:szCs w:val="20"/>
                <w:color w:val="auto"/>
              </w:rPr>
            </w:pPr>
            <w:r>
              <w:rPr>
                <w:rFonts w:ascii="Arial" w:cs="Arial" w:eastAsia="Arial" w:hAnsi="Arial"/>
                <w:sz w:val="13"/>
                <w:szCs w:val="13"/>
                <w:color w:val="auto"/>
                <w:w w:val="95"/>
              </w:rPr>
              <w:t>Proxy Statement for</w:t>
            </w:r>
          </w:p>
        </w:tc>
        <w:tc>
          <w:tcPr>
            <w:tcW w:w="9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600" w:type="dxa"/>
            <w:vAlign w:val="bottom"/>
          </w:tcPr>
          <w:p>
            <w:pPr>
              <w:spacing w:after="0"/>
              <w:rPr>
                <w:sz w:val="11"/>
                <w:szCs w:val="11"/>
                <w:color w:val="auto"/>
              </w:rPr>
            </w:pPr>
          </w:p>
        </w:tc>
        <w:tc>
          <w:tcPr>
            <w:tcW w:w="2100" w:type="dxa"/>
            <w:vAlign w:val="bottom"/>
            <w:gridSpan w:val="4"/>
          </w:tcPr>
          <w:p>
            <w:pPr>
              <w:jc w:val="center"/>
              <w:ind w:right="400"/>
              <w:spacing w:after="0" w:line="131" w:lineRule="exact"/>
              <w:rPr>
                <w:sz w:val="20"/>
                <w:szCs w:val="20"/>
                <w:color w:val="auto"/>
              </w:rPr>
            </w:pPr>
            <w:r>
              <w:rPr>
                <w:rFonts w:ascii="Arial" w:cs="Arial" w:eastAsia="Arial" w:hAnsi="Arial"/>
                <w:sz w:val="13"/>
                <w:szCs w:val="13"/>
                <w:color w:val="auto"/>
                <w:w w:val="96"/>
              </w:rPr>
              <w:t>McCormick’s March 25, 2026</w:t>
            </w:r>
          </w:p>
        </w:tc>
        <w:tc>
          <w:tcPr>
            <w:tcW w:w="9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700" w:type="dxa"/>
            <w:vAlign w:val="bottom"/>
            <w:gridSpan w:val="5"/>
          </w:tcPr>
          <w:p>
            <w:pPr>
              <w:jc w:val="center"/>
              <w:ind w:left="137"/>
              <w:spacing w:after="0" w:line="126" w:lineRule="exact"/>
              <w:rPr>
                <w:sz w:val="20"/>
                <w:szCs w:val="20"/>
                <w:color w:val="auto"/>
              </w:rPr>
            </w:pPr>
            <w:r>
              <w:rPr>
                <w:rFonts w:ascii="Arial" w:cs="Arial" w:eastAsia="Arial" w:hAnsi="Arial"/>
                <w:sz w:val="13"/>
                <w:szCs w:val="13"/>
                <w:color w:val="auto"/>
                <w:w w:val="96"/>
              </w:rPr>
              <w:t>Annual Meeting of Stockholders</w:t>
            </w:r>
          </w:p>
        </w:tc>
        <w:tc>
          <w:tcPr>
            <w:tcW w:w="9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60" w:type="dxa"/>
            <w:vAlign w:val="bottom"/>
            <w:gridSpan w:val="4"/>
            <w:vMerge w:val="restart"/>
          </w:tcPr>
          <w:p>
            <w:pPr>
              <w:jc w:val="center"/>
              <w:ind w:right="780"/>
              <w:spacing w:after="0"/>
              <w:rPr>
                <w:sz w:val="20"/>
                <w:szCs w:val="20"/>
                <w:color w:val="auto"/>
              </w:rPr>
            </w:pPr>
            <w:r>
              <w:rPr>
                <w:rFonts w:ascii="Arial" w:cs="Arial" w:eastAsia="Arial" w:hAnsi="Arial"/>
                <w:sz w:val="13"/>
                <w:szCs w:val="13"/>
                <w:color w:val="auto"/>
                <w:w w:val="93"/>
              </w:rPr>
              <w:t>Part III</w:t>
            </w:r>
          </w:p>
        </w:tc>
        <w:tc>
          <w:tcPr>
            <w:tcW w:w="0" w:type="dxa"/>
            <w:vAlign w:val="bottom"/>
          </w:tcPr>
          <w:p>
            <w:pPr>
              <w:spacing w:after="0"/>
              <w:rPr>
                <w:sz w:val="1"/>
                <w:szCs w:val="1"/>
                <w:color w:val="auto"/>
              </w:rPr>
            </w:pPr>
          </w:p>
        </w:tc>
      </w:tr>
      <w:tr>
        <w:trPr>
          <w:trHeight w:val="166"/>
        </w:trPr>
        <w:tc>
          <w:tcPr>
            <w:tcW w:w="600" w:type="dxa"/>
            <w:vAlign w:val="bottom"/>
          </w:tcPr>
          <w:p>
            <w:pPr>
              <w:spacing w:after="0"/>
              <w:rPr>
                <w:sz w:val="14"/>
                <w:szCs w:val="14"/>
                <w:color w:val="auto"/>
              </w:rPr>
            </w:pPr>
          </w:p>
        </w:tc>
        <w:tc>
          <w:tcPr>
            <w:tcW w:w="2100" w:type="dxa"/>
            <w:vAlign w:val="bottom"/>
            <w:gridSpan w:val="4"/>
          </w:tcPr>
          <w:p>
            <w:pPr>
              <w:jc w:val="center"/>
              <w:ind w:right="400"/>
              <w:spacing w:after="0"/>
              <w:rPr>
                <w:sz w:val="20"/>
                <w:szCs w:val="20"/>
                <w:color w:val="auto"/>
              </w:rPr>
            </w:pPr>
            <w:r>
              <w:rPr>
                <w:rFonts w:ascii="Arial" w:cs="Arial" w:eastAsia="Arial" w:hAnsi="Arial"/>
                <w:sz w:val="13"/>
                <w:szCs w:val="13"/>
                <w:color w:val="auto"/>
                <w:w w:val="96"/>
              </w:rPr>
              <w:t>(the “2026 Proxy Statement”)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976" w:orient="portrait"/>
          <w:cols w:equalWidth="0" w:num="1">
            <w:col w:w="11240"/>
          </w:cols>
          <w:pgMar w:left="320" w:top="1034"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976" w:orient="portrait"/>
          <w:cols w:equalWidth="0" w:num="1">
            <w:col w:w="11240"/>
          </w:cols>
          <w:pgMar w:left="320" w:top="1034" w:right="339" w:bottom="0" w:gutter="0" w:footer="0" w:header="0"/>
          <w:type w:val="continuous"/>
        </w:sectPr>
      </w:pPr>
    </w:p>
    <w:bookmarkStart w:id="1" w:name="page2"/>
    <w:bookmarkEnd w:id="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left="20"/>
        <w:spacing w:after="0"/>
        <w:rPr>
          <w:sz w:val="20"/>
          <w:szCs w:val="20"/>
          <w:color w:val="auto"/>
        </w:rPr>
      </w:pPr>
      <w:r>
        <w:rPr>
          <w:rFonts w:ascii="Arial" w:cs="Arial" w:eastAsia="Arial" w:hAnsi="Arial"/>
          <w:sz w:val="17"/>
          <w:szCs w:val="17"/>
          <w:b w:val="1"/>
          <w:bCs w:val="1"/>
          <w:color w:val="auto"/>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15175"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p>
      <w:pPr>
        <w:spacing w:after="0" w:line="358" w:lineRule="exact"/>
        <w:rPr>
          <w:sz w:val="20"/>
          <w:szCs w:val="20"/>
          <w:color w:val="auto"/>
        </w:rPr>
      </w:pPr>
    </w:p>
    <w:p>
      <w:pPr>
        <w:ind w:right="900"/>
        <w:spacing w:after="0" w:line="287" w:lineRule="auto"/>
        <w:rPr>
          <w:sz w:val="20"/>
          <w:szCs w:val="20"/>
          <w:color w:val="auto"/>
        </w:rPr>
      </w:pPr>
      <w:r>
        <w:rPr>
          <w:rFonts w:ascii="Arial" w:cs="Arial" w:eastAsia="Arial" w:hAnsi="Arial"/>
          <w:sz w:val="18"/>
          <w:szCs w:val="18"/>
          <w:color w:val="auto"/>
        </w:rPr>
        <w:t>As used herein, references to “McCormick,” “we,” “us,” and “our” are to McCormick &amp; Company, Incorporated and its consolidated subsidiaries or, as the context may require, McCormick &amp; Company, Incorporated only.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539B"/>
        </w:rPr>
        <w:t>ITEM 1. BUSINESS</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McCormick is a global leader in flavor. We manufacture, market, and distribute herbs, spices, seasoning mixes, condiments, and other flavorful products to the entire food and beverage industry: retailers, food manufacturers, and foodservice businesses. We also are partners in a number of joint ventures that are involved in the manufacture and sale of flavorful products, the most significant of which is McCormick de Mexico. Our major sales, distribution, and production facilities are located in North America, Europe, and China. Additional facilities are based in Australia, Central America, Thailand, and South Africa.</w:t>
      </w:r>
    </w:p>
    <w:p>
      <w:pPr>
        <w:spacing w:after="0" w:line="1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January 2, 2026, we completed the purchase of an additional 25% ownership interest in McCormick de Mexico. The purchase price was $750 million, which increased our ownership to a 75% controlling interest. We believe the acquisition creates opportunities for further growth in the Mexican market and provides a strategic platform for further expansion in Latin America. McCormick de Mexico is a prominent food company in Mexico, with a broad portfolio, including mayonnaise, spices, marmalades, mustard, hot sauce, and tea, sold under McCormick brands.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539B"/>
        </w:rPr>
        <w:t>Business Segments</w:t>
      </w:r>
    </w:p>
    <w:p>
      <w:pPr>
        <w:spacing w:after="0" w:line="25"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We operate in two business segments: Consumer and Flavor Solutions. Demand for flavor is growing globally, and across both segments, we have the customer base and product breadth to participate in all types of eating occasions. Our products deliver flavor when cooking at home, dining out, purchasing a quick service restaurant meal, or enjoying a snack. We offer our customers and consumers a range of products, extending from premium to value-priced, to meet the increasing demand for certain product attributes including clean-label, organic, natural, reduced sodium, gluten-free, and non-GMO (genetically modified organisms).</w:t>
      </w:r>
    </w:p>
    <w:p>
      <w:pPr>
        <w:spacing w:after="0" w:line="129" w:lineRule="exact"/>
        <w:rPr>
          <w:sz w:val="20"/>
          <w:szCs w:val="20"/>
          <w:color w:val="auto"/>
        </w:rPr>
      </w:pPr>
    </w:p>
    <w:p>
      <w:pPr>
        <w:jc w:val="both"/>
        <w:ind w:right="440"/>
        <w:spacing w:after="0" w:line="262" w:lineRule="auto"/>
        <w:rPr>
          <w:sz w:val="20"/>
          <w:szCs w:val="20"/>
          <w:color w:val="auto"/>
        </w:rPr>
      </w:pPr>
      <w:r>
        <w:rPr>
          <w:rFonts w:ascii="Arial" w:cs="Arial" w:eastAsia="Arial" w:hAnsi="Arial"/>
          <w:sz w:val="18"/>
          <w:szCs w:val="18"/>
          <w:color w:val="auto"/>
        </w:rPr>
        <w:t>Consistent with market conditions in each segment, our Consumer segment has a higher overall profit margin than our Flavor Solutions segment. In 2025, the Consumer segment contributed approximately 58% of consolidated net sales and 67% of consolidated operating income, and the Flavor Solutions segment contributed approximately 42% of consolidated net sales and 33% of consolidated operating income.</w:t>
      </w:r>
    </w:p>
    <w:p>
      <w:pPr>
        <w:spacing w:after="0" w:line="122" w:lineRule="exact"/>
        <w:rPr>
          <w:sz w:val="20"/>
          <w:szCs w:val="20"/>
          <w:color w:val="auto"/>
        </w:rPr>
      </w:pPr>
    </w:p>
    <w:p>
      <w:pPr>
        <w:ind w:right="20"/>
        <w:spacing w:after="0" w:line="216" w:lineRule="auto"/>
        <w:rPr>
          <w:sz w:val="20"/>
          <w:szCs w:val="20"/>
          <w:color w:val="auto"/>
        </w:rPr>
      </w:pPr>
      <w:r>
        <w:rPr>
          <w:rFonts w:ascii="Arial" w:cs="Arial" w:eastAsia="Arial" w:hAnsi="Arial"/>
          <w:sz w:val="18"/>
          <w:szCs w:val="18"/>
          <w:i w:val="1"/>
          <w:iCs w:val="1"/>
          <w:color w:val="00539B"/>
        </w:rPr>
        <w:t xml:space="preserve">Consumer Segment. </w:t>
      </w:r>
      <w:r>
        <w:rPr>
          <w:rFonts w:ascii="Arial" w:cs="Arial" w:eastAsia="Arial" w:hAnsi="Arial"/>
          <w:sz w:val="18"/>
          <w:szCs w:val="18"/>
          <w:color w:val="000000"/>
        </w:rPr>
        <w:t>From locations around the world, our brands reach consumers in approximately 150 countries and territories. Our</w:t>
      </w:r>
      <w:r>
        <w:rPr>
          <w:rFonts w:ascii="Arial" w:cs="Arial" w:eastAsia="Arial" w:hAnsi="Arial"/>
          <w:sz w:val="18"/>
          <w:szCs w:val="18"/>
          <w:i w:val="1"/>
          <w:iCs w:val="1"/>
          <w:color w:val="00539B"/>
        </w:rPr>
        <w:t xml:space="preserve"> </w:t>
      </w:r>
      <w:r>
        <w:rPr>
          <w:rFonts w:ascii="Arial" w:cs="Arial" w:eastAsia="Arial" w:hAnsi="Arial"/>
          <w:sz w:val="18"/>
          <w:szCs w:val="18"/>
          <w:color w:val="000000"/>
        </w:rPr>
        <w:t>leading brands in the Americas include McCormick</w:t>
      </w:r>
      <w:r>
        <w:rPr>
          <w:rFonts w:ascii="Arial" w:cs="Arial" w:eastAsia="Arial" w:hAnsi="Arial"/>
          <w:sz w:val="23"/>
          <w:szCs w:val="23"/>
          <w:color w:val="000000"/>
          <w:vertAlign w:val="superscript"/>
        </w:rPr>
        <w:t>®</w:t>
      </w:r>
      <w:r>
        <w:rPr>
          <w:rFonts w:ascii="Arial" w:cs="Arial" w:eastAsia="Arial" w:hAnsi="Arial"/>
          <w:sz w:val="18"/>
          <w:szCs w:val="18"/>
          <w:color w:val="000000"/>
        </w:rPr>
        <w:t>, French’s</w:t>
      </w:r>
      <w:r>
        <w:rPr>
          <w:rFonts w:ascii="Arial" w:cs="Arial" w:eastAsia="Arial" w:hAnsi="Arial"/>
          <w:sz w:val="23"/>
          <w:szCs w:val="23"/>
          <w:color w:val="000000"/>
          <w:vertAlign w:val="superscript"/>
        </w:rPr>
        <w:t>®</w:t>
      </w:r>
      <w:r>
        <w:rPr>
          <w:rFonts w:ascii="Arial" w:cs="Arial" w:eastAsia="Arial" w:hAnsi="Arial"/>
          <w:sz w:val="18"/>
          <w:szCs w:val="18"/>
          <w:color w:val="000000"/>
        </w:rPr>
        <w:t>, Frank’s RedHot</w:t>
      </w:r>
      <w:r>
        <w:rPr>
          <w:rFonts w:ascii="Arial" w:cs="Arial" w:eastAsia="Arial" w:hAnsi="Arial"/>
          <w:sz w:val="23"/>
          <w:szCs w:val="23"/>
          <w:color w:val="000000"/>
          <w:vertAlign w:val="superscript"/>
        </w:rPr>
        <w:t>®</w:t>
      </w:r>
      <w:r>
        <w:rPr>
          <w:rFonts w:ascii="Arial" w:cs="Arial" w:eastAsia="Arial" w:hAnsi="Arial"/>
          <w:sz w:val="18"/>
          <w:szCs w:val="18"/>
          <w:color w:val="000000"/>
        </w:rPr>
        <w:t>, Lawry’s</w:t>
      </w:r>
      <w:r>
        <w:rPr>
          <w:rFonts w:ascii="Arial" w:cs="Arial" w:eastAsia="Arial" w:hAnsi="Arial"/>
          <w:sz w:val="23"/>
          <w:szCs w:val="23"/>
          <w:color w:val="000000"/>
          <w:vertAlign w:val="superscript"/>
        </w:rPr>
        <w:t>®</w:t>
      </w:r>
      <w:r>
        <w:rPr>
          <w:rFonts w:ascii="Arial" w:cs="Arial" w:eastAsia="Arial" w:hAnsi="Arial"/>
          <w:sz w:val="18"/>
          <w:szCs w:val="18"/>
          <w:color w:val="000000"/>
        </w:rPr>
        <w:t>, Cholula</w:t>
      </w:r>
      <w:r>
        <w:rPr>
          <w:rFonts w:ascii="Arial" w:cs="Arial" w:eastAsia="Arial" w:hAnsi="Arial"/>
          <w:sz w:val="23"/>
          <w:szCs w:val="23"/>
          <w:color w:val="000000"/>
          <w:vertAlign w:val="superscript"/>
        </w:rPr>
        <w:t>®</w:t>
      </w:r>
      <w:r>
        <w:rPr>
          <w:rFonts w:ascii="Arial" w:cs="Arial" w:eastAsia="Arial" w:hAnsi="Arial"/>
          <w:sz w:val="18"/>
          <w:szCs w:val="18"/>
          <w:color w:val="000000"/>
        </w:rPr>
        <w:t>, and Club House</w:t>
      </w:r>
      <w:r>
        <w:rPr>
          <w:rFonts w:ascii="Arial" w:cs="Arial" w:eastAsia="Arial" w:hAnsi="Arial"/>
          <w:sz w:val="23"/>
          <w:szCs w:val="23"/>
          <w:color w:val="000000"/>
          <w:vertAlign w:val="superscript"/>
        </w:rPr>
        <w:t>®</w:t>
      </w:r>
      <w:r>
        <w:rPr>
          <w:rFonts w:ascii="Arial" w:cs="Arial" w:eastAsia="Arial" w:hAnsi="Arial"/>
          <w:sz w:val="18"/>
          <w:szCs w:val="18"/>
          <w:color w:val="000000"/>
        </w:rPr>
        <w:t>, as well as brands such as Gourmet Garden</w:t>
      </w:r>
      <w:r>
        <w:rPr>
          <w:rFonts w:ascii="Arial" w:cs="Arial" w:eastAsia="Arial" w:hAnsi="Arial"/>
          <w:sz w:val="23"/>
          <w:szCs w:val="23"/>
          <w:color w:val="000000"/>
          <w:vertAlign w:val="superscript"/>
        </w:rPr>
        <w:t>®</w:t>
      </w:r>
      <w:r>
        <w:rPr>
          <w:rFonts w:ascii="Arial" w:cs="Arial" w:eastAsia="Arial" w:hAnsi="Arial"/>
          <w:sz w:val="18"/>
          <w:szCs w:val="18"/>
          <w:color w:val="000000"/>
        </w:rPr>
        <w:t xml:space="preserve"> and OLD BAY</w:t>
      </w:r>
      <w:r>
        <w:rPr>
          <w:rFonts w:ascii="Arial" w:cs="Arial" w:eastAsia="Arial" w:hAnsi="Arial"/>
          <w:sz w:val="23"/>
          <w:szCs w:val="23"/>
          <w:color w:val="000000"/>
          <w:vertAlign w:val="superscript"/>
        </w:rPr>
        <w:t>®</w:t>
      </w:r>
      <w:r>
        <w:rPr>
          <w:rFonts w:ascii="Arial" w:cs="Arial" w:eastAsia="Arial" w:hAnsi="Arial"/>
          <w:sz w:val="18"/>
          <w:szCs w:val="18"/>
          <w:color w:val="000000"/>
        </w:rPr>
        <w:t>. We also market authentic regional brands such as Zatarain’s</w:t>
      </w:r>
      <w:r>
        <w:rPr>
          <w:rFonts w:ascii="Arial" w:cs="Arial" w:eastAsia="Arial" w:hAnsi="Arial"/>
          <w:sz w:val="23"/>
          <w:szCs w:val="23"/>
          <w:color w:val="000000"/>
          <w:vertAlign w:val="superscript"/>
        </w:rPr>
        <w:t>®</w:t>
      </w:r>
      <w:r>
        <w:rPr>
          <w:rFonts w:ascii="Arial" w:cs="Arial" w:eastAsia="Arial" w:hAnsi="Arial"/>
          <w:sz w:val="18"/>
          <w:szCs w:val="18"/>
          <w:color w:val="000000"/>
        </w:rPr>
        <w:t>, Stubb's</w:t>
      </w:r>
      <w:r>
        <w:rPr>
          <w:rFonts w:ascii="Arial" w:cs="Arial" w:eastAsia="Arial" w:hAnsi="Arial"/>
          <w:sz w:val="23"/>
          <w:szCs w:val="23"/>
          <w:color w:val="000000"/>
          <w:vertAlign w:val="superscript"/>
        </w:rPr>
        <w:t>®</w:t>
      </w:r>
      <w:r>
        <w:rPr>
          <w:rFonts w:ascii="Arial" w:cs="Arial" w:eastAsia="Arial" w:hAnsi="Arial"/>
          <w:sz w:val="18"/>
          <w:szCs w:val="18"/>
          <w:color w:val="000000"/>
        </w:rPr>
        <w:t>, Thai Kitchen</w:t>
      </w:r>
      <w:r>
        <w:rPr>
          <w:rFonts w:ascii="Arial" w:cs="Arial" w:eastAsia="Arial" w:hAnsi="Arial"/>
          <w:sz w:val="23"/>
          <w:szCs w:val="23"/>
          <w:color w:val="000000"/>
          <w:vertAlign w:val="superscript"/>
        </w:rPr>
        <w:t>®</w:t>
      </w:r>
      <w:r>
        <w:rPr>
          <w:rFonts w:ascii="Times New Roman" w:cs="Times New Roman" w:eastAsia="Times New Roman" w:hAnsi="Times New Roman"/>
          <w:sz w:val="18"/>
          <w:szCs w:val="18"/>
          <w:color w:val="000000"/>
        </w:rPr>
        <w:t>,</w:t>
      </w:r>
      <w:r>
        <w:rPr>
          <w:rFonts w:ascii="Arial" w:cs="Arial" w:eastAsia="Arial" w:hAnsi="Arial"/>
          <w:sz w:val="18"/>
          <w:szCs w:val="18"/>
          <w:color w:val="000000"/>
        </w:rPr>
        <w:t xml:space="preserve"> and Simply Asia</w:t>
      </w:r>
      <w:r>
        <w:rPr>
          <w:rFonts w:ascii="Arial" w:cs="Arial" w:eastAsia="Arial" w:hAnsi="Arial"/>
          <w:sz w:val="23"/>
          <w:szCs w:val="23"/>
          <w:color w:val="000000"/>
          <w:vertAlign w:val="superscript"/>
        </w:rPr>
        <w:t>®</w:t>
      </w:r>
      <w:r>
        <w:rPr>
          <w:rFonts w:ascii="Arial" w:cs="Arial" w:eastAsia="Arial" w:hAnsi="Arial"/>
          <w:sz w:val="18"/>
          <w:szCs w:val="18"/>
          <w:color w:val="000000"/>
        </w:rPr>
        <w:t>. In the Europe, Middle East, and Africa (EMEA) region, our major brands include the Ducros</w:t>
      </w:r>
      <w:r>
        <w:rPr>
          <w:rFonts w:ascii="Arial" w:cs="Arial" w:eastAsia="Arial" w:hAnsi="Arial"/>
          <w:sz w:val="23"/>
          <w:szCs w:val="23"/>
          <w:color w:val="000000"/>
          <w:vertAlign w:val="superscript"/>
        </w:rPr>
        <w:t>®</w:t>
      </w:r>
      <w:r>
        <w:rPr>
          <w:rFonts w:ascii="Arial" w:cs="Arial" w:eastAsia="Arial" w:hAnsi="Arial"/>
          <w:sz w:val="18"/>
          <w:szCs w:val="18"/>
          <w:color w:val="000000"/>
        </w:rPr>
        <w:t>, Schwartz</w:t>
      </w:r>
      <w:r>
        <w:rPr>
          <w:rFonts w:ascii="Arial" w:cs="Arial" w:eastAsia="Arial" w:hAnsi="Arial"/>
          <w:sz w:val="23"/>
          <w:szCs w:val="23"/>
          <w:color w:val="000000"/>
          <w:vertAlign w:val="superscript"/>
        </w:rPr>
        <w:t>®</w:t>
      </w:r>
      <w:r>
        <w:rPr>
          <w:rFonts w:ascii="Times New Roman" w:cs="Times New Roman" w:eastAsia="Times New Roman" w:hAnsi="Times New Roman"/>
          <w:sz w:val="18"/>
          <w:szCs w:val="18"/>
          <w:color w:val="000000"/>
        </w:rPr>
        <w:t>,</w:t>
      </w:r>
      <w:r>
        <w:rPr>
          <w:rFonts w:ascii="Arial" w:cs="Arial" w:eastAsia="Arial" w:hAnsi="Arial"/>
          <w:sz w:val="18"/>
          <w:szCs w:val="18"/>
          <w:color w:val="000000"/>
        </w:rPr>
        <w:t xml:space="preserve"> Kamis</w:t>
      </w:r>
      <w:r>
        <w:rPr>
          <w:rFonts w:ascii="Arial" w:cs="Arial" w:eastAsia="Arial" w:hAnsi="Arial"/>
          <w:sz w:val="23"/>
          <w:szCs w:val="23"/>
          <w:color w:val="000000"/>
          <w:vertAlign w:val="superscript"/>
        </w:rPr>
        <w:t>®</w:t>
      </w:r>
      <w:r>
        <w:rPr>
          <w:rFonts w:ascii="Arial" w:cs="Arial" w:eastAsia="Arial" w:hAnsi="Arial"/>
          <w:sz w:val="18"/>
          <w:szCs w:val="18"/>
          <w:color w:val="000000"/>
        </w:rPr>
        <w:t>, and La Drogheria</w:t>
      </w:r>
      <w:r>
        <w:rPr>
          <w:rFonts w:ascii="Arial" w:cs="Arial" w:eastAsia="Arial" w:hAnsi="Arial"/>
          <w:sz w:val="23"/>
          <w:szCs w:val="23"/>
          <w:color w:val="000000"/>
          <w:vertAlign w:val="superscript"/>
        </w:rPr>
        <w:t>®</w:t>
      </w:r>
      <w:r>
        <w:rPr>
          <w:rFonts w:ascii="Arial" w:cs="Arial" w:eastAsia="Arial" w:hAnsi="Arial"/>
          <w:sz w:val="18"/>
          <w:szCs w:val="18"/>
          <w:color w:val="000000"/>
        </w:rPr>
        <w:t xml:space="preserve"> brands of spices, herbs, and seasonings and an extensive line of Vahiné</w:t>
      </w:r>
      <w:r>
        <w:rPr>
          <w:rFonts w:ascii="Arial" w:cs="Arial" w:eastAsia="Arial" w:hAnsi="Arial"/>
          <w:sz w:val="23"/>
          <w:szCs w:val="23"/>
          <w:color w:val="000000"/>
          <w:vertAlign w:val="superscript"/>
        </w:rPr>
        <w:t>®</w:t>
      </w:r>
      <w:r>
        <w:rPr>
          <w:rFonts w:ascii="Arial" w:cs="Arial" w:eastAsia="Arial" w:hAnsi="Arial"/>
          <w:sz w:val="18"/>
          <w:szCs w:val="18"/>
          <w:color w:val="000000"/>
        </w:rPr>
        <w:t xml:space="preserve"> brand dessert items. In the Asia/Pacific (APAC) region, we market our spices and seasonings under the McCormick brand, DaQiao</w:t>
      </w:r>
      <w:r>
        <w:rPr>
          <w:rFonts w:ascii="Arial" w:cs="Arial" w:eastAsia="Arial" w:hAnsi="Arial"/>
          <w:sz w:val="23"/>
          <w:szCs w:val="23"/>
          <w:color w:val="000000"/>
          <w:vertAlign w:val="superscript"/>
        </w:rPr>
        <w:t>®</w:t>
      </w:r>
      <w:r>
        <w:rPr>
          <w:rFonts w:ascii="Arial" w:cs="Arial" w:eastAsia="Arial" w:hAnsi="Arial"/>
          <w:sz w:val="18"/>
          <w:szCs w:val="18"/>
          <w:color w:val="000000"/>
        </w:rPr>
        <w:t>, as well as other brands, our dessert products under the Aeroplane</w:t>
      </w:r>
      <w:r>
        <w:rPr>
          <w:rFonts w:ascii="Arial" w:cs="Arial" w:eastAsia="Arial" w:hAnsi="Arial"/>
          <w:sz w:val="23"/>
          <w:szCs w:val="23"/>
          <w:color w:val="000000"/>
          <w:vertAlign w:val="superscript"/>
        </w:rPr>
        <w:t>®</w:t>
      </w:r>
      <w:r>
        <w:rPr>
          <w:rFonts w:ascii="Arial" w:cs="Arial" w:eastAsia="Arial" w:hAnsi="Arial"/>
          <w:sz w:val="18"/>
          <w:szCs w:val="18"/>
          <w:color w:val="000000"/>
        </w:rPr>
        <w:t xml:space="preserve"> brand, and packaged chilled herbs under the Gourmet Garden</w:t>
      </w:r>
      <w:r>
        <w:rPr>
          <w:rFonts w:ascii="Arial" w:cs="Arial" w:eastAsia="Arial" w:hAnsi="Arial"/>
          <w:sz w:val="23"/>
          <w:szCs w:val="23"/>
          <w:color w:val="000000"/>
          <w:vertAlign w:val="superscript"/>
        </w:rPr>
        <w:t>®</w:t>
      </w:r>
      <w:r>
        <w:rPr>
          <w:rFonts w:ascii="Arial" w:cs="Arial" w:eastAsia="Arial" w:hAnsi="Arial"/>
          <w:sz w:val="18"/>
          <w:szCs w:val="18"/>
          <w:color w:val="000000"/>
        </w:rPr>
        <w:t xml:space="preserve"> brand.</w:t>
      </w:r>
    </w:p>
    <w:p>
      <w:pPr>
        <w:spacing w:after="0" w:line="10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Approximately two-thirds of our Consumer segment sales are spices and seasonings and condiments and sauces. Within the spices and seasoning category, we are the brand leader globally and a category leader in our key markets. In the condiments and sauces category, we are one of the brand leaders globally and in the U.S. There are numerous competitive brands of spices and seasonings and condiments and sauces in the U.S., as well as additional brands in international markets. Some are owned by large food manufacturers, while others are supplied by small privately-owned companies. In this competitive environment, we are leading with innovation and brand marketing, applying our analytical tools to help customers optimize the profitability of their sales of these categories, while simultaneously working to increase our own sales and profit.</w:t>
      </w:r>
    </w:p>
    <w:p>
      <w:pPr>
        <w:spacing w:after="0" w:line="124"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Our customers span a variety of retailers that include grocery, mass merchandise, warehouse clubs, discount and drug stores, and e-commerce retailers, served directly and indirectly through distributors or wholesalers. In addition to marketing our branded products to these customers, we are a leading supplier of private label items, also known as store brands. In our businesses in China, foodservice sales are managed by and reported in our Consumer segment.</w:t>
      </w:r>
    </w:p>
    <w:p>
      <w:pPr>
        <w:spacing w:after="0" w:line="12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i w:val="1"/>
          <w:iCs w:val="1"/>
          <w:color w:val="00539B"/>
        </w:rPr>
        <w:t xml:space="preserve">Flavor Solutions Segment. </w:t>
      </w:r>
      <w:r>
        <w:rPr>
          <w:rFonts w:ascii="Arial" w:cs="Arial" w:eastAsia="Arial" w:hAnsi="Arial"/>
          <w:sz w:val="18"/>
          <w:szCs w:val="18"/>
          <w:color w:val="000000"/>
        </w:rPr>
        <w:t>In our Flavor Solutions segment, we provide a wide range of products to multinational food manufacturers and</w:t>
      </w:r>
      <w:r>
        <w:rPr>
          <w:rFonts w:ascii="Arial" w:cs="Arial" w:eastAsia="Arial" w:hAnsi="Arial"/>
          <w:sz w:val="18"/>
          <w:szCs w:val="18"/>
          <w:i w:val="1"/>
          <w:iCs w:val="1"/>
          <w:color w:val="00539B"/>
        </w:rPr>
        <w:t xml:space="preserve"> </w:t>
      </w:r>
      <w:r>
        <w:rPr>
          <w:rFonts w:ascii="Arial" w:cs="Arial" w:eastAsia="Arial" w:hAnsi="Arial"/>
          <w:sz w:val="18"/>
          <w:szCs w:val="18"/>
          <w:color w:val="000000"/>
        </w:rPr>
        <w:t>foodservice customers. The foodservice customers are supplied with branded, packaged products both directly by us and indirectly through distributors, with the exception of our businesses in China, where</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type w:val="continuous"/>
        </w:sectPr>
      </w:pPr>
    </w:p>
    <w:bookmarkStart w:id="3" w:name="page4"/>
    <w:bookmarkEnd w:id="3"/>
    <w:p>
      <w:pPr>
        <w:spacing w:after="0" w:line="257" w:lineRule="auto"/>
        <w:rPr>
          <w:sz w:val="20"/>
          <w:szCs w:val="20"/>
          <w:color w:val="auto"/>
        </w:rPr>
      </w:pPr>
      <w:r>
        <w:rPr>
          <w:rFonts w:ascii="Arial" w:cs="Arial" w:eastAsia="Arial" w:hAnsi="Arial"/>
          <w:sz w:val="18"/>
          <w:szCs w:val="18"/>
          <w:color w:val="auto"/>
        </w:rPr>
        <w:t>foodservice sales are managed by, and reported in, our Consumer segment. We supply food manufacturers and foodservice customers with customized Flavor Solutions, and many of these customer relationships have been active for decades. Our range of Flavor Solutions remains one of the broadest in the industry and includes seasoning blends, spices and herbs, condiments, coating systems, and compound flavors. In addition to a broad range of Flavor Solutions, our long-standing customer relationships are evidence of our effectiveness in building customer intimacy. Our customers benefit from our expertise in many areas, including sensory testing, culinary research, food safety, and flavor application.</w:t>
      </w:r>
    </w:p>
    <w:p>
      <w:pPr>
        <w:spacing w:after="0" w:line="128"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Our Flavor Solutions segment has a number of competitors. Some tend to specialize in a particular range of products and have a limited geographic reach. Other competitors include large publicly held flavor companies that are more global in nature and tend to focus on providing integrated solutions extending beyond flavor through the use of other functional and nutritional ingredients.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539B"/>
        </w:rPr>
        <w:t>Raw Materials</w:t>
      </w:r>
    </w:p>
    <w:p>
      <w:pPr>
        <w:spacing w:after="0" w:line="2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most significant raw materials used in our business are dairy products, pepper, garlic, onion, capsicums (red peppers and paprika), salt, tomato products, sugar, and soybean oil. Pepper, along with various spices and herbs, is generally sourced from countries outside the U.S. Raw materials such as dairy products, onion and soybean oil are primarily obtained locally, either within the U.S. or from our international locations. Because these raw materials are agricultural products, they are subject to fluctuations in market price and availability caused by weather, growing and harvesting conditions, market conditions, including inflationary cost increases and global trade policies, and other factors beyond our control.</w:t>
      </w:r>
    </w:p>
    <w:p>
      <w:pPr>
        <w:spacing w:after="0" w:line="13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respond to this volatility in a number of ways, including strategic raw material purchases, purchases of raw material for future delivery, customer price adjustments, and cost savings from our Comprehensive Continuous Improvement (CCI) program. There has been, and there could continue to be, a difference between the timing of when these customer price adjustments and cost savings impact our results of operations and when the impact of cost inflation occurs. Additionally, in some instances, the pricing actions we take have been impacted by price elasticity which unfavorably impacts our sales volume and mix.</w:t>
      </w:r>
    </w:p>
    <w:p>
      <w:pPr>
        <w:spacing w:after="0" w:line="1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addition, we rely on third-party transportation providers to deliver raw materials and our products to our customers. There has been, and could continue to be, reduced availability of transportation capacity due to labor shortages and higher fuel costs, which have caused and may continue to cause an increase in transportation costs for us and our suppliers.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539B"/>
        </w:rPr>
        <w:t>Customers</w:t>
      </w:r>
    </w:p>
    <w:p>
      <w:pPr>
        <w:spacing w:after="0" w:line="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products are sold directly to customers as well as through brokers, wholesalers, and distributors. In the Consumer segment, products are then sold to consumers under a number of brands through a variety of retail channels, including grocery, mass merchandise, warehouse clubs, discount and drug stores, and e-commerce. In the Flavor Solutions segment, products are used by food and beverage manufacturers as ingredients in their finished goods and by foodservice customers for menu items, as well as provided to their own customers for dine-in and take-out occasions, all to enhance the flavor of their foods. Customers in the Flavor Solutions segment include food manufacturers and the foodservice industry, supplied through a variety of channels, including directly and indirectly through distributors, wholesale foodservice suppliers, and e-commerce.</w:t>
      </w:r>
    </w:p>
    <w:p>
      <w:pPr>
        <w:spacing w:after="0" w:line="129"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have a large number of customers for our products. Sales to one of our Consumer segment customers, Wal-Mart Stores, Inc., accounted for consolidated sales of approximately 12% in 2025, 2024, and 2023. Sales to one of our Flavor Solutions segment customers, PepsiCo, Inc., accounted for consolidated sales of approximately 12% in 2025, and 13% in both 2024 and 2023. In 2025, 2024, and 2023, the top three customers in our Flavor Solutions segment represented 49% of our global Flavor Solutions sales.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539B"/>
        </w:rPr>
        <w:t>Trademarks, Licenses and Patents</w:t>
      </w:r>
    </w:p>
    <w:p>
      <w:pPr>
        <w:spacing w:after="0" w:line="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own a number of trademark registrations. Although in the aggregate these trademarks are material to our business, the loss of any one of those trademarks, with the exception of our “McCormick,” “French’s,” “Frank’s RedHot,” “Lawry’s,” “Zatarain’s,” “Cholula,” “Stubb's,” “Club House,” “Ducros,” “Schwartz,” “Vahiné,” "OLD BAY," "Simply Asia," "Thai Kitchen," “Kamis,” “La Drogheria,” "DaQiao," and "Gourmet Garden" trademarks, would not have a material adverse effect on our business. The “Mc – McCormick” trademark is extensively used in connection with the sale of our food products in the U.S. and certain non-U.S. markets. The terms of the trademark registrations are prescribed by law, and the registrations will be renewed as long as we deem them useful.</w:t>
      </w:r>
    </w:p>
    <w:p>
      <w:pPr>
        <w:spacing w:after="0" w:line="131"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We have entered into a number of license agreements authorizing the use of our trademarks by affiliated and non-affiliated entities. The loss of these license agreements would not have a material adverse effect on our business.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4" w:name="page5"/>
    <w:bookmarkEnd w:id="4"/>
    <w:p>
      <w:pPr>
        <w:ind w:right="580"/>
        <w:spacing w:after="0" w:line="287" w:lineRule="auto"/>
        <w:rPr>
          <w:sz w:val="20"/>
          <w:szCs w:val="20"/>
          <w:color w:val="auto"/>
        </w:rPr>
      </w:pPr>
      <w:r>
        <w:rPr>
          <w:rFonts w:ascii="Arial" w:cs="Arial" w:eastAsia="Arial" w:hAnsi="Arial"/>
          <w:sz w:val="18"/>
          <w:szCs w:val="18"/>
          <w:color w:val="auto"/>
        </w:rPr>
        <w:t>The term of the license agreements is generally two-to-three years or until such time as either party terminates the agreement. Those agreements with specific terms may be renewable upon agreement of the parties.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We also own various patents, none of which are individually material to our business.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539B"/>
        </w:rPr>
        <w:t>Seasonality</w:t>
      </w:r>
    </w:p>
    <w:p>
      <w:pPr>
        <w:spacing w:after="0" w:line="25"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color w:val="auto"/>
        </w:rPr>
        <w:t>Due to seasonal factors inherent in the business, our sales, operating income, and cash from operations are generally higher in the fourth quarter because of the holiday season. This seasonality reflects customer and consumer buying patterns, primarily in the Consumer segment.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539B"/>
        </w:rPr>
        <w:t>Working Capital</w:t>
      </w:r>
    </w:p>
    <w:p>
      <w:pPr>
        <w:spacing w:after="0" w:line="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order to meet increased demand for our consumer products during our fourth quarter, we usually build our inventories during the third quarter of the fiscal year. We generally finance working capital items (inventory and receivables) through short-term borrowings, which include the use of lines of credit and the issuance of commercial paper. For a description of our liquidity and capital resources, see Note 5 of the notes to our consolidated financial statements and the “Liquidity and Financial Condition” section of “Management’s Discussion and Analysis.”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539B"/>
        </w:rPr>
        <w:t>Competition</w:t>
      </w:r>
    </w:p>
    <w:p>
      <w:pPr>
        <w:spacing w:after="0" w:line="2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Each segment operates in highly competitive markets around the world. In this environment, our growth strategies include customer engagement and product innovation based on consumer insights. In the Consumer segment, we are building brand recognition and loyalty through advertising and promotions. In our Flavor Solutions segment, we differentiate ourselves through culinary and consumer-inspired flavor development, as well as the breadth of our product offering and customer engagement.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539B"/>
        </w:rPr>
        <w:t>Governmental Regulation</w:t>
      </w:r>
    </w:p>
    <w:p>
      <w:pPr>
        <w:spacing w:after="0" w:line="25"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We are subject to numerous laws and regulations around the world that apply to our global businesses. In the U.S., the safety, production, transportation, distribution, advertising, labeling, and sale of many of our products and their ingredients are subject to the Federal Food, Drug, and Cosmetic Act; the Food Safety Modernization Act; the Federal Trade Commission Act; state consumer protection laws; competition laws; anti-corruption laws; customs and trade laws; federal, state and local workplace health and safety laws; privacy laws; federal, state, and local environmental protection laws; and other federal, state, and local statutes and regulations. Outside the U.S., our business is subject to numerous similar statutes, laws, and regulatory requirements.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539B"/>
        </w:rPr>
        <w:t>Human Capital</w:t>
      </w:r>
    </w:p>
    <w:p>
      <w:pPr>
        <w:spacing w:after="0" w:line="25"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color w:val="auto"/>
        </w:rPr>
        <w:t>We believe in the power of people and that by working together, every employee is an integral part of driving our success. Our key human capital objective is to attract, develop, and retain the best talent and we employ various human resource programs in support of this objective.</w:t>
      </w:r>
    </w:p>
    <w:p>
      <w:pPr>
        <w:spacing w:after="0" w:line="12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Throughout our global business, we work to create ethical, safe, accessible, and supportive workplaces where all employees thrive and belong. We believe that unlocking the full potential of all employees through inclusion drives innovation, collaboration, and growth, and enhances our competitive advantage. Respect for human rights is central to our business and reflects our commitment to ethical conduct.</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are committed to the safety, health, and well-being of our employees. Our global safety programs focus on hazard prevention to ensure that all our employees have access to safe workplaces that allow them to succeed in their jobs. We offer total rewards programs that support the physical, emotional, and financial well being of our employees.</w:t>
      </w:r>
    </w:p>
    <w:p>
      <w:pPr>
        <w:spacing w:after="0" w:line="11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As of November 30, 2025, we had approximately 14,100 full-time employees worldwide. In the United States, approximately 400 employees are covered by a collective bargaining contract and at our subsidiaries outside the U.S., approximately 2,450 employees are covered by collective bargaining agreements or similar arrangements. We maintain positive and constructive employee relations and our operations have not been affected significantly by work stoppages.</w:t>
      </w:r>
    </w:p>
    <w:p>
      <w:pPr>
        <w:spacing w:after="0" w:line="12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Through our continuous listening strategy, we measure employee engagement and enablement, receiving valuable feedback from our employees on our work environment and culture. The results from these surveys are used to advance programs and processes to enhance employee engagement and improve the overall employee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52" w:right="3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00539B"/>
        </w:rPr>
        <w:t>Information about our Executive Officers</w:t>
      </w:r>
    </w:p>
    <w:p>
      <w:pPr>
        <w:spacing w:after="0" w:line="25" w:lineRule="exact"/>
        <w:rPr>
          <w:sz w:val="20"/>
          <w:szCs w:val="20"/>
          <w:color w:val="auto"/>
        </w:rPr>
      </w:pPr>
    </w:p>
    <w:p>
      <w:pPr>
        <w:ind w:right="320"/>
        <w:spacing w:after="0" w:line="266" w:lineRule="auto"/>
        <w:rPr>
          <w:sz w:val="20"/>
          <w:szCs w:val="20"/>
          <w:color w:val="auto"/>
        </w:rPr>
      </w:pPr>
      <w:r>
        <w:rPr>
          <w:rFonts w:ascii="Arial" w:cs="Arial" w:eastAsia="Arial" w:hAnsi="Arial"/>
          <w:sz w:val="18"/>
          <w:szCs w:val="18"/>
          <w:color w:val="auto"/>
        </w:rPr>
        <w:t>In addition to the executive officers indicated in the 2026 Proxy Statement incorporated by reference in Part III, Item 10 of this Report, the other executive officer of McCormick is Ana G. Sanchez.</w:t>
      </w:r>
    </w:p>
    <w:p>
      <w:pPr>
        <w:spacing w:after="0" w:line="117"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Ms. Sanchez is 51 years old and, during the last five years, has held the following positions with McCormick: February 2022 to present - President, EMEA; and February 2020 to January 2022 – Vice President Consumer, EMEA.</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539B"/>
        </w:rPr>
        <w:t>Operations Outside of the U.S.</w:t>
      </w:r>
    </w:p>
    <w:p>
      <w:pPr>
        <w:spacing w:after="0" w:line="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are subject in varying degrees to certain risks typically associated with a global business, such as local economic and market conditions, exchange rate fluctuations, and restrictions on investments, royalties, and dividends. In fiscal year 2025, approximately 39% of sales were from non-U.S. operations. For information on how we manage some of these risks, see the “Market Risk Sensitivity” section of “Management’s Discussion and Analysis.”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539B"/>
        </w:rPr>
        <w:t>Forward-Looking Information</w:t>
      </w:r>
    </w:p>
    <w:p>
      <w:pPr>
        <w:spacing w:after="0" w:line="2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Certain statements contained in this report, including statements concerning expected performance such as those relating to net sales, gross margin, earnings, cost savings, special charges including transaction and integration expenses, acquisitions, brand marketing support, volume and product mix, income tax expense, and the impact of foreign currency rates are “forward-looking statements” within the meaning of Section 21E of the Securities Exchange Act of 1934, as amended. These statements may be identified by the use of words such as “may,” “will,” “expect,” "should," "anticipate," "intend," “believe,” “plan,” and similar expressions. These statements may relate to: general economic and industry conditions, including consumer spending rates, recessions, interest rates, and availability of capital; expectations regarding sales growth potential in various geographies and markets, including the impact of brand marketing support, product innovation, and customer, channel, category, heat platform, and e-commerce expansion; the expected results of operations of businesses acquired, including the additional 25% ownership interest in McCormick de Mexico; expected trends in net sales, earnings performance, and other financial measures; the expected impact of pricing actions on the Company's results of operations, including our sales volume and mix as well as gross margins; the expected impact of the inflationary cost environment on our business; the anticipated effects of factors affecting our supply chain, including the availability and prices of commodities and other supply chain resources such as raw materials, packaging, labor, and transportation; the potential impact of trade policies, including tariffs; the impact of legal challenges to U.S tariffs; the expected impact of productivity improvements, including those associated with our CCI program and the Global Business Services operating model initiative; the ability to identify, attract, hire, retain, and develop qualified personnel and the next generation of leaders; the impact of ongoing or future geopolitical conflicts, including the potential for broader economic disruption; expected working capital improvements; the anticipated timing and costs of implementing our business transformation initiative, which includes the implementation of a global enterprise resource planning (ERP) system; the expected impact of accounting pronouncements; expectations regarding pension and postretirement plan contributions and anticipated charges associated with those plans; the holding period and market risks associated with financial instruments; the impact of foreign exchange fluctuations; the adequacy of internally generated funds and existing sources of liquidity, such as the availability of bank financing; the anticipated sufficiency of future cash flows to enable payments of interest, repayment of short- and long-term debt, working capital needs, planned capital expenditures, quarterly dividends, and our ability to obtain additional short- and long-term financing or issue additional debt securities; and expectations regarding purchasing shares of McCormick's common stock under the existing repurchase authorization.</w:t>
      </w:r>
    </w:p>
    <w:p>
      <w:pPr>
        <w:spacing w:after="0" w:line="13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These and other forward-looking statements are based on management’s current views and assumptions and involve risks and uncertainties that could significantly affect expected results. Results may be materially affected by factors such as: the Company's ability to drive revenue growth; the Company's ability to increase pricing to offset, or partially offset, inflationary pressures on the cost of our products; damage to the Company's reputation or brand name; loss of brand relevance; increased private label use; the Company's ability to offset cost pressures or business impacts related to trade policies, including tariffs; the Company's ability to drive productivity improvements, including those related to our CCI program and other streamlining actions; product quality, labeling, or safety concerns; negative publicity about our products; actions by, and the financial condition of, competitors and customers; the longevity of mutually beneficial relationships with our large customers; the ability to identify, interpret and react to changes in consumer preference and demand; business interruptions due to natural disasters, unexpected events or public health crises; issues affecting the Company's supply chain and procurement of raw materials, including fluctuations in the cost and availability of raw and packaging materials; labor shortage, turnover and labor cost increases; the impact of changing political and geopolitical conditions, including conflicts and the potential for broader economic disruption; government regulation, and changes in legal and regulatory requirements</w:t>
      </w: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4" w:right="359" w:bottom="1440" w:gutter="0" w:footer="0" w:header="0"/>
        </w:sectPr>
      </w:pPr>
    </w:p>
    <w:bookmarkStart w:id="6" w:name="page7"/>
    <w:bookmarkEnd w:id="6"/>
    <w:p>
      <w:pPr>
        <w:spacing w:after="0" w:line="253" w:lineRule="auto"/>
        <w:rPr>
          <w:sz w:val="20"/>
          <w:szCs w:val="20"/>
          <w:color w:val="auto"/>
        </w:rPr>
      </w:pPr>
      <w:r>
        <w:rPr>
          <w:rFonts w:ascii="Arial" w:cs="Arial" w:eastAsia="Arial" w:hAnsi="Arial"/>
          <w:sz w:val="18"/>
          <w:szCs w:val="18"/>
          <w:color w:val="auto"/>
        </w:rPr>
        <w:t>and enforcement practices; the lack of successful acquisition and integration of new businesses; global economic and financial conditions generally, availability of financing, interest and inflation rates, and the imposition of tariffs, quotas, trade barriers and other similar restrictions; foreign currency fluctuations; the effects of our amount of outstanding indebtedness and related level of debt service as well as the effects that such debt service may have on the Company's ability to borrow or the cost of any such additional borrowing, our credit rating, and our ability to react to certain economic and industry conditions; impairments of indefinite-lived intangible assets; assumptions we have made regarding the investment return on retirement plan assets, and the costs associated with pension obligations; the stability of credit and capital markets; risks associated with the Company's information technology systems, including the threat of data breaches and cyber-attacks; the Company's inability to successfully implement our business transformation initiative; fundamental changes in tax laws; including interpretations and assumptions we have made, and guidance that may be issued, and volatility in our effective tax rate; climate change; Environmental, Social and Governance (ESG) matters; infringement of intellectual property rights, and those of customers; litigation, legal and administrative proceedings; the Company's inability to achieve expected and/or needed cost savings or margin improvements; negative employee relations; and other risks described herein under Part I, Item 1A "Risk Factors."</w:t>
      </w:r>
    </w:p>
    <w:p>
      <w:pPr>
        <w:spacing w:after="0" w:line="13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Actual results could differ materially from those projected in the forward-looking statements. We undertake no obligation to update or revise publicly any forward-looking statements, whether as a result of new information, future events or otherwise, except as may be required by law.</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539B"/>
        </w:rPr>
        <w:t>Available Information</w:t>
      </w:r>
    </w:p>
    <w:p>
      <w:pPr>
        <w:spacing w:after="0" w:line="25"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Our principal corporate internet website address is: www.mccormickcorporation.com. We make available free of charge through our website our Annual Report on Form 10-K, quarterly reports on Form 10-Q, current reports on Form 8-K, and amendments to those reports filed or furnished pursuant to Section 13(a) or 15(d) of the Exchange Act as soon as reasonably practicable after such documents are electronically filed with, or furnished to, the U.S. Securities and Exchange Commission (the SEC). The information and other content contained on our website are not part of (or incorporated by reference in) this report or any other document we file with the SEC. The SEC maintains an internet website at www.sec.gov that contains reports, proxy and information statements, and other information regarding McCormick. Our website also includes our Corporate Governance Guidelines, Business Ethics Policy and charters of the Audit Committee, Compensation &amp; Human Capital Committee, and Nominating/Corporate Governance Committee of our Board of Directors.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00539B"/>
        </w:rPr>
        <w:t>ITEM 1A. RISK FACTORS</w:t>
      </w:r>
    </w:p>
    <w:p>
      <w:pPr>
        <w:spacing w:after="0" w:line="11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following are certain risk factors that could affect our business, financial condition and results of operations. These risk factors should be considered in connection with evaluating the forward -looking statements contained in this Annual Report on Form 10-K because these factors could cause the actual results and conditions to differ materially from those projected in forward-looking statements. Before you buy our Common Stock or Common Stock Non-Voting, you should know that making such an investment involves risks, including the risks described below. It is not possible for management to predict all such risks, nor can management assess the impact of all such risks on our business or the extent to which any risk, or combination of risks, may cause actual results to differ materially from those contained in any forward-looking statements. Additional risks and uncertainties that are not presently known to us or are currently deemed to be immaterial also may materially adversely affect our business, financial condition, or results of operations in the future. If any of the risks actually occur, our business, financial condition or results of operations could be negatively affected. In that case, the trading price of our securities could decline, and you may lose part or all of your investment.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Related to Our Company, Business and Operations</w:t>
      </w:r>
    </w:p>
    <w:p>
      <w:pPr>
        <w:spacing w:after="0" w:line="171" w:lineRule="exact"/>
        <w:rPr>
          <w:sz w:val="20"/>
          <w:szCs w:val="20"/>
          <w:color w:val="auto"/>
        </w:rPr>
      </w:pPr>
    </w:p>
    <w:p>
      <w:pPr>
        <w:ind w:right="140"/>
        <w:spacing w:after="0" w:line="294" w:lineRule="auto"/>
        <w:rPr>
          <w:sz w:val="20"/>
          <w:szCs w:val="20"/>
          <w:color w:val="auto"/>
        </w:rPr>
      </w:pPr>
      <w:r>
        <w:rPr>
          <w:rFonts w:ascii="Arial" w:cs="Arial" w:eastAsia="Arial" w:hAnsi="Arial"/>
          <w:sz w:val="18"/>
          <w:szCs w:val="18"/>
          <w:b w:val="1"/>
          <w:bCs w:val="1"/>
          <w:i w:val="1"/>
          <w:iCs w:val="1"/>
          <w:color w:val="auto"/>
        </w:rPr>
        <w:t>Deterioration of global economic conditions, an economic recession or slow growth, periods of inflation, or economic uncertainty in our key markets may adversely affect customer and consumer spending as well as demand for our products.</w:t>
      </w:r>
    </w:p>
    <w:p>
      <w:pPr>
        <w:spacing w:after="0" w:line="8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Global economic conditions can be uncertain and volatile. Our business and results of operations have in the past been, and may continue to be, adversely affected by changes in global economic conditions including inflation, changes in prevailing interest rates, the impact of any U.S. federal government shutdown, changes in governmental rules and approaches to taxation, challenges in global supply chains including new or increased tariffs or trade restrictions, fluctuations in foreign currency interest rates, availability of capital markets, consumer spending rates, energy availability and costs, the negative impacts caused by pandemics and other local and global public health issues and the effect of governmental initiatives to manage economic conditions. As global economic conditions</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7" w:name="page8"/>
    <w:bookmarkEnd w:id="7"/>
    <w:p>
      <w:pPr>
        <w:ind w:right="60"/>
        <w:spacing w:after="0" w:line="254" w:lineRule="auto"/>
        <w:rPr>
          <w:sz w:val="20"/>
          <w:szCs w:val="20"/>
          <w:color w:val="auto"/>
        </w:rPr>
      </w:pPr>
      <w:r>
        <w:rPr>
          <w:rFonts w:ascii="Arial" w:cs="Arial" w:eastAsia="Arial" w:hAnsi="Arial"/>
          <w:sz w:val="18"/>
          <w:szCs w:val="18"/>
          <w:color w:val="auto"/>
        </w:rPr>
        <w:t>continue to be volatile or economic uncertainty remains, trends in consumer spending also remain unpredictable and subject to reductions due to credit constraints and uncertainties about the future. We are a manufacturer and distributor of flavor products. As such, many of our products are purchased by our customers based on end-user demand from consumers. Some of the factors that may influence consumer spending include general economic conditions, high levels of unemployment, pandemics and public health crises, higher consumer debt levels, reductions in net worth based on market declines and uncertainty, home foreclosures and reductions in home values, fluctuating interest and foreign currency exchange rates and credit availability, fluctuating fuel and other energy costs, fluctuating commodity prices, inflationary pressure, tax rates and general uncertainty regarding the overall future economic environment. Unfavorable economic conditions may lead customers and consumers to delay or reduce purchases of our products. Consumer demand for our products may not reach our targets, or may decline, when there is an economic downturn or economic uncertainty in our key markets. Our sensitivity to economic cycles and any related fluctuation in customer and consumer demand may have a material negative impact on our business, financial conditions or results of operations.</w:t>
      </w:r>
    </w:p>
    <w:p>
      <w:pPr>
        <w:spacing w:after="0" w:line="130" w:lineRule="exact"/>
        <w:rPr>
          <w:sz w:val="20"/>
          <w:szCs w:val="20"/>
          <w:color w:val="auto"/>
        </w:rPr>
      </w:pPr>
    </w:p>
    <w:p>
      <w:pPr>
        <w:ind w:right="200"/>
        <w:spacing w:after="0" w:line="272" w:lineRule="auto"/>
        <w:rPr>
          <w:sz w:val="20"/>
          <w:szCs w:val="20"/>
          <w:color w:val="auto"/>
        </w:rPr>
      </w:pPr>
      <w:r>
        <w:rPr>
          <w:rFonts w:ascii="Arial" w:cs="Arial" w:eastAsia="Arial" w:hAnsi="Arial"/>
          <w:sz w:val="18"/>
          <w:szCs w:val="18"/>
          <w:b w:val="1"/>
          <w:bCs w:val="1"/>
          <w:i w:val="1"/>
          <w:iCs w:val="1"/>
          <w:color w:val="auto"/>
        </w:rPr>
        <w:t>Damage to our reputation or brand name, loss of brand relevance, increase in use of private label or other competitive brands by customers or consumers, competitive pressures in marketing and technology, or product quality or safety concerns could negatively impact our business, financial condition or results of operations.</w:t>
      </w:r>
    </w:p>
    <w:p>
      <w:pPr>
        <w:spacing w:after="0" w:line="104"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We have many iconic brands with long-standing consumer recognition. Our success depends on our ability to maintain our brand image for our existing products, extend our brands to new platforms, and expand our brand image with new product offerings.</w:t>
      </w:r>
    </w:p>
    <w:p>
      <w:pPr>
        <w:spacing w:after="0" w:line="9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continually make efforts to maintain and improve relationships with our customers and consumers and to increase awareness and relevance of our brands through effective marketing and other measures. From time to time, our customers reevaluate their mix of product offerings, and consumers have the option to purchase private label or other competitive products instead of our branded products. In the event that we are unable to supply our products to customers in the time frame and quantities that they desire, whether due to increased demand or other factors, our customers may discontinue all or a portion of their purchases from us and source competitive brands. Certain competitors may also be more successful at utilizing data analytics, artificial intelligence, and other new and emerging technologies and digital experiences as part of their advertising practices. We must also be able to respond successfully to technological advances (including artificial intelligence and machine learning, which may become critical in interpreting consumer preferences in the future), and failure to do so could compromise our competitive position and negatively impact our product sales. If a significant portion of our branded business was switched to private label or competitive products, it could have a material negative impact on our Consumer segment.</w:t>
      </w:r>
    </w:p>
    <w:p>
      <w:pPr>
        <w:spacing w:after="0" w:line="13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reputation for manufacturing high-quality products is widely recognized. In order to safeguard that reputation, we have adopted rigorous quality assurance and quality control procedures which are designed to ensure the safety of our products. A serious breach of our quality assurance or quality control procedures, deterioration of our quality image, impairment of our customer or consumer relationships or failure to adequately protect the relevance of our brands may lead to litigation, customers purchasing from our competitors or consumers purchasing other brands or private label items that may or may not be manufactured by us, any of which could have a material negative impact on our business, financial condition or results of operations.</w:t>
      </w:r>
    </w:p>
    <w:p>
      <w:pPr>
        <w:spacing w:after="0" w:line="12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food industry generally is subject to risks posed by food spoilage and contamination, product tampering, product recall, import alerts and consumer product liability claims. For instance, we may be required to recall certain of our products should they be mislabeled, contaminated or damaged. Additionally, certain of our raw materials could be blocked from entering the country if they were subject to government-imposed actions. We have and may continue to become involved in lawsuits and legal proceedings if it is alleged that the consumption of any of our products could cause injury or illness, or that any of our products are mislabeled or fail to meet applicable legal requirements (even if the allegation is untrue). A product recall, import alert or an adverse result in any such litigation, or negative perceptions regarding food products and ingredients, could result in our having to pay fines or damages, incur additional costs or cause customers and consumers in our principal markets to lose confidence in the safety and quality of certain products or ingredients, any of which could have a negative effect on our business or financial results and, depending upon the significance of the affected product, that negative effect could be material to our business or financial results. Negative publicity about these concerns, whether or not valid, may discourage customers and consumers from buying our products or cause disruptions in production or distribution of our products and adversely affect our business, financial condition or results of operations.</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2" w:right="359" w:bottom="1440" w:gutter="0" w:footer="0" w:header="0"/>
        </w:sectPr>
      </w:pPr>
    </w:p>
    <w:bookmarkStart w:id="8" w:name="page9"/>
    <w:bookmarkEnd w:id="8"/>
    <w:p>
      <w:pPr>
        <w:jc w:val="both"/>
        <w:ind w:right="40"/>
        <w:spacing w:after="0" w:line="268" w:lineRule="auto"/>
        <w:rPr>
          <w:sz w:val="20"/>
          <w:szCs w:val="20"/>
          <w:color w:val="auto"/>
        </w:rPr>
      </w:pPr>
      <w:r>
        <w:rPr>
          <w:rFonts w:ascii="Arial" w:cs="Arial" w:eastAsia="Arial" w:hAnsi="Arial"/>
          <w:sz w:val="18"/>
          <w:szCs w:val="18"/>
          <w:color w:val="auto"/>
        </w:rPr>
        <w:t>The rising popularity of social networking and other consumer-oriented technologies has increased the speed and accessibility of information dissemination (whether or not accurate), and, as a result, negative, inaccurate, or misleading posts or comments on websites may generate adverse publicity that could damage our reputation or brands.</w:t>
      </w:r>
    </w:p>
    <w:p>
      <w:pPr>
        <w:spacing w:after="0" w:line="119" w:lineRule="exact"/>
        <w:rPr>
          <w:sz w:val="20"/>
          <w:szCs w:val="20"/>
          <w:color w:val="auto"/>
        </w:rPr>
      </w:pPr>
    </w:p>
    <w:p>
      <w:pPr>
        <w:ind w:right="160"/>
        <w:spacing w:after="0" w:line="294" w:lineRule="auto"/>
        <w:rPr>
          <w:sz w:val="20"/>
          <w:szCs w:val="20"/>
          <w:color w:val="auto"/>
        </w:rPr>
      </w:pPr>
      <w:r>
        <w:rPr>
          <w:rFonts w:ascii="Arial" w:cs="Arial" w:eastAsia="Arial" w:hAnsi="Arial"/>
          <w:sz w:val="18"/>
          <w:szCs w:val="18"/>
          <w:b w:val="1"/>
          <w:bCs w:val="1"/>
          <w:i w:val="1"/>
          <w:iCs w:val="1"/>
          <w:color w:val="auto"/>
        </w:rPr>
        <w:t>Customer consolidation, consumer behaviors, and competitive, economic and other pressures facing our customers, may impact our financial condition or results of operations.</w:t>
      </w:r>
    </w:p>
    <w:p>
      <w:pPr>
        <w:spacing w:after="0" w:line="8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number of our customers, such as supermarkets, warehouse clubs and food distributors, have consolidated in recent years and consolidation could continue. Such consolidation could present a challenge to margin growth and profitability in that it has produced large, sophisticated customers with increased buying power who are more capable of operating with reduced inventories; resisting price increases; demanding lower pricing, increased promotional programs and specifically tailored products; and shifting shelf space currently used for our products to private label and other competitive products. The economic and competitive landscape for our customers is constantly changing, such as the emergence of new sales channels like e-commerce, and our customers' responses to those changes could impact our business. The continued growth of e-commerce, which has encouraged the entry of new competitors and business models, and its impact of consumer habits and preferences has accelerated in many of the markets we serve and our financial results may be impacted if we are unable to adapt to changing consumer preferences and market dynamics. In addition, our Flavor Solutions segment may be impacted if the reputation or perception of the customers of our Flavor Solutions segment declines. These factors could have an adverse impact on our business, financial condition or results of operations.</w:t>
      </w:r>
    </w:p>
    <w:p>
      <w:pPr>
        <w:spacing w:after="0" w:line="130" w:lineRule="exact"/>
        <w:rPr>
          <w:sz w:val="20"/>
          <w:szCs w:val="20"/>
          <w:color w:val="auto"/>
        </w:rPr>
      </w:pPr>
    </w:p>
    <w:p>
      <w:pPr>
        <w:ind w:right="540"/>
        <w:spacing w:after="0" w:line="294" w:lineRule="auto"/>
        <w:rPr>
          <w:sz w:val="20"/>
          <w:szCs w:val="20"/>
          <w:color w:val="auto"/>
        </w:rPr>
      </w:pPr>
      <w:r>
        <w:rPr>
          <w:rFonts w:ascii="Arial" w:cs="Arial" w:eastAsia="Arial" w:hAnsi="Arial"/>
          <w:sz w:val="18"/>
          <w:szCs w:val="18"/>
          <w:b w:val="1"/>
          <w:bCs w:val="1"/>
          <w:i w:val="1"/>
          <w:iCs w:val="1"/>
          <w:color w:val="auto"/>
        </w:rPr>
        <w:t>The inability to maintain mutually beneficial relationships with large customers could adversely affect our business, financial condition and results of operations.</w:t>
      </w:r>
    </w:p>
    <w:p>
      <w:pPr>
        <w:spacing w:after="0" w:line="8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have a number of major customers, including two large customers that, in the aggregate, constituted approximately 24% of consolidated sales in 2025. The loss of either of these large customers due to events beyond our control, or a material negative change in our relationship with these large customers or other major customers could have an adverse effect on our business, financial condition and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Issues regarding procurement of raw materials may negatively impact us.</w:t>
      </w:r>
    </w:p>
    <w:p>
      <w:pPr>
        <w:spacing w:after="0" w:line="16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purchases of raw materials are subject to fluctuations in market price and availability caused by inflationary pressures, weather, growing and harvesting conditions, climate change, market conditions, governmental actions including global trade policies and other factors beyond our control, including outbreaks of illnesses, pandemics or other local or global health issues. The most significant raw materials used by us in our business are dairy products, pepper, garlic, onion, capsicums (red peppers and paprika), salt, tomato products, sugar, and soybean oil. While future price movements of raw material costs are uncertain, we seek to mitigate the market price risk in a number of ways, including strategic raw material purchases, purchases of raw material for future delivery, customer price adjustments and cost savings from our CCI program and other streamlining initiatives. In addition, we enter into financial hedging derivative transactions based on forecasted soybean oil purchases. Other than the soybean oil hedging transactions, we generally have not used derivatives to manage the volatility related to this risk. Any actions we take in response to market price fluctuations may not effectively limit or eliminate our exposure to changes in raw material prices. Therefore, we cannot provide assurance that future raw material price fluctuations will not have a negative impact on our business, financial condition or operating results.</w:t>
      </w:r>
    </w:p>
    <w:p>
      <w:pPr>
        <w:spacing w:after="0" w:line="12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addition, we may have very little opportunity to mitigate the risk of availability of certain raw materials due to the effect of weather on crop yield, fire, natural disasters, growing and harvesting conditions, government actions, political unrest in producing countries, action or inaction by suppliers in response to laws and regulations, changes in agricultural programs and other factors beyond our control. Therefore, we cannot provide assurance that future raw material availability will not have a negative impact on our business, financial condition or operating results.</w:t>
      </w:r>
    </w:p>
    <w:p>
      <w:pPr>
        <w:spacing w:after="0" w:line="12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Political, socio-economic, cultural, and geopolitical conditions, as well as disruptions caused by terrorist activities or otherwise, could also create additional risks for regulatory compliance. Although we have adopted rigorous quality assurance and quality control procedures which are designed to ensure the safety of our imported products, we cannot provide assurance that such events will not have a negative impact on our business, financial condition or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Changes in global trade policies have impacted and may continue to impact our financial condition or results of operations.</w:t>
      </w:r>
    </w:p>
    <w:p>
      <w:pPr>
        <w:spacing w:after="0" w:line="16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Changes in global trade policies, including tariffs, have caused inflationary pressures and higher costs on certain raw materials and imports. These actions have impacted our business through increased costs and uncertainty. If maintained, the tariffs, as well as related measures that have been taken and which could be taken by other countries in the future could pose a risk to our business and results of operations. The extent and duration of the tariffs and the resulting impact on general economic conditions and on our business are uncertain and depend on various factors, such as legal challenges to the applicability of these tariffs, negotiations between affected countries, the responses of other countries or regions, exemptions, exclusions or other relief that may be granted, availability and cost of alternative sources of supply, and demand for our products in affected markets.</w:t>
      </w:r>
    </w:p>
    <w:p>
      <w:pPr>
        <w:spacing w:after="0" w:line="129" w:lineRule="exact"/>
        <w:rPr>
          <w:sz w:val="20"/>
          <w:szCs w:val="20"/>
          <w:color w:val="auto"/>
        </w:rPr>
      </w:pPr>
    </w:p>
    <w:p>
      <w:pPr>
        <w:ind w:right="240"/>
        <w:spacing w:after="0" w:line="291" w:lineRule="auto"/>
        <w:rPr>
          <w:sz w:val="20"/>
          <w:szCs w:val="20"/>
          <w:color w:val="auto"/>
        </w:rPr>
      </w:pPr>
      <w:r>
        <w:rPr>
          <w:rFonts w:ascii="Arial" w:cs="Arial" w:eastAsia="Arial" w:hAnsi="Arial"/>
          <w:sz w:val="17"/>
          <w:szCs w:val="17"/>
          <w:color w:val="auto"/>
        </w:rPr>
        <w:t>Our attempts to offset these pressures through supply chain management initiatives and increases in the selling prices of some of our products may not be successful or may result in reductions in sales volume. To the extent these actions are not sufficient to offset increase costs or result in significant decreases in sales volume, our business, financial condition, or operating results may be adversely affected.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Disruption of our supply chain could adversely affect our business.</w:t>
      </w:r>
    </w:p>
    <w:p>
      <w:pPr>
        <w:spacing w:after="0" w:line="16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ability to make, move, and sell products is critical to our success. Damage or disruption to or reduction or termination of raw material supplies or our manufacturing or distribution capabilities due to weather, climate change, natural disaster, fire, international disputes, geopolitical tensions or conflict, terrorism, cyber-attack, health epidemics, pandemics or other contagious outbreaks, governmental restrictions or mandates, strikes, import/export restrictions, global trade policies, or other factors could impair our ability to manufacture or sell our products. Production of certain of our products is highly concentrated, and some are manufactured at a single location. The failure of third parties on which we rely, including those third parties who supply our ingredients, packaging, capital equipment and other necessary operating materials, contract manufacturers, commercial transport, distributors, contractors, and external business partners, to meet their obligations to us, or significant disruptions in their ability to do so, may negatively impact our operations. Our suppliers’ policies and practices can damage our reputation and the quality and safety of our products. Disputes with significant suppliers, including disputes regarding pricing or performance, could adversely affect our ability to supply products to our customers and could materially and adversely affect our sales, financial condition, and results of operations. Failure to take adequate steps to mitigate the likelihood or potential impact of such events, or to effectively manage such events if they occur, particularly when a product is manufactured from a single location, could adversely affect our business and results of operations, as well as require additional resources to restore our supply chain.</w:t>
      </w:r>
    </w:p>
    <w:p>
      <w:pPr>
        <w:spacing w:after="0" w:line="133"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Moreover, short term or sustained increases in consumer demand at our customers may exceed our production capacity or otherwise strain our supply chain. Our failure to meet the demand for our products could adversely affect our business and results of operations.</w:t>
      </w:r>
    </w:p>
    <w:p>
      <w:pPr>
        <w:spacing w:after="0" w:line="101" w:lineRule="exact"/>
        <w:rPr>
          <w:sz w:val="20"/>
          <w:szCs w:val="20"/>
          <w:color w:val="auto"/>
        </w:rPr>
      </w:pPr>
    </w:p>
    <w:p>
      <w:pPr>
        <w:ind w:right="20"/>
        <w:spacing w:after="0" w:line="294" w:lineRule="auto"/>
        <w:rPr>
          <w:sz w:val="20"/>
          <w:szCs w:val="20"/>
          <w:color w:val="auto"/>
        </w:rPr>
      </w:pPr>
      <w:r>
        <w:rPr>
          <w:rFonts w:ascii="Arial" w:cs="Arial" w:eastAsia="Arial" w:hAnsi="Arial"/>
          <w:sz w:val="18"/>
          <w:szCs w:val="18"/>
          <w:b w:val="1"/>
          <w:bCs w:val="1"/>
          <w:i w:val="1"/>
          <w:iCs w:val="1"/>
          <w:color w:val="auto"/>
        </w:rPr>
        <w:t>Our results of operations can be adversely affected by labor shortages, turnover and labor cost increases or any failure to effectively manage changes in our workforce.</w:t>
      </w:r>
    </w:p>
    <w:p>
      <w:pPr>
        <w:spacing w:after="0" w:line="8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Labor is a primary component of operating our business. A number of factors may adversely affect the labor force available to us or increase labor costs such as hybrid or remote work arrangements, higher unemployment subsidies, other government regulations and general macroeconomic factors. A sustained labor shortage or increased turnover rates within our employee base could lead to increased costs, such as increased overtime to meet demand and increased wage rates and employee benefits costs to attract and retain employees and could negatively affect our ability to efficiently operate our manufacturing and distribution facilities and overall business. If we are unable to hire and retain employees capable of performing at a high-level, or if mitigation measures we may take to respond to a decrease in labor availability, such as overtime and third-party outsourcing, have negative effects, our business could be adversely affected. In addition, we distribute our products and receive raw materials primarily by truck. Reduced availability of trucking capacity due to shortages of drivers has caused an increase in the cost of transportation for us and our suppliers. An overall labor shortage, lack of skilled labor, increased turnover or labor inflation could have a material adverse impact on our business, financial condition or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4" w:right="339" w:bottom="1440" w:gutter="0" w:footer="0" w:header="0"/>
        </w:sectPr>
      </w:pPr>
    </w:p>
    <w:bookmarkStart w:id="10" w:name="page11"/>
    <w:bookmarkEnd w:id="10"/>
    <w:p>
      <w:pPr>
        <w:spacing w:after="0" w:line="294" w:lineRule="auto"/>
        <w:rPr>
          <w:sz w:val="20"/>
          <w:szCs w:val="20"/>
          <w:color w:val="auto"/>
        </w:rPr>
      </w:pPr>
      <w:r>
        <w:rPr>
          <w:rFonts w:ascii="Arial" w:cs="Arial" w:eastAsia="Arial" w:hAnsi="Arial"/>
          <w:sz w:val="18"/>
          <w:szCs w:val="18"/>
          <w:b w:val="1"/>
          <w:bCs w:val="1"/>
          <w:i w:val="1"/>
          <w:iCs w:val="1"/>
          <w:color w:val="auto"/>
        </w:rPr>
        <w:t>We may not be able to increase prices to fully offset inflationary and other pressures on costs, such as raw and packaging materials, labor and distribution costs, which may impact our financial condition or results of operations.</w:t>
      </w:r>
    </w:p>
    <w:p>
      <w:pPr>
        <w:spacing w:after="0" w:line="8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a manufacturer and distributor of flavor products, we rely on raw materials, packaging materials, plant labor, distribution resources, and transportation providers. We have experienced inflation of commodity and supply chain costs, including the costs of raw materials, packaging materials, labor, energy, fuel, transportation and other inputs necessary for the production and distribution of our products, and we expect inflation to continue in 2026 at a similar level to that experienced in 2025. In addition, many of these materials and costs are subject to price fluctuations from a number of factors, including, but not limited to, market conditions, demand for raw materials, weather, growing and harvesting conditions, climate change, energy costs, currency fluctuations, supplier capacities, governmental actions, import and export requirements, global trade policies (including tariffs and retaliatory measures), armed hostilities (including the ongoing geopolitical conflicts) and other factors beyond our control.</w:t>
      </w:r>
    </w:p>
    <w:p>
      <w:pPr>
        <w:spacing w:after="0" w:line="13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attempts to offset these cost pressures, such as through increases in the selling prices of some of our products, may not be successful. Higher product prices may result in reductions in sales volume. Consumers may be less willing to pay a price differential for our branded products and may increasingly purchase lower-priced offerings, or may forego some purchases altogether, during an economic downturn or times of increased inflationary pressure. To the extent that price increases are not sufficient to offset these increased costs adequately or in a timely manner, and/or if they result in significant decreases in sales volume, our business, financial condition or operating results may be adversely affected. Furthermore, we may not be able to fully offset any cost increases through our productivity or efficiency initiatives.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profitability may suffer as a result of competition in our markets.</w:t>
      </w:r>
    </w:p>
    <w:p>
      <w:pPr>
        <w:spacing w:after="0" w:line="16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food industry is intensely competitive. Competition in our product categories is based on price, product innovation, product quality, brand recognition and loyalty, effectiveness of marketing and promotional activity, and the ability to identify and satisfy consumer preferences. Weak economic conditions, recessions, significant inflation and other factors, such as pandemics, could affect consumer preferences and demand. From time to time, we may need to reduce the prices for some of our products to respond to competitive and customer pressures, particularly during periods of economic uncertainty or significant inflation, which may adversely affect our profitability. Such pressures could reduce our ability to take appropriate remedial action to address commodity and other cost increases.</w:t>
      </w:r>
    </w:p>
    <w:p>
      <w:pPr>
        <w:spacing w:after="0" w:line="130" w:lineRule="exact"/>
        <w:rPr>
          <w:sz w:val="20"/>
          <w:szCs w:val="20"/>
          <w:color w:val="auto"/>
        </w:rPr>
      </w:pPr>
    </w:p>
    <w:p>
      <w:pPr>
        <w:ind w:right="860"/>
        <w:spacing w:after="0" w:line="294" w:lineRule="auto"/>
        <w:rPr>
          <w:sz w:val="20"/>
          <w:szCs w:val="20"/>
          <w:color w:val="auto"/>
        </w:rPr>
      </w:pPr>
      <w:r>
        <w:rPr>
          <w:rFonts w:ascii="Arial" w:cs="Arial" w:eastAsia="Arial" w:hAnsi="Arial"/>
          <w:sz w:val="18"/>
          <w:szCs w:val="18"/>
          <w:b w:val="1"/>
          <w:bCs w:val="1"/>
          <w:i w:val="1"/>
          <w:iCs w:val="1"/>
          <w:color w:val="auto"/>
        </w:rPr>
        <w:t>Changing political and geopolitical conditions, including conflicts and the related implications may negatively impact our operations.</w:t>
      </w:r>
    </w:p>
    <w:p>
      <w:pPr>
        <w:spacing w:after="0" w:line="85"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Changes in the political conditions in markets in which we manufacture, sell or distribute our products, as well as changing geopolitical conditions, including conflicts, may be difficult to predict and may adversely affect our business and financial results. Results of elections, referendums, sanctions or other political processes and pressures in certain markets in which our products are manufactured, sold or distributed have created and could continue to create uncertainty regarding how existing governmental policies, laws and regulations may change, including with respect to sanctions, taxes, tariffs, import and export controls and the general movement of goods, materials, services, capital, data and people between countries.</w:t>
      </w:r>
    </w:p>
    <w:p>
      <w:pPr>
        <w:spacing w:after="0" w:line="12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global economy has been negatively impacted by changing political and geopolitical conditions, including conflicts. Our business, financial condition and results of operations have been impacted in the past and may be impacted in the future by disruptions in the global economy associated with these changes in political and geopolitical conditions. Geopolitical instability has, and could result in, a negative impact on our ability to sell to, ship products to, collect payments from, and support customers in certain regions based on trade restrictions, embargoes and export control law restrictions, and logistics restrictions, and could increase the costs, risks and adverse impacts from supply chain and logistical challenges.</w:t>
      </w:r>
    </w:p>
    <w:p>
      <w:pPr>
        <w:spacing w:after="0" w:line="12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scope and duration of such conflicts are uncertain, rapidly changing, and hard to predict. While we expect the impacts of these conflicts to continue to have an effect on our business, financial condition and results of operations, we are unable to predict the extent or nature of these impacts at this time. Further changes in political and geopolitical conditions, including increased trade barriers or restrictions on global trade, could result in, among other things, cyberattacks, supply disruptions, lower consumer demand, and changes to foreign exchange rates and financial markets, any of which may adversely affect our business and supply chain operations. In addition, the effects of these political and geopolitical conditions could also heighten many of the other risk factors described herein.</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4"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Our operations may be impaired as a result of disasters, business interruptions or similar events.</w:t>
      </w:r>
    </w:p>
    <w:p>
      <w:pPr>
        <w:spacing w:after="0" w:line="16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could have an interruption in our business, loss of inventory or data, or be rendered unable to accept and fulfill customer orders as a result of a natural disaster, catastrophic event, epidemic, computer system failure, or cyber-attack. Natural disasters could include an earthquake, fire, floods, drought, tornado, hurricane or severe storm. A catastrophic event could include a terrorist attack. A health epidemic, pandemic, or other contagious outbreak could affect our operations, major facilities or employees’ and consumers’ health. In addition, some of our inventory and production facilities are located in areas that are susceptible to harsh weather; a severe storm, flood, wildfires, heavy snowfall or other similar event could prevent us from delivering products in a timely manner and negatively impact consumer spending and demand in affected areas. Production of certain of our products is highly concentrated, and some are manufactured at a single location.</w:t>
      </w:r>
    </w:p>
    <w:p>
      <w:pPr>
        <w:spacing w:after="0" w:line="1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cannot provide assurance that our disaster recovery plan will address all of the issues we may encounter in the event of a disaster or other unanticipated issue, and our business interruption insurance may not adequately compensate us for losses that may occur from any of the foregoing. In the event that a natural disaster, terrorist attack or other catastrophic event were to destroy any part of our facilities or interrupt our operations for any extended period of time, or prevent us from delivering products in a timely manner, our business, financial condition or operating results could be adversely affected.</w:t>
      </w:r>
    </w:p>
    <w:p>
      <w:pPr>
        <w:spacing w:after="0" w:line="127" w:lineRule="exact"/>
        <w:rPr>
          <w:sz w:val="20"/>
          <w:szCs w:val="20"/>
          <w:color w:val="auto"/>
        </w:rPr>
      </w:pPr>
    </w:p>
    <w:p>
      <w:pPr>
        <w:ind w:right="260"/>
        <w:spacing w:after="0" w:line="294" w:lineRule="auto"/>
        <w:rPr>
          <w:sz w:val="20"/>
          <w:szCs w:val="20"/>
          <w:color w:val="auto"/>
        </w:rPr>
      </w:pPr>
      <w:r>
        <w:rPr>
          <w:rFonts w:ascii="Arial" w:cs="Arial" w:eastAsia="Arial" w:hAnsi="Arial"/>
          <w:sz w:val="18"/>
          <w:szCs w:val="18"/>
          <w:b w:val="1"/>
          <w:bCs w:val="1"/>
          <w:i w:val="1"/>
          <w:iCs w:val="1"/>
          <w:color w:val="auto"/>
        </w:rPr>
        <w:t>We may not be able to successfully consummate and manage ongoing acquisition, joint venture and divestiture activities which could have an impact on our results.</w:t>
      </w:r>
    </w:p>
    <w:p>
      <w:pPr>
        <w:spacing w:after="0" w:line="8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From time to time, we may, based on an evaluation of our business portfolio, acquire other businesses and/or divest existing businesses. These acquisitions, such as the additional 25% incremental ownership acquired in McCormick de Mexico on January 2, 2026, joint ventures and divestitures may present financial, managerial and operational challenges, including diversion of management attention from existing businesses, difficulty with integrating or separating personnel and financial and other systems, increased expenses and raw material costs, assumption of unknown liabilities and indemnities, and potential disputes with the buyers or sellers. In addition, we may be required to incur asset impairment charges (including charges related to goodwill and other intangible assets) in connection with acquired businesses, which may reduce our profitability. If we are unable to consummate such transactions, or successfully integrate and grow acquisitions and achieve contemplated revenue synergies and cost savings, our financial results could be adversely affected. Additionally, joint ventures inherently involve a lesser degree of control over business operations, thereby potentially increasing the financial, legal, operational, and/or compliance risks.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impairment of the carrying value of goodwill or other indefinite-lived intangible assets could adversely affect our results.</w:t>
      </w:r>
    </w:p>
    <w:p>
      <w:pPr>
        <w:spacing w:after="0" w:line="16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of November 30, 2025, we had approximately $5.3 billion of goodwill and approximately $3.0 billion of other indefinite-lived intangible assets. Goodwill and indefinite-lived intangible assets are initially recorded at fair value and not amortized but are tested for impairment at least annually or more frequently if impairment indicators arise. We test goodwill at the reporting unit level by comparing the carrying value of the net assets of the reporting unit, including goodwill, to the unit's fair value. Similarly, we test indefinite-lived intangible assets by comparing the fair value of those assets to their carrying values. If the carrying values of the reporting unit or indefinite-lived intangible assets exceed their fair value, the goodwill or indefinite-lived intangible assets are considered impaired and reduced to their estimated fair value. Factors that could result in an impairment include a change in revenue growth rates, operating margins, weighted average cost of capital, future economic and market conditions, higher income tax rates, or assumed royalty rates. The impairment of our goodwill or indefinite-lived intangible assets would have a negative impact on our consolidated results of operations.</w:t>
      </w:r>
    </w:p>
    <w:p>
      <w:pPr>
        <w:spacing w:after="0" w:line="129" w:lineRule="exact"/>
        <w:rPr>
          <w:sz w:val="20"/>
          <w:szCs w:val="20"/>
          <w:color w:val="auto"/>
        </w:rPr>
      </w:pPr>
    </w:p>
    <w:p>
      <w:pPr>
        <w:ind w:right="100"/>
        <w:spacing w:after="0" w:line="294" w:lineRule="auto"/>
        <w:rPr>
          <w:sz w:val="20"/>
          <w:szCs w:val="20"/>
          <w:color w:val="auto"/>
        </w:rPr>
      </w:pPr>
      <w:r>
        <w:rPr>
          <w:rFonts w:ascii="Arial" w:cs="Arial" w:eastAsia="Arial" w:hAnsi="Arial"/>
          <w:sz w:val="18"/>
          <w:szCs w:val="18"/>
          <w:b w:val="1"/>
          <w:bCs w:val="1"/>
          <w:i w:val="1"/>
          <w:iCs w:val="1"/>
          <w:color w:val="auto"/>
        </w:rPr>
        <w:t>Streamlining actions to reduce fixed costs, simplify or improve processes, and improve our competitiveness may have a negative effect on employee relations.</w:t>
      </w:r>
    </w:p>
    <w:p>
      <w:pPr>
        <w:spacing w:after="0" w:line="8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regularly evaluate whether to implement changes to our organization structure to reduce fixed costs, simplify or improve processes, and improve our competitiveness, and we expect to continue to evaluate such actions in the future. From time to time, those changes are of such significance that we may transfer production from one manufacturing facility to another; transfer certain selling and administrative functions from one location to another; eliminate certain manufacturing, selling and administrative positions; and exit certain businesses or lines of business. These actions may result in a deterioration of employee relations at the impacted locations or elsewhere in our business.</w:t>
      </w: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54" w:right="379" w:bottom="1440" w:gutter="0" w:footer="0" w:header="0"/>
        </w:sectPr>
      </w:pPr>
    </w:p>
    <w:bookmarkStart w:id="12" w:name="page13"/>
    <w:bookmarkEnd w:id="12"/>
    <w:p>
      <w:pPr>
        <w:spacing w:after="0" w:line="294" w:lineRule="auto"/>
        <w:rPr>
          <w:sz w:val="20"/>
          <w:szCs w:val="20"/>
          <w:color w:val="auto"/>
        </w:rPr>
      </w:pPr>
      <w:r>
        <w:rPr>
          <w:rFonts w:ascii="Arial" w:cs="Arial" w:eastAsia="Arial" w:hAnsi="Arial"/>
          <w:sz w:val="18"/>
          <w:szCs w:val="18"/>
          <w:b w:val="1"/>
          <w:bCs w:val="1"/>
          <w:i w:val="1"/>
          <w:iCs w:val="1"/>
          <w:color w:val="auto"/>
        </w:rPr>
        <w:t>If we are unable to fully realize the benefits from our CCI program or streamlining actions to reduce fixed costs, simplify or improve our competitiveness, our financial results could be negatively affected.</w:t>
      </w:r>
    </w:p>
    <w:p>
      <w:pPr>
        <w:spacing w:after="0" w:line="8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Our future success depends in part on our ability to be an efficient producer in a highly competitive industry, including our plan to eliminate costs under our CCI program. Any failure by us to achieve our planned cost savings and efficiencies under our CCI program, an ongoing initiative to improve productivity and reduce costs throughout the organization, or other similar programs, could have an adverse effect on our business, results of operations and financial position.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foreign currency markets may negatively impact us.</w:t>
      </w:r>
    </w:p>
    <w:p>
      <w:pPr>
        <w:spacing w:after="0" w:line="16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are exposed to fluctuations in foreign currency in the following main areas: cash flows related to raw material purchases; the translation of foreign currency earnings to U.S. dollars; the effects of foreign currency on loans between subsidiaries and unconsolidated affiliates and on cash flows related to repatriation of earnings of unconsolidated affiliates. We have both translation and transaction exposures to the fluctuation of exchange rates. Translation exposures relate to exchange rate impacts of measuring income statements of foreign subsidiaries that do not use the U.S. dollar as their functional currency. Transaction exposures relate to the impact from input costs that are denominated in a currency other than the local reporting currency and the revaluation of transaction-related working capital balances or loans between subsidiaries and unconsolidated affiliates denominated in currencies other than the functional currency. Historically, weakening of certain foreign currencies versus the U.S. dollar have resulted in significant foreign exchange impacts leading to lower net sales, net earnings and cash flows. Primary exposures include the U.S. dollar versus the Euro, British pound sterling, Chinese renminbi, Canadian dollar, Australian dollar, Polish zloty, Singapore dollar, Swiss franc, and Mexican peso, as well as the Euro versus the British pound sterling and Australian dollar, and Polish zloty. We routinely enter into foreign currency exchange contracts to facilitate managing certain of these foreign currency risks. However, these contracts may not effectively limit or eliminate our exposure to a decline in operating results due to foreign currency exchange changes. Therefore, we cannot provide assurance that future exchange rate fluctuations will not have a negative impact on our business, financial position or operating results.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certain pension assets and obligations.</w:t>
      </w:r>
    </w:p>
    <w:p>
      <w:pPr>
        <w:spacing w:after="0" w:line="16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hold investments in equity and debt securities in our qualified defined benefit pension plans and in a rabbi trust for our U.S. non-qualified pension plan. Deterioration in the value of plan assets resulting from a general financial downturn or otherwise, or an increase in the actuarial valuation of the plans' liability due to a low interest rate environment, could cause (or increase) an underfunded status of our defined benefit pension plans, thereby increasing our obligation to make contributions to the plans. An obligation to make contributions to pension plans could reduce the cash available for working capital and other corporate uses, and may have an adverse impact on our operations, financial condition and liquidity.</w:t>
      </w:r>
    </w:p>
    <w:p>
      <w:pPr>
        <w:spacing w:after="0" w:line="130" w:lineRule="exact"/>
        <w:rPr>
          <w:sz w:val="20"/>
          <w:szCs w:val="20"/>
          <w:color w:val="auto"/>
        </w:rPr>
      </w:pPr>
    </w:p>
    <w:p>
      <w:pPr>
        <w:ind w:right="200"/>
        <w:spacing w:after="0" w:line="294" w:lineRule="auto"/>
        <w:rPr>
          <w:sz w:val="20"/>
          <w:szCs w:val="20"/>
          <w:color w:val="auto"/>
        </w:rPr>
      </w:pPr>
      <w:r>
        <w:rPr>
          <w:rFonts w:ascii="Arial" w:cs="Arial" w:eastAsia="Arial" w:hAnsi="Arial"/>
          <w:sz w:val="18"/>
          <w:szCs w:val="18"/>
          <w:b w:val="1"/>
          <w:bCs w:val="1"/>
          <w:i w:val="1"/>
          <w:iCs w:val="1"/>
          <w:color w:val="auto"/>
        </w:rPr>
        <w:t>Climate change, or legal, regulatory or market measures to address climate change, may negatively affect our business, financial condition and results of operations.</w:t>
      </w:r>
    </w:p>
    <w:p>
      <w:pPr>
        <w:spacing w:after="0" w:line="8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Unseasonable or unusual weather or long-term climate changes may negatively impact the price or availability of spices, herbs and other raw materials. Scientific consensus shows that greenhouse gases in the atmosphere have an adverse impact on global temperatures, weather patterns and the frequency and severity of extreme weather and natural disasters, which may result in more intense effects. In the event that such climate change has a negative effect on agricultural productivity or practices, we may be subject to decreased availability or less favorable pricing for certain commodities that are necessary for our products. As a result of climate change, we may also be subjected to decreased availability of water, deteriorated quality of water or less favorable pricing for water, which could adversely impact our manufacturing and distribution operations. In addition, such climate change may result in modifications to the eating preferences of the ultimate consumers of certain of our products, which may also unfavorably impact our sales and profitability. The physical effects and transitional costs of climate change and the legal, regulatory or market initiatives to address climate change could have a negative impact on our business, financial condition, and results of operations.</w:t>
      </w:r>
    </w:p>
    <w:p>
      <w:pPr>
        <w:spacing w:after="0" w:line="13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There has been an increased focus by foreign, federal, state and local regulatory and legislative bodies regarding environmental policies relating to climate change, regulating greenhouse gas emissions (including carbon pricing, cap and trade systems, or carbon taxes) and imposing mandatory reporting requirements, energy policies, and sustainability. Increased compliance costs and expenses due to the impacts of climate change and additional legal or regulatory requirements regarding climate change that are designed to reduce or mitigate the effects of carbon dioxide and other greenhouse gas emissions on the environment may cause disruptions in, or an increase in the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4" w:right="339" w:bottom="1440" w:gutter="0" w:footer="0" w:header="0"/>
        </w:sectPr>
      </w:pPr>
    </w:p>
    <w:bookmarkStart w:id="13" w:name="page14"/>
    <w:bookmarkEnd w:id="13"/>
    <w:p>
      <w:pPr>
        <w:ind w:right="20"/>
        <w:spacing w:after="0" w:line="256" w:lineRule="auto"/>
        <w:rPr>
          <w:sz w:val="20"/>
          <w:szCs w:val="20"/>
          <w:color w:val="auto"/>
        </w:rPr>
      </w:pPr>
      <w:r>
        <w:rPr>
          <w:rFonts w:ascii="Arial" w:cs="Arial" w:eastAsia="Arial" w:hAnsi="Arial"/>
          <w:sz w:val="18"/>
          <w:szCs w:val="18"/>
          <w:color w:val="auto"/>
        </w:rPr>
        <w:t>costs associated with, the running of our manufacturing facilities and our business, as well as increase distribution and supply chain costs. Moreover, compliance with any such legal or regulatory requirements may require us to make significant changes in our business operations and strategy, which will likely require us to devote substantial time and attention to these matters and cause us to incur additional costs. Even if we make changes to align ourselves with such legal or regulatory requirements, we may still be subject to significant penalties or potential litigation if such laws and regulations are interpreted and applied in a manner inconsistent with our practices. The effects of climate change and legal or regulatory initiatives to address climate change could have a long-term adverse impact on our business and results of operations.</w:t>
      </w:r>
    </w:p>
    <w:p>
      <w:pPr>
        <w:spacing w:after="0" w:line="129" w:lineRule="exact"/>
        <w:rPr>
          <w:sz w:val="20"/>
          <w:szCs w:val="20"/>
          <w:color w:val="auto"/>
        </w:rPr>
      </w:pPr>
    </w:p>
    <w:p>
      <w:pPr>
        <w:ind w:right="60"/>
        <w:spacing w:after="0" w:line="291" w:lineRule="auto"/>
        <w:rPr>
          <w:sz w:val="20"/>
          <w:szCs w:val="20"/>
          <w:color w:val="auto"/>
        </w:rPr>
      </w:pPr>
      <w:r>
        <w:rPr>
          <w:rFonts w:ascii="Arial" w:cs="Arial" w:eastAsia="Arial" w:hAnsi="Arial"/>
          <w:sz w:val="17"/>
          <w:szCs w:val="17"/>
          <w:color w:val="auto"/>
        </w:rPr>
        <w:t>Additionally, we might fail to effectively address increased attention from the media, stockholders, activists and other stakeholders on climate change and related environmental sustainability matters. Such failure, or the perception that we have failed to act responsibly regarding climate change, whether or not valid, or based in fact, could result in adverse publicity and negatively affect our business and reputation.</w:t>
      </w:r>
    </w:p>
    <w:p>
      <w:pPr>
        <w:spacing w:after="0" w:line="9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Moreover, from time to time we establish and publicly announce goals and commitments, including to reduce our impact on the environment. For example, we established science -based target 2025 – 2030 goals for Scope 1, 2 and 3 greenhouse gas emissions. Our ability to achieve any stated goal, target or objective is subject to numerous factors and conditions, many of which are outside of our control. Examples of such factors include evolving regulatory requirements affecting sustainability standards or disclosures or imposing different requirements, the pace of changes in technology, the availability of requisite financing and the availability of suppliers that can meet our sustainability and other standards and changing business dynamics including acquisitions. Furthermore, standards for tracking and reporting such matters continue to evolve. Our selection of voluntary disclosure frameworks and standards, and the interpretation or application of those frameworks and standards, may change from time to time or differ from those of others. Methodologies for reporting these data may be updated and previously reported data may be adjusted to reflect improvement in availability and quality of third-party data, changing assumptions, changes in the nature and scope of our operations (including from acquisitions and divestitures), and other changes in circumstances, which could result in significant revisions to our current goals, reported progress in achieving such goals, or ability to achieve such goals in the future. If we fail to achieve, or are perceived to have failed or been delayed in achieving, or improperly report our progress toward achieving these goals and commitments, it could negatively affect consumer or customer preference for our products or investor confidence in our stock, as well as expose us to enforcement actions and litigation.</w:t>
      </w:r>
    </w:p>
    <w:p>
      <w:pPr>
        <w:spacing w:after="0" w:line="131"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In addition, we could be criticized by those opposed to environmental and sustainability efforts for the scope or nature of our initiatives or goals or for any revisions to these goals. We could also be subjected to negative responses by governmental actors (such as legislation or retaliatory legislative treatment) or consumers (such as boycotts or negative publicity campaigns) that could adversely affect our reputation, business, financial performance and growth.</w:t>
      </w:r>
    </w:p>
    <w:p>
      <w:pPr>
        <w:spacing w:after="0" w:line="124" w:lineRule="exact"/>
        <w:rPr>
          <w:sz w:val="20"/>
          <w:szCs w:val="20"/>
          <w:color w:val="auto"/>
        </w:rPr>
      </w:pPr>
    </w:p>
    <w:p>
      <w:pPr>
        <w:spacing w:after="0" w:line="294" w:lineRule="auto"/>
        <w:rPr>
          <w:sz w:val="20"/>
          <w:szCs w:val="20"/>
          <w:color w:val="auto"/>
        </w:rPr>
      </w:pPr>
      <w:r>
        <w:rPr>
          <w:rFonts w:ascii="Arial" w:cs="Arial" w:eastAsia="Arial" w:hAnsi="Arial"/>
          <w:sz w:val="18"/>
          <w:szCs w:val="18"/>
          <w:b w:val="1"/>
          <w:bCs w:val="1"/>
          <w:i w:val="1"/>
          <w:iCs w:val="1"/>
          <w:color w:val="auto"/>
        </w:rPr>
        <w:t>Climate change and sustainability issues may have an adverse effect on our business, financial condition and results of operations and damage our reputation.</w:t>
      </w:r>
    </w:p>
    <w:p>
      <w:pPr>
        <w:spacing w:after="0" w:line="8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Companies across all industries are facing increasing scrutiny relating to their sustainability policies. If we are unable to meet our goals or evolving investor, industry or stakeholder expectations and standards related to these issues, or if we are perceived to have not responded appropriately to the growing concern for these issues or negative incidents, it could erode customer confidence and customers and consumers may choose to stop purchasing our products or purchase products from another company or a competitor, and our reputation, business or financial condition may be adversely affected. Increased focus and activism on these topics may hinder our access to capital, as investors may reconsider their capital investment as a result of their assessment of our practices. In particular, these constituencies are increasingly focusing on environmental issues, including climate change, water use, deforestation, plastic waste, and other sustainability concerns. Changing consumer preferences may result in increased demands regarding plastics and packaging materials, including single-use and non-recyclable plastic packaging, and other components of our products and their environmental impact on sustainability; a growing demand for natural or organic products and ingredients; or increased consumer concerns or perceptions (whether accurate or inaccurate) regarding the effects of ingredients or substances present in certain consumer products. These demands could impact the profitability of some of our products or cause us to incur additional costs, to make changes to our operations to make additional commitments, set targets or establish additional goals and take actions to meet them, which could expose us to market, operational and execution costs or risk.</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14" w:name="page15"/>
    <w:bookmarkEnd w:id="14"/>
    <w:p>
      <w:pPr>
        <w:ind w:right="60"/>
        <w:spacing w:after="0" w:line="257" w:lineRule="auto"/>
        <w:rPr>
          <w:sz w:val="20"/>
          <w:szCs w:val="20"/>
          <w:color w:val="auto"/>
        </w:rPr>
      </w:pPr>
      <w:r>
        <w:rPr>
          <w:rFonts w:ascii="Arial" w:cs="Arial" w:eastAsia="Arial" w:hAnsi="Arial"/>
          <w:sz w:val="18"/>
          <w:szCs w:val="18"/>
          <w:color w:val="auto"/>
        </w:rPr>
        <w:t>In addition to environmental issues these constituencies are also focused on social and other governance issues, including matters such as, but not limited to, human capital and social issues. We have established initiatives that extend from individuals to entire communities, including those we serve and, just as importantly, those from which we source. Failure to attract, hire, develop, motivate and retain the best executive and employee talent, especially in light of changing worker expectations and talent marketplace variability regarding flexible and hybrid work models, relating to fostering inclusive culture for all employees could impact our ability to achieve our business objectives and adversely affect our future success.</w:t>
      </w:r>
    </w:p>
    <w:p>
      <w:pPr>
        <w:spacing w:after="0" w:line="12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Concern over climate change, including plastics and packaging materials, in particular, may result in new or increased legal and regulatory requirements. Increased regulatory requirements related to environmental causes, and related disclosure rules may result in increased compliance costs or increased costs of energy, raw materials or compliance with emissions standards, which may cause disruptions in the manufacture of our products or an increase in operating costs. Any failure to achieve our goals or a perception (whether or not valid) of our failure to act responsibly with respect to the environmental, human capital, or social issues, or to effectively respond to new, or changes in, legal or regulatory requirements concerning environmental or other sustainability matters, or increased operating or manufacturing costs due to increased regulation or environmental causes could adversely affect our business and reputation and increase risk of litigation.</w:t>
      </w:r>
    </w:p>
    <w:p>
      <w:pPr>
        <w:spacing w:after="0" w:line="131" w:lineRule="exact"/>
        <w:rPr>
          <w:sz w:val="20"/>
          <w:szCs w:val="20"/>
          <w:color w:val="auto"/>
        </w:rPr>
      </w:pPr>
    </w:p>
    <w:p>
      <w:pPr>
        <w:ind w:right="3440"/>
        <w:spacing w:after="0" w:line="462" w:lineRule="auto"/>
        <w:rPr>
          <w:sz w:val="20"/>
          <w:szCs w:val="20"/>
          <w:color w:val="auto"/>
        </w:rPr>
      </w:pPr>
      <w:r>
        <w:rPr>
          <w:rFonts w:ascii="Arial" w:cs="Arial" w:eastAsia="Arial" w:hAnsi="Arial"/>
          <w:sz w:val="17"/>
          <w:szCs w:val="17"/>
          <w:b w:val="1"/>
          <w:bCs w:val="1"/>
          <w:i w:val="1"/>
          <w:iCs w:val="1"/>
          <w:u w:val="single" w:color="auto"/>
          <w:color w:val="auto"/>
        </w:rPr>
        <w:t xml:space="preserve">Risks Relating to Credit and Capital Markets, Our Credit Rating, Borrowings and Dividends </w:t>
      </w:r>
      <w:r>
        <w:rPr>
          <w:rFonts w:ascii="Arial" w:cs="Arial" w:eastAsia="Arial" w:hAnsi="Arial"/>
          <w:sz w:val="17"/>
          <w:szCs w:val="17"/>
          <w:b w:val="1"/>
          <w:bCs w:val="1"/>
          <w:i w:val="1"/>
          <w:iCs w:val="1"/>
          <w:color w:val="auto"/>
        </w:rPr>
        <w:t>Increases in interest rates or changes in our credit ratings may negatively impact us.</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November 30, 2025, we had total outstanding variable rate debt of approximately $351.8 million at a weighted-average interest rate of approximately 4.06%. The interest rates under our revolving credit facilities can vary based on our credit ratings. We also regularly access the commercial paper markets for ongoing funding requirements. A downgrade in our credit ratings would increase our borrowing costs and could affect our ability to issue commercial paper. Additionally, disruptions in the commercial paper market or other effects of volatile economic conditions on the credit markets could also reduce the amount of commercial paper that we could issue and raise our borrowing costs. Our policy is to manage our interest rate risk by entering into both fixed and variable rate debt arrangements. We also use interest rate swaps to minimize worldwide financing cost and to achieve a desired mix of fixed and variable rate debt. On November 30, 2025, we had total outstanding fixed to variable interest rate swaps with a notional value of $ 500 million. We utilize derivative financial instruments to enhance our ability to manage risk, including interest rate exposures that exist as part of our ongoing business operations. We do not enter into contracts for trading purposes, nor are we a party to any leveraged derivative instruments. Our use of derivative financial instruments is monitored through regular communication with senior management and the utilization of written guidelines. However, our use of these instruments may not effectively limit or eliminate our exposure to changes in interest rates. Therefore, we cannot provide assurance that future credit rating or interest rate changes will not have a material negative impact on our business, financial position or operating results.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credit ratings impact the cost and availability of future borrowings and, accordingly, our cost of capital.</w:t>
      </w:r>
    </w:p>
    <w:p>
      <w:pPr>
        <w:spacing w:after="0" w:line="16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Our credit ratings reflect each rating organization's opinion of our financial strength, operating performance and ability to meet our debt obligations. Any reduction in our credit ratings may limit our ability to borrow as well as the interest rates that are associated with any such borrowing. If our credit ratings are downgraded or put on watch for a potential downgrade, we may not be able to sell additional debt securities or borrow money in the amounts, at the times or interest rates, or upon the more favorable terms and conditions that might be available if our current credit ratings were maintained.</w:t>
      </w:r>
    </w:p>
    <w:p>
      <w:pPr>
        <w:spacing w:after="0" w:line="127" w:lineRule="exact"/>
        <w:rPr>
          <w:sz w:val="20"/>
          <w:szCs w:val="20"/>
          <w:color w:val="auto"/>
        </w:rPr>
      </w:pPr>
    </w:p>
    <w:p>
      <w:pPr>
        <w:ind w:right="420"/>
        <w:spacing w:after="0" w:line="272" w:lineRule="auto"/>
        <w:rPr>
          <w:sz w:val="20"/>
          <w:szCs w:val="20"/>
          <w:color w:val="auto"/>
        </w:rPr>
      </w:pPr>
      <w:r>
        <w:rPr>
          <w:rFonts w:ascii="Arial" w:cs="Arial" w:eastAsia="Arial" w:hAnsi="Arial"/>
          <w:sz w:val="18"/>
          <w:szCs w:val="18"/>
          <w:b w:val="1"/>
          <w:bCs w:val="1"/>
          <w:i w:val="1"/>
          <w:iCs w:val="1"/>
          <w:color w:val="auto"/>
        </w:rPr>
        <w:t>We may incur additional indebtedness to finance our acquisitions that may limit our ability to, among other matters, issue additional indebtedness, meet our debt service requirements, react to rising interest rates, comply with certain covenants and compete with less highly leveraged competitors.</w:t>
      </w:r>
    </w:p>
    <w:p>
      <w:pPr>
        <w:spacing w:after="0" w:line="10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have a significant amount of indebtedness outstanding. As of November 30, 2025, our indebtedness of McCormick and its subsidiaries is approximately $4.0 billion. This substantial level of indebtedness could have important consequences to our business, including, but not limited to:</w:t>
      </w:r>
    </w:p>
    <w:p>
      <w:pPr>
        <w:spacing w:after="0" w:line="19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increasing our debt service obligations, making it more difficult for us to satisfy our obligations;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limiting our ability to borrow additional funds;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increasing our exposure to negative fluctuations in interest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subjecting us to financial and other restrictive covenants, the non-compliance with which could result in an event of default;</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52" w:right="379" w:bottom="1440" w:gutter="0" w:footer="0" w:header="0"/>
        </w:sectPr>
      </w:pPr>
    </w:p>
    <w:bookmarkStart w:id="15" w:name="page16"/>
    <w:bookmarkEnd w:id="15"/>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our vulnerability to, and reducing our flexibility to respond to, general adverse economic and industry conditions;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 in which we operate;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placing us at a competitive disadvantage as compared to our competitors, to the extent that they are not as highly leveraged.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deterioration of credit and capital markets may adversely affect our access to sources of funding.</w:t>
      </w:r>
    </w:p>
    <w:p>
      <w:pPr>
        <w:spacing w:after="0" w:line="16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rely on our revolving credit facilities, or borrowings backed by these facilities, to fund a portion of our working capital needs and other general corporate purposes, including funding of acquisitions. If any of the banks in the syndicates backing these facilities were unable to perform on its commitments, our liquidity could be impacted, which could adversely affect funding of seasonal working capital requirements. We engage in regular communication with all of the banks participating in our revolving credit facilities. During these communications, none of the banks have indicated that they may be unable to perform on their commitments. In addition, we periodically review our banking and financing relationships, considering the stability of the institutions, pricing we receive on services and other aspects of the relationships. Based on these communications and our monitoring activities, we believe the likelihood of one of our banks not performing on its commitment is remote.</w:t>
      </w:r>
    </w:p>
    <w:p>
      <w:pPr>
        <w:spacing w:after="0" w:line="13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global capital markets have experienced volatility in the past, including related to recession, financial instability or inflation, that has tightened access to capital markets and other sources of funding, and such volatility and tightened access could reoccur in the future. In the event that we need to access the capital markets or other sources of financing, there can be no assurance that we will be able to obtain financing on acceptable terms or within an acceptable time period. Our inability to obtain financing on acceptable terms or within an acceptable time period could have an adverse impact on our operations, financial condition and liquidity.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global economic conditions expose us to credit risks from customers and counterparties.</w:t>
      </w:r>
    </w:p>
    <w:p>
      <w:pPr>
        <w:spacing w:after="0" w:line="16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Consolidations in some of the industries in which our customers operate have created larger customers, some of which are highly leveraged. In addition, competition has increased with the growth in alternative channels through our customer base. These factors have caused some customers to be less profitable and increased our exposure to credit risk. Current credit markets are volatile, and some of our customers and counterparties are highly leveraged. A significant adverse change in the financial and/or credit position of a customer or counterparty could require us to assume greater credit risk relating to that customer or counterparty and could limit our ability to collect receivables. This could have an adverse impact on our financial condition and liquidity.</w:t>
      </w:r>
    </w:p>
    <w:p>
      <w:pPr>
        <w:spacing w:after="0" w:line="130" w:lineRule="exact"/>
        <w:rPr>
          <w:sz w:val="20"/>
          <w:szCs w:val="20"/>
          <w:color w:val="auto"/>
        </w:rPr>
      </w:pPr>
    </w:p>
    <w:p>
      <w:pPr>
        <w:ind w:right="40"/>
        <w:spacing w:after="0" w:line="294" w:lineRule="auto"/>
        <w:rPr>
          <w:sz w:val="20"/>
          <w:szCs w:val="20"/>
          <w:color w:val="auto"/>
        </w:rPr>
      </w:pPr>
      <w:r>
        <w:rPr>
          <w:rFonts w:ascii="Arial" w:cs="Arial" w:eastAsia="Arial" w:hAnsi="Arial"/>
          <w:sz w:val="18"/>
          <w:szCs w:val="18"/>
          <w:b w:val="1"/>
          <w:bCs w:val="1"/>
          <w:i w:val="1"/>
          <w:iCs w:val="1"/>
          <w:color w:val="auto"/>
        </w:rPr>
        <w:t>The declaration, payment and amount of dividends is made at the discretion of our board of directors and depends on a number of factors.</w:t>
      </w:r>
    </w:p>
    <w:p>
      <w:pPr>
        <w:spacing w:after="0" w:line="8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declaration, payment and amount of any dividends is made pursuant to our dividend policy and is subject to final determination each quarter by our board of directors in its discretion based on a number of factors that it deems relevant, including our financial position, results of operations, available cash resources, cash requirements and alternative uses of cash that our board of directors may conclude would be in the best interest of the company and our stockholders. Our dividend payments are subject to solvency conditions established by the Maryland General Corporation Law. Accordingly, there can be no assurance that any future dividends will be equal or similar in amount to any dividends previously paid or that our board of directors will not decide to reduce, suspend or discontinue the payment of dividends at any time in the future.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Related to Intellectual Property, Information Technology, and Cybersecurity</w:t>
      </w:r>
    </w:p>
    <w:p>
      <w:pPr>
        <w:spacing w:after="0" w:line="171" w:lineRule="exact"/>
        <w:rPr>
          <w:sz w:val="20"/>
          <w:szCs w:val="20"/>
          <w:color w:val="auto"/>
        </w:rPr>
      </w:pPr>
    </w:p>
    <w:p>
      <w:pPr>
        <w:ind w:right="260"/>
        <w:spacing w:after="0" w:line="294" w:lineRule="auto"/>
        <w:rPr>
          <w:sz w:val="20"/>
          <w:szCs w:val="20"/>
          <w:color w:val="auto"/>
        </w:rPr>
      </w:pPr>
      <w:r>
        <w:rPr>
          <w:rFonts w:ascii="Arial" w:cs="Arial" w:eastAsia="Arial" w:hAnsi="Arial"/>
          <w:sz w:val="18"/>
          <w:szCs w:val="18"/>
          <w:b w:val="1"/>
          <w:bCs w:val="1"/>
          <w:i w:val="1"/>
          <w:iCs w:val="1"/>
          <w:color w:val="auto"/>
        </w:rPr>
        <w:t>Our intellectual property rights, and those of our customers, could be infringed, challenged or impaired, and reduce the value of our products and brands or our business with customers.</w:t>
      </w:r>
    </w:p>
    <w:p>
      <w:pPr>
        <w:spacing w:after="0" w:line="8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possess intellectual property rights that are important to our business, and we are provided access by certain customers to particular intellectual property rights belonging to such customers. These intellectual property rights include ingredient formulas, trademarks, copyrights, patents, business processes and other trade secrets which are important to our business and relate to some of our products, our packaging, the processes for their production, and the design and operation of equipment used in our businesses. We protect our intellectual property rights, and those of certain customers, globally through a variety of means, including trademarks, copyrights, patents and trade secrets, third-party assignments and nondisclosure agreements, and monitoring of third-party misuses of intellectual property in traditional retail and digital environments. If we fail to obtain or adequately protect our intellectual</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16" w:name="page17"/>
    <w:bookmarkEnd w:id="16"/>
    <w:p>
      <w:pPr>
        <w:ind w:right="380"/>
        <w:spacing w:after="0" w:line="287" w:lineRule="auto"/>
        <w:rPr>
          <w:sz w:val="20"/>
          <w:szCs w:val="20"/>
          <w:color w:val="auto"/>
        </w:rPr>
      </w:pPr>
      <w:r>
        <w:rPr>
          <w:rFonts w:ascii="Arial" w:cs="Arial" w:eastAsia="Arial" w:hAnsi="Arial"/>
          <w:sz w:val="18"/>
          <w:szCs w:val="18"/>
          <w:color w:val="auto"/>
        </w:rPr>
        <w:t>property (and the intellectual property of customers to which we have been given access), the value of our products and brands could be reduced and there could be an adverse impact on our business, financial condition and results of operations.</w:t>
      </w:r>
    </w:p>
    <w:p>
      <w:pPr>
        <w:spacing w:after="0" w:line="101" w:lineRule="exact"/>
        <w:rPr>
          <w:sz w:val="20"/>
          <w:szCs w:val="20"/>
          <w:color w:val="auto"/>
        </w:rPr>
      </w:pPr>
    </w:p>
    <w:p>
      <w:pPr>
        <w:ind w:right="280"/>
        <w:spacing w:after="0" w:line="294" w:lineRule="auto"/>
        <w:rPr>
          <w:sz w:val="20"/>
          <w:szCs w:val="20"/>
          <w:color w:val="auto"/>
        </w:rPr>
      </w:pPr>
      <w:r>
        <w:rPr>
          <w:rFonts w:ascii="Arial" w:cs="Arial" w:eastAsia="Arial" w:hAnsi="Arial"/>
          <w:sz w:val="18"/>
          <w:szCs w:val="18"/>
          <w:b w:val="1"/>
          <w:bCs w:val="1"/>
          <w:i w:val="1"/>
          <w:iCs w:val="1"/>
          <w:color w:val="auto"/>
        </w:rPr>
        <w:t>Our operations and reputation may be impaired if our information technology systems fail to perform adequately or if we are the subject of a data breach or cyber-attack.</w:t>
      </w:r>
    </w:p>
    <w:p>
      <w:pPr>
        <w:spacing w:after="0" w:line="8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information technology systems are critically important to operating our business. We rely on our information technology systems, some of which are or may be managed or hosted by or outsourced to third party service providers, to manage our business data, communications, supply chain, order entry and fulfillment, and other business processes. If we do not allocate and effectively manage the resources necessary to build, sustain, and protect appropriate information technology systems and infrastructure, or we do not effectively implement system upgrades or oversee third party service providers, our business or financial results could be negatively impacted. The failure of our information technology systems to perform as we anticipate could disrupt our business and could result in transaction or reporting errors, processing inefficiencies and the loss of sales and customers, causing our business and results of operations to suffer.</w:t>
      </w:r>
    </w:p>
    <w:p>
      <w:pPr>
        <w:spacing w:after="0" w:line="12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Furthermore, our information technology systems, and the systems of our customers, vendors, suppliers, and other third-party service providers, are subject to cyber-attacks or other security incidents including computer viruses or other malicious codes, phishing attacks, unauthorized access attempts, cyber extortion, business email compromise, deepfake or social engineering schemes, denial of service attacks, hacking, ransomware, or other cyberattacks attempting to exploit vulnerabilities. Cybercriminals have increasingly demonstrated advanced capabilities, such as use of zero-day vulnerabilities, and rapid integration of new technology such as generative artificial intelligence. Such incidents could result in unauthorized access to information including customer, consumer or other company confidential data as well as disruptions to operations. Continued geopolitical conflicts have overall heightened the risk of cyberattacks. We, and the third-parties we do business with, have experienced in the past, and expect to continue to experience, cybersecurity threats and attacks, although to date none had a material impact on our operations or business. To address the risks to our information technology systems and data, we maintain an information security program that includes updating technology, developing security policies and procedures, implementing and assessing the effectiveness of controls, monitoring and routine testing of our information systems, conducting risk assessments of third-party service providers and designing business processes to mitigate the risk of such breaches. We believe that these preventative actions provide adequate measures of protection against security breaches and generally reduce our cybersecurity risks. However, cyber-threats are constantly evolving, are becoming more sophisticated including through the increased adoption of artificial intelligence and are being made by groups of individuals with a wide range of expertise and motives, which increases the difficulty of detecting and successfully defending against them. There can be no assurance that these measures will prevent or limit the impact of a future incident. Moreover, the development and maintenance of these measures require continuous monitoring as technologies change and efforts to overcome security measures evolve and leverage artificial intelligence. Additionally, we rely on services provided by third-party vendors for certain information technology processes and functions, which makes our operations vulnerable to a failure by any one of these vendors to perform adequately or maintain effective internal controls. If we are unable to prevent or adequately respond to and resolve an incident, it may have a material, negative impact on our operations or business reputation, and we may experience other adverse consequences such as loss of assets, remediation costs, litigation, regulatory investigations, and the failure by us to retain or attract customers following such an event.</w:t>
      </w:r>
    </w:p>
    <w:p>
      <w:pPr>
        <w:spacing w:after="0" w:line="135" w:lineRule="exact"/>
        <w:rPr>
          <w:sz w:val="20"/>
          <w:szCs w:val="20"/>
          <w:color w:val="auto"/>
        </w:rPr>
      </w:pPr>
    </w:p>
    <w:p>
      <w:pPr>
        <w:ind w:right="220"/>
        <w:spacing w:after="0" w:line="294" w:lineRule="auto"/>
        <w:rPr>
          <w:sz w:val="20"/>
          <w:szCs w:val="20"/>
          <w:color w:val="auto"/>
        </w:rPr>
      </w:pPr>
      <w:r>
        <w:rPr>
          <w:rFonts w:ascii="Arial" w:cs="Arial" w:eastAsia="Arial" w:hAnsi="Arial"/>
          <w:sz w:val="18"/>
          <w:szCs w:val="18"/>
          <w:b w:val="1"/>
          <w:bCs w:val="1"/>
          <w:i w:val="1"/>
          <w:iCs w:val="1"/>
          <w:color w:val="auto"/>
        </w:rPr>
        <w:t>If we are not able to successfully implement our business transformation initiative or utilize information technology systems and networks effectively, our ability to conduct our business may be negatively impacted.</w:t>
      </w:r>
    </w:p>
    <w:p>
      <w:pPr>
        <w:spacing w:after="0" w:line="8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continue to implement our multi-year business transformation initiative to execute significant change to our global processes, capabilities and operating model , including in our Global Business Services (GBS) operating model initiative, in order to provide a scalable platform for future growth, while reducing costs. As technology provides the backbone for greater process alignment, information sharing and scalability, we are also making investments in our information systems, including the multi-year program to replace our enterprise resource planning (ERP) system currently underway, which includes the transformation of our financial processing systems to enterprise-wide systems solutions. These systems implementations are part of our ongoing business transformation initiative, and we currently plan to implement these systems throughout all parts of our businesses. If we do not allocate and effectively manage the resources necessary to build and sustain the proper information technology infrastructure, or if we fail to achieve the expected benefits from this initiative, it may impact our ability to process</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17" w:name="page18"/>
    <w:bookmarkEnd w:id="17"/>
    <w:p>
      <w:pPr>
        <w:spacing w:after="0" w:line="259" w:lineRule="auto"/>
        <w:rPr>
          <w:sz w:val="20"/>
          <w:szCs w:val="20"/>
          <w:color w:val="auto"/>
        </w:rPr>
      </w:pPr>
      <w:r>
        <w:rPr>
          <w:rFonts w:ascii="Arial" w:cs="Arial" w:eastAsia="Arial" w:hAnsi="Arial"/>
          <w:sz w:val="18"/>
          <w:szCs w:val="18"/>
          <w:color w:val="auto"/>
        </w:rPr>
        <w:t>transactions accurately and efficiently and remain in step with the changing needs of our business, which could result in the loss of customers and revenue. In addition, failure to either deliver the applications on time or anticipate the necessary readiness and training needs, could lead to business disruption and loss of customers and revenue. In connection with these implementations and resulting business process changes, we continue to enhance the design and documentation of business processes and controls, including our internal control over financial reporting processes, to maintain effective controls over our financial reporting.</w:t>
      </w:r>
    </w:p>
    <w:p>
      <w:pPr>
        <w:spacing w:after="0" w:line="1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utilize cloud-based services and systems and networks managed by third-party vendors to process, transmit and store information and to conduct certain of our business activities and transactions with employees, customers, vendors and other third parties. Our utilization of these cloud-based services and systems will increase as we implement our business transformation initiatives. If any of these third-party service providers or vendors do not perform effectively, or if we fail to adequately monitor their performance (including compliance with service-level agreements or regulatory or legal requirements), we may have to incur additional costs to correct errors made by such service providers, our reputation could be harmed or we could be subject to litigation, claims, legal or regulatory proceedings, inquiries or investigations. Depending on the function involved, such errors may also lead to business disruption, processing inefficiencies, the loss of or damage to intellectual property or sensitive data through security breaches or otherwise, incorrect or adverse effects on financial reporting, litigation or remediation costs, or damage to our reputation, which could have a negative impact on employee morale. In addition, the management of multiple third-party service providers increases operational complexity and decreases our control.</w:t>
      </w:r>
    </w:p>
    <w:p>
      <w:pPr>
        <w:spacing w:after="0" w:line="133" w:lineRule="exact"/>
        <w:rPr>
          <w:sz w:val="20"/>
          <w:szCs w:val="20"/>
          <w:color w:val="auto"/>
        </w:rPr>
      </w:pPr>
    </w:p>
    <w:p>
      <w:pPr>
        <w:ind w:right="5100"/>
        <w:spacing w:after="0" w:line="437" w:lineRule="auto"/>
        <w:rPr>
          <w:sz w:val="20"/>
          <w:szCs w:val="20"/>
          <w:color w:val="auto"/>
        </w:rPr>
      </w:pPr>
      <w:r>
        <w:rPr>
          <w:rFonts w:ascii="Arial" w:cs="Arial" w:eastAsia="Arial" w:hAnsi="Arial"/>
          <w:sz w:val="18"/>
          <w:szCs w:val="18"/>
          <w:b w:val="1"/>
          <w:bCs w:val="1"/>
          <w:i w:val="1"/>
          <w:iCs w:val="1"/>
          <w:u w:val="single" w:color="auto"/>
          <w:color w:val="auto"/>
        </w:rPr>
        <w:t xml:space="preserve">Risks Related to Our Global Business, Litigation, Laws and Regulations </w:t>
      </w:r>
      <w:r>
        <w:rPr>
          <w:rFonts w:ascii="Arial" w:cs="Arial" w:eastAsia="Arial" w:hAnsi="Arial"/>
          <w:sz w:val="18"/>
          <w:szCs w:val="18"/>
          <w:b w:val="1"/>
          <w:bCs w:val="1"/>
          <w:i w:val="1"/>
          <w:iCs w:val="1"/>
          <w:color w:val="auto"/>
        </w:rPr>
        <w:t>Laws and regulations could adversely affect our business.</w:t>
      </w:r>
    </w:p>
    <w:p>
      <w:pPr>
        <w:spacing w:after="0" w:line="252" w:lineRule="auto"/>
        <w:rPr>
          <w:sz w:val="20"/>
          <w:szCs w:val="20"/>
          <w:color w:val="auto"/>
        </w:rPr>
      </w:pPr>
      <w:r>
        <w:rPr>
          <w:rFonts w:ascii="Arial" w:cs="Arial" w:eastAsia="Arial" w:hAnsi="Arial"/>
          <w:sz w:val="18"/>
          <w:szCs w:val="18"/>
          <w:color w:val="auto"/>
        </w:rPr>
        <w:t>Food products are extensively regulated in most of the countries in which we sell our products. We are subject to numerous laws and regulations relating to the growing, sourcing, manufacturing, storage, labeling, marketing, advertising and distribution of food products, as well as laws and regulations relating to financial reporting requirements, the environment, consumer protection, product design, competition, anti-corruption, privacy, machine learning and artificial intelligence, relations with distributors and retailers, foreign supplier verification, customs and trade laws, including the import and export of products and product ingredients, employment, and health and safety. Changes in global trade policies, including tariffs, have impacted and may continue to impact our financial condition or results of operations. Enforcement of existing laws and regulations, including changes in the enforcement priorities of regulators, changes in legal requirements, and/or evolving interpretations of existing regulatory requirements may result in increased compliance costs and create other obligations, financial or otherwise, that could adversely affect our business, financial condition or operating results. Increased regulatory scrutiny of, and increased litigation involving, product claims and concerns regarding the attributes of food products and ingredients may increase compliance costs and create other obligations that could adversely affect our business, financial condition or operating results. Governments may also impose requirements and restrictions that impact our business, such as labeling disclosures pertaining to ingredients. For example, "Proposition 65, the Safe Drinking Water and Toxic Enforcement Act of 1986," in California exposes all food companies to the possibility of having to provide warnings on their products in that state. If we were required to add warning labels to any of our products or place warnings in locations where our products are sold in order to comply with Proposition 65, the sales of those products and other products of our company could suffer, not only in those locations but elsewhere. We are subject to continued legislative and regulatory developments with respect to food ingredients at the state and federal levels, as well as related changes in consumer expectations and behavior. In April 2025, the Food and Drug Administration (FDA) called on the industry to phase out all “petroleum-based synthetic dyes” from the nation’s food supply, and in May 2025, the Make America Healthy Again (MAHA) Commission published an assessment report discussing factors contributing to chronic childhood disease including diet, environmental exposure, lack of physical activity and healthcare. The MAHA Commission publicly released its strategy report, setting forth certain recommendations for addressing chronic childhood disease, in September 2025. While the effects of these proposals remain uncertain at this time, changes to laws and regulations could impact our business, financial condition and results of operations.</w:t>
      </w:r>
    </w:p>
    <w:p>
      <w:pPr>
        <w:spacing w:after="0" w:line="13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addition, there are various compliance obligations for companies that process personal data of certain individuals, including such obligations required by the European Union’s General Data Protection Regulation (GDPR), which affects all member states of the European Economic Area, and the California Consumer Privacy Act (CCPA) and other state comprehensive privacy laws. These types of data privacy laws create a range of compliance obligations for companies that process personal data of certain individuals and increases financial penalties for non-compliance. We expect there will continue to be new, and amendments to existing, laws, regulations and industry standards concerning privacy, data protection and information security proposed and enacted in the U.S. and outside of the U.S. Our efforts to comply with these privacy and data protection laws may not be successful, or may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be perceived to be unsuccessful, which could adversely affect our business in the U.S., the European Union and in other countries.</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There also is the threat of consumer class actions related to these laws and the overall protection of personal data. Even if we are not determined to have violated these laws, government investigations into these issues typically require the expenditure of significant resources and generate negative publicity, which could harm our reputation and our business.</w:t>
      </w:r>
    </w:p>
    <w:p>
      <w:pPr>
        <w:spacing w:after="0" w:line="119" w:lineRule="exact"/>
        <w:rPr>
          <w:sz w:val="20"/>
          <w:szCs w:val="20"/>
          <w:color w:val="auto"/>
        </w:rPr>
      </w:pPr>
    </w:p>
    <w:p>
      <w:pPr>
        <w:ind w:right="260"/>
        <w:spacing w:after="0" w:line="294" w:lineRule="auto"/>
        <w:rPr>
          <w:sz w:val="20"/>
          <w:szCs w:val="20"/>
          <w:color w:val="auto"/>
        </w:rPr>
      </w:pPr>
      <w:r>
        <w:rPr>
          <w:rFonts w:ascii="Arial" w:cs="Arial" w:eastAsia="Arial" w:hAnsi="Arial"/>
          <w:sz w:val="18"/>
          <w:szCs w:val="18"/>
          <w:b w:val="1"/>
          <w:bCs w:val="1"/>
          <w:i w:val="1"/>
          <w:iCs w:val="1"/>
          <w:color w:val="auto"/>
        </w:rPr>
        <w:t>Litigation, legal or administrative proceedings could have an adverse impact on our business and financial condition or damage our reputation.</w:t>
      </w:r>
    </w:p>
    <w:p>
      <w:pPr>
        <w:spacing w:after="0" w:line="8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party to a variety of legal claims and proceedings in the ordinary course of business. In addition, we may be subject to additional kinds of claims in the future, including consumer class actions related to privacy and data security and the overall protection of personal data. Since litigation is inherently uncertain, there is no guarantee that we will be successful in defending ourselves against such claims or proceedings, or that management’s assessment of the materiality or immateriality of these matters, including any reserves taken in connection with such matters, will be consistent with the ultimate outcome of such claims or proceedings. In the event that management’s assessment of the materiality or immateriality of current claims and proceedings proves inaccurate, or litigation that is material arises in the future, there may be a material adverse effect on our financial condition. Any adverse publicity resulting from allegations made in litigation claims or legal or administrative proceedings (even if untrue) may also adversely affect our reputation. These factors and others could have an adverse impact on our business and financial condition or damage our reputation.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and cross-border operations are subject to additional risks.</w:t>
      </w:r>
    </w:p>
    <w:p>
      <w:pPr>
        <w:spacing w:after="0" w:line="16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operate our business and market our products internationally. In fiscal year 2025, approximately 39% of our sales were generated in countries other than the U.S. Our international operations are subject to additional risks, including fluctuations in currency values, foreign currency exchange controls, discriminatory fiscal policies, compliance with U.S. and foreign laws, enforcement of remedies in foreign jurisdictions and other economic or political uncertainties. Several countries within the European Union continue to experience sovereign debt and credit issues, which causes more volatility in the economic environment throughout the European Union and the U.K. Additionally, sales in countries other than the U.S., together with finished goods and raw materials imported into the U.S., are subject to risks related to fundamental changes to tax laws as well as the imposition of tariffs, quotas, trade barriers and other similar restrictions. All of these risks could result in increased costs or decreased revenues, which could adversely affect our profitability.</w:t>
      </w:r>
    </w:p>
    <w:p>
      <w:pPr>
        <w:spacing w:after="0" w:line="133" w:lineRule="exact"/>
        <w:rPr>
          <w:sz w:val="20"/>
          <w:szCs w:val="20"/>
          <w:color w:val="auto"/>
        </w:rPr>
      </w:pPr>
    </w:p>
    <w:p>
      <w:pPr>
        <w:ind w:right="40"/>
        <w:spacing w:after="0" w:line="294" w:lineRule="auto"/>
        <w:rPr>
          <w:sz w:val="20"/>
          <w:szCs w:val="20"/>
          <w:color w:val="auto"/>
        </w:rPr>
      </w:pPr>
      <w:r>
        <w:rPr>
          <w:rFonts w:ascii="Arial" w:cs="Arial" w:eastAsia="Arial" w:hAnsi="Arial"/>
          <w:sz w:val="18"/>
          <w:szCs w:val="18"/>
          <w:b w:val="1"/>
          <w:bCs w:val="1"/>
          <w:i w:val="1"/>
          <w:iCs w:val="1"/>
          <w:color w:val="auto"/>
        </w:rPr>
        <w:t>The global nature of our business, changes in tax legislation and the resolution of tax uncertainties create volatility in our effective tax rate.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As a global business, our tax rate from period to period can be affected by many factors, including changes in tax</w:t>
      </w:r>
    </w:p>
    <w:p>
      <w:pPr>
        <w:spacing w:after="0" w:line="27"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legislation, our global mix of earnings, the tax characteristics of our income, acquisitions and dispositions, adjustments to our reserves related to uncertain tax positions, changes in valuation allowances, and the portion of the income of international subsidiaries that we expect to remit to the U.S. and that will be taxable.</w:t>
      </w:r>
    </w:p>
    <w:p>
      <w:pPr>
        <w:spacing w:after="0" w:line="12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addition, significant judgment is required in determining our effective tax rate and in evaluating our tax positions. We establish accruals for certain tax contingencies when, despite the belief that our tax return positions are appropriately supported, the positions are uncertain. The tax contingency accruals are adjusted in light of changing facts and circumstances, such as the progress of tax audits, case law and emerging legislation. Our effective tax rate includes the impact of tax contingency accruals and changes to those accruals, including related interest and penalties, as considered appropriate by management. When particular matters arise, a number of years may elapse before such matters are audited and finally resolved. Favorable resolution of such matters could be recognized as a reduction to our effective tax rate in the year of resolution. Unfavorable resolution of any particular issue could increase the effective tax rate and may require the use of cash in the year of resolution.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00539B"/>
        </w:rPr>
        <w:t>ITEM 1B. UNRESOLVED STAFF COMMENTS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2"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00539B"/>
        </w:rPr>
        <w:t>ITEM 1C. CYBERSECURITY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Management and Strategy</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Cybersecurity risk management is overseen both as a critical component of our overall Enterprise Risk Management program and as a standalone program. We have implemented a risk-based, multilayered approach to assessing, identifying, and managing cybersecurity threats and incidents, while also implementing controls and procedures that provide for the prompt escalation of certain cybersecurity incidents.</w:t>
      </w:r>
    </w:p>
    <w:p>
      <w:pPr>
        <w:spacing w:after="0" w:line="12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12529"/>
        </w:rPr>
        <w:t>The team devotes significant resources to our cybersecurity risk management, which focuses on developing and implementing strategies and processes to protect the confidentiality, integrity, and availability of our assets and those of our consumers, customers and employees and seeks to continually improve our policies and practices to protect our platforms, adapt to changes in regulations, identify potential and emerging security risks such as those due to the increased availability of artificial intelligence and develop mitigation strategies for those risks. As part of this effort, the team periodically benchmarks our practices against the NIST Cyber Security and Privacy Frameworks, and other good practice control methods, which include updating technology, developing data privacy and security policies and procedures, implementing and assessing the effectiveness of controls, monitoring and routine testing of our information systems, conducting risk assessments of third-party service providers, providing data privacy and cybersecurity awareness training to employees and designing business processes to protect private data and mitigate the risk of cybersecurity incidents. We periodically conduct tests on our systems to help discover potential vulnerabilities, which enable improved decision-making and prioritization and promote monitoring and reporting across compliance functions. We believe that these actions provide adequate measures of protection against security breaches and generally reduce our cybersecurity risks, and we have not had a material cybersecurity threat or attack to date.</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processes also address cybersecurity risks associated with our use of third-party service providers including suppliers, and software and cloud-based service providers. We proactively evaluate the cybersecurity risk of our third-party service providers by utilizing a repository of risk assessments, external monitoring sources, threat intelligence and predictive analytics to better inform ourselves during contracting and vendor selection processes. Third-party service providers security issues are documented, tracked, and monitored in order to mitigate risk.</w:t>
      </w:r>
    </w:p>
    <w:p>
      <w:pPr>
        <w:spacing w:after="0" w:line="12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212529"/>
        </w:rPr>
        <w:t>Our employees, including part-time and temporary employees, undertake an annual cybersecurity training program, which is augmented by additional training and communications on information security and data privacy matters throughout the year.</w:t>
      </w:r>
    </w:p>
    <w:p>
      <w:pPr>
        <w:spacing w:after="0" w:line="9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adopted an incident response plan that applies in the event of a cybersecurity threat or incident to provide a standardized framework for responding to such cybersecurity threats or incidents. The plan sets out a coordinated approach to investigating, containing, documenting, and mitigating incidents, including reporting findings and keeping our Management Committee, the Audit Committee, the Board, and other key stakeholders informed and involved as appropriate. The plan is aligned to NIST guidance. It also includes the involvement of any personnel who may detect incidents, respond to incidents, resolve incidents, and manage communications and responsibilities with authorities about those incidents. The plan applies to all personnel (including third-party contractors, vendors, and partners) that perform functions or services requiring access to secure Company information, and to all devices and network services that are owned or managed by us.</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Further, we currently maintain a cybersecurity insurance that provides coverage for certain types of incidents; however, such insurance may not be sufficient in type or amount to cover claims related to all cyber threats or risks.</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While we have not experienced any material cybersecurity threats or incidents that have materially affected or are reasonably likely to materially affect us, including our business strategy, results of operations or financial condition, as of the date of this Annual Report on Form 10-K, there can be no guarantee that we will not be the subject of future threats or incidents. Additional information on cybersecurity risks we face can be found in Item 1A, Risk Factors, which should be read in conjunction with the foregoing information.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Governance and Oversight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12529"/>
        </w:rPr>
        <w:t xml:space="preserve">Our Board and the Audit Committee are actively engaged in the oversight of our cybersecurity and data privacy program. The Board, at least annually, and the Audit Committee, periodically throughout the year, receive regular reports from our Chief Information Security Officer (“CISO”) and members of the information security team on, among other things, recent developments, the state of the information security program, assessments of risks and threats to our information security systems, </w:t>
      </w:r>
      <w:r>
        <w:rPr>
          <w:rFonts w:ascii="Arial" w:cs="Arial" w:eastAsia="Arial" w:hAnsi="Arial"/>
          <w:sz w:val="18"/>
          <w:szCs w:val="18"/>
          <w:color w:val="000000"/>
        </w:rPr>
        <w:t>information security considerations arising with respect to our</w:t>
      </w:r>
      <w:r>
        <w:rPr>
          <w:rFonts w:ascii="Arial" w:cs="Arial" w:eastAsia="Arial" w:hAnsi="Arial"/>
          <w:sz w:val="18"/>
          <w:szCs w:val="18"/>
          <w:color w:val="212529"/>
        </w:rPr>
        <w:t xml:space="preserve"> </w:t>
      </w:r>
      <w:r>
        <w:rPr>
          <w:rFonts w:ascii="Arial" w:cs="Arial" w:eastAsia="Arial" w:hAnsi="Arial"/>
          <w:sz w:val="18"/>
          <w:szCs w:val="18"/>
          <w:color w:val="000000"/>
        </w:rPr>
        <w:t>peers and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20" w:name="page21"/>
    <w:bookmarkEnd w:id="20"/>
    <w:p>
      <w:pPr>
        <w:jc w:val="both"/>
        <w:spacing w:after="0" w:line="262" w:lineRule="auto"/>
        <w:rPr>
          <w:sz w:val="20"/>
          <w:szCs w:val="20"/>
          <w:color w:val="auto"/>
        </w:rPr>
      </w:pPr>
      <w:r>
        <w:rPr>
          <w:rFonts w:ascii="Arial" w:cs="Arial" w:eastAsia="Arial" w:hAnsi="Arial"/>
          <w:sz w:val="18"/>
          <w:szCs w:val="18"/>
          <w:color w:val="auto"/>
        </w:rPr>
        <w:t xml:space="preserve">third parties, </w:t>
      </w:r>
      <w:r>
        <w:rPr>
          <w:rFonts w:ascii="Arial" w:cs="Arial" w:eastAsia="Arial" w:hAnsi="Arial"/>
          <w:sz w:val="18"/>
          <w:szCs w:val="18"/>
          <w:color w:val="212529"/>
        </w:rPr>
        <w:t>third-party and independent reviews, and processes to maintain and strengthen information security systems. Under the</w:t>
      </w:r>
      <w:r>
        <w:rPr>
          <w:rFonts w:ascii="Arial" w:cs="Arial" w:eastAsia="Arial" w:hAnsi="Arial"/>
          <w:sz w:val="18"/>
          <w:szCs w:val="18"/>
          <w:color w:val="auto"/>
        </w:rPr>
        <w:t xml:space="preserve"> </w:t>
      </w:r>
      <w:r>
        <w:rPr>
          <w:rFonts w:ascii="Arial" w:cs="Arial" w:eastAsia="Arial" w:hAnsi="Arial"/>
          <w:sz w:val="18"/>
          <w:szCs w:val="18"/>
          <w:color w:val="212529"/>
        </w:rPr>
        <w:t>oversight of the Audit Committee, we engage third-party experts to assess the state of our cybersecurity and data privacy program. The Audit Committee also provides regular updates to the Board, and the Board would be notified between such updates regarding significant new cybersecurity threats or incidents.</w:t>
      </w:r>
    </w:p>
    <w:p>
      <w:pPr>
        <w:spacing w:after="0" w:line="12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have protocols by which certain cybersecurity incidents that meet established reporting thresholds are escalated internally and, where appropriate, reported to the Management Committee, the Audit Committee or the Board in a timely manner.</w:t>
      </w:r>
    </w:p>
    <w:p>
      <w:pPr>
        <w:spacing w:after="0" w:line="9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an Executive Cybersecurity Steering Committee that is facilitated by our CISO, which is designed to engage business leadership and employ best practices, including ongoing enhancements to governance, risk and compliance. We have adopted governance policies and procedures related to artificial intelligence development, deployment and monitoring. Our internal audit function also performs independent testing on aspects of the operations of our cybersecurity program and the supporting controls based upon its risk-based internal audit plan and reports the results of these audits in its periodic reports to the Audit Committee. Our CISO currently reports to our Chief Information and Digital Officer and is responsible for training and leading a dedicated information security team tasked with protecting data and preventing, identifying, and appropriately addressing cybersecurity threats. The CISO is a Certified Information Systems Security Professional with over 20 years of experience developing and maturing information security programs, including experience with leading privacy, enterprise risk, records management, business continuity and operational risk programs, among others.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00539B"/>
        </w:rPr>
        <w:t>ITEM 2. PROPERTIES</w:t>
      </w:r>
    </w:p>
    <w:p>
      <w:pPr>
        <w:spacing w:after="0" w:line="104"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Our principal executive offices and primary research facilities are leased and owned, respectively, and are located in suburban Baltimore, Maryland.</w:t>
      </w:r>
    </w:p>
    <w:p>
      <w:pPr>
        <w:spacing w:after="0" w:line="9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following is a list of our principal manufacturing properties, all of which are owned except for the facilities in Commerce, California; Lakewood, New Jersey; Melbourne, Australia; and Florence, Italy, which are leased. The manufacturing facilities that we own in Guangzhou, Shanghai, and Wuhan, China are each located on land subject to long-term leases: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Hunt Valley, Maryland–Consumer and Flavor Solutions</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(3 principal plants)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Gretna, Louisiana–Consumer and Flavor Solutions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South Bend, Indiana–Consumer and Flavor Solutions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Atlanta, Georgia–Flavor Solutions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Commerce, California–Consumer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Irving, Texas–Flavor Solutions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Lakewood, New Jersey–Flavor Solutions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Geneva, Illinois–Flavor Solutions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Springfield, Missouri–Consumer and Flavor Solutions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Belcamp, Maryland–Consumer and Flavor Solutions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London, Ontario–Consumer and Flavor Solutions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Cuautitlán de Romero Rubio–Consumer and Flavor Solutions (2 principal plants)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San Luis Potosí–Consumer and Flavor Solutions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Haddenham, England–Consumer and Flavor Solutions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Peterborough, England–Flavor Solutions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Carpentras–Consumer and Flavor Solutions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Monteux–Consumer and Flavor Solutions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Poland:</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Stefanowo–Consumer</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Florence–Consumer and Flavor Solutions (2 principal plants)</w:t>
      </w:r>
    </w:p>
    <w:p>
      <w:pPr>
        <w:sectPr>
          <w:pgSz w:w="11900" w:h="16838" w:orient="portrait"/>
          <w:cols w:equalWidth="0" w:num="1">
            <w:col w:w="11240"/>
          </w:cols>
          <w:pgMar w:left="320" w:top="1052" w:right="3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color w:val="auto"/>
        </w:rPr>
        <w:t>China:</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Guangzhou–Consumer and Flavor Solutions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Shanghai–Consumer and Flavor Solutions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Wuhan–Consumer and Flavor Solutions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Melbourne–Consumer and Flavor Solutions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Palmwoods–Consumer</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Thailand:</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Chonburi–Consumer and Flavor Solutions</w:t>
      </w:r>
    </w:p>
    <w:p>
      <w:pPr>
        <w:spacing w:after="0" w:line="15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addition to distribution facilities and warehouse space available at our manufacturing facilities, we lease the following regional distribution facilities: (i) U.S.: Baltimore, Maryland; Salinas, California; Byhalia, Mississippi; Irving, Texas; and Springfield, Missouri; (ii) Canada: Mississauga and London, Ontario; (iii) Heywood, U.K.; and (iv) Compans, France. We also own a distribution facility in Monteux, France. In addition, we own, lease, or contract other properties used for manufacturing Consumer and Flavor Solutions products and for sales, warehousing, distribution, and administrative functions.</w:t>
      </w:r>
    </w:p>
    <w:p>
      <w:pPr>
        <w:spacing w:after="0" w:line="125"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We believe our plants are well maintained and suitable for their intended use. We further believe that these plants generally have adequate capacity or the ability to expand, and can accommodate seasonal demands, changing product mixes, and additional growth.</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539B"/>
        </w:rPr>
        <w:t>ITEM 3. LEGAL PROCEEDINGS</w:t>
      </w:r>
    </w:p>
    <w:p>
      <w:pPr>
        <w:spacing w:after="0" w:line="104"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There are no material pending legal proceedings in which we or any of our subsidiaries are a party or to which any of our or their property is the subject.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539B"/>
        </w:rPr>
        <w:t>ITEM 4. MINE SAFETY DISCLOSURES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15175"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right="440"/>
        <w:spacing w:after="0" w:line="296" w:lineRule="auto"/>
        <w:rPr>
          <w:sz w:val="20"/>
          <w:szCs w:val="20"/>
          <w:color w:val="auto"/>
        </w:rPr>
      </w:pPr>
      <w:r>
        <w:rPr>
          <w:rFonts w:ascii="Arial" w:cs="Arial" w:eastAsia="Arial" w:hAnsi="Arial"/>
          <w:sz w:val="18"/>
          <w:szCs w:val="18"/>
          <w:b w:val="1"/>
          <w:bCs w:val="1"/>
          <w:color w:val="00539B"/>
        </w:rPr>
        <w:t>ITEM 5. MARKET FOR REGISTRANT’S COMMON EQUITY, RELATED STOCKHOLDER MATTERS AND ISSUER PURCHASES OF EQUITY SECURITIES</w:t>
      </w:r>
    </w:p>
    <w:p>
      <w:pPr>
        <w:spacing w:after="0" w:line="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Common Stock and Common Stock Non-Voting are listed and traded on the New York Stock Exchange (NYSE). Our Common Stock and Common Stock Non-Voting trade under the ticker symbols MKC.V and MKC, respectively. We have disclosed the information related to the dividends declared and paid on our classes of common stock in Note 16 of the accompanying financial statements. The market price of our common stock at the close of business on December 31, 2025 was $68.01 per share for the Common Stock and $68.11 per share for the Common Stock Non-Voting.</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The approximate number of holders of our common stock based on record ownership as of December 31, 2025 was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4580" w:type="dxa"/>
            <w:vAlign w:val="bottom"/>
          </w:tcPr>
          <w:p>
            <w:pPr>
              <w:jc w:val="center"/>
              <w:ind w:left="2428"/>
              <w:spacing w:after="0"/>
              <w:rPr>
                <w:sz w:val="20"/>
                <w:szCs w:val="20"/>
                <w:color w:val="auto"/>
              </w:rPr>
            </w:pPr>
            <w:r>
              <w:rPr>
                <w:rFonts w:ascii="Arial" w:cs="Arial" w:eastAsia="Arial" w:hAnsi="Arial"/>
                <w:sz w:val="14"/>
                <w:szCs w:val="14"/>
                <w:color w:val="auto"/>
              </w:rPr>
              <w:t>Approximate</w:t>
            </w:r>
          </w:p>
        </w:tc>
        <w:tc>
          <w:tcPr>
            <w:tcW w:w="0" w:type="dxa"/>
            <w:vAlign w:val="bottom"/>
          </w:tcPr>
          <w:p>
            <w:pPr>
              <w:spacing w:after="0"/>
              <w:rPr>
                <w:sz w:val="1"/>
                <w:szCs w:val="1"/>
                <w:color w:val="auto"/>
              </w:rPr>
            </w:pPr>
          </w:p>
        </w:tc>
      </w:tr>
      <w:tr>
        <w:trPr>
          <w:trHeight w:val="144"/>
        </w:trPr>
        <w:tc>
          <w:tcPr>
            <w:tcW w:w="6620" w:type="dxa"/>
            <w:vAlign w:val="bottom"/>
          </w:tcPr>
          <w:p>
            <w:pPr>
              <w:spacing w:after="0"/>
              <w:rPr>
                <w:sz w:val="12"/>
                <w:szCs w:val="12"/>
                <w:color w:val="auto"/>
              </w:rPr>
            </w:pPr>
          </w:p>
        </w:tc>
        <w:tc>
          <w:tcPr>
            <w:tcW w:w="4580" w:type="dxa"/>
            <w:vAlign w:val="bottom"/>
          </w:tcPr>
          <w:p>
            <w:pPr>
              <w:jc w:val="center"/>
              <w:ind w:left="2428"/>
              <w:spacing w:after="0" w:line="145" w:lineRule="exact"/>
              <w:rPr>
                <w:sz w:val="20"/>
                <w:szCs w:val="20"/>
                <w:color w:val="auto"/>
              </w:rPr>
            </w:pPr>
            <w:r>
              <w:rPr>
                <w:rFonts w:ascii="Arial" w:cs="Arial" w:eastAsia="Arial" w:hAnsi="Arial"/>
                <w:sz w:val="14"/>
                <w:szCs w:val="14"/>
                <w:color w:val="auto"/>
              </w:rPr>
              <w:t>number</w:t>
            </w:r>
          </w:p>
        </w:tc>
        <w:tc>
          <w:tcPr>
            <w:tcW w:w="0" w:type="dxa"/>
            <w:vAlign w:val="bottom"/>
          </w:tcPr>
          <w:p>
            <w:pPr>
              <w:spacing w:after="0"/>
              <w:rPr>
                <w:sz w:val="1"/>
                <w:szCs w:val="1"/>
                <w:color w:val="auto"/>
              </w:rPr>
            </w:pPr>
          </w:p>
        </w:tc>
      </w:tr>
      <w:tr>
        <w:trPr>
          <w:trHeight w:val="139"/>
        </w:trPr>
        <w:tc>
          <w:tcPr>
            <w:tcW w:w="6620" w:type="dxa"/>
            <w:vAlign w:val="bottom"/>
            <w:vMerge w:val="restart"/>
          </w:tcPr>
          <w:p>
            <w:pPr>
              <w:ind w:left="20"/>
              <w:spacing w:after="0"/>
              <w:rPr>
                <w:sz w:val="20"/>
                <w:szCs w:val="20"/>
                <w:color w:val="auto"/>
              </w:rPr>
            </w:pPr>
            <w:r>
              <w:rPr>
                <w:rFonts w:ascii="Arial" w:cs="Arial" w:eastAsia="Arial" w:hAnsi="Arial"/>
                <w:sz w:val="14"/>
                <w:szCs w:val="14"/>
                <w:color w:val="auto"/>
              </w:rPr>
              <w:t>Title of class</w:t>
            </w:r>
          </w:p>
        </w:tc>
        <w:tc>
          <w:tcPr>
            <w:tcW w:w="4580" w:type="dxa"/>
            <w:vAlign w:val="bottom"/>
          </w:tcPr>
          <w:p>
            <w:pPr>
              <w:jc w:val="center"/>
              <w:ind w:left="2428"/>
              <w:spacing w:after="0" w:line="139" w:lineRule="exact"/>
              <w:rPr>
                <w:sz w:val="20"/>
                <w:szCs w:val="20"/>
                <w:color w:val="auto"/>
              </w:rPr>
            </w:pPr>
            <w:r>
              <w:rPr>
                <w:rFonts w:ascii="Arial" w:cs="Arial" w:eastAsia="Arial" w:hAnsi="Arial"/>
                <w:sz w:val="14"/>
                <w:szCs w:val="14"/>
                <w:color w:val="auto"/>
              </w:rPr>
              <w:t>of record</w:t>
            </w:r>
          </w:p>
        </w:tc>
        <w:tc>
          <w:tcPr>
            <w:tcW w:w="0" w:type="dxa"/>
            <w:vAlign w:val="bottom"/>
          </w:tcPr>
          <w:p>
            <w:pPr>
              <w:spacing w:after="0"/>
              <w:rPr>
                <w:sz w:val="1"/>
                <w:szCs w:val="1"/>
                <w:color w:val="auto"/>
              </w:rPr>
            </w:pPr>
          </w:p>
        </w:tc>
      </w:tr>
      <w:tr>
        <w:trPr>
          <w:trHeight w:val="194"/>
        </w:trPr>
        <w:tc>
          <w:tcPr>
            <w:tcW w:w="6620" w:type="dxa"/>
            <w:vAlign w:val="bottom"/>
            <w:tcBorders>
              <w:bottom w:val="single" w:sz="8" w:color="00539B"/>
            </w:tcBorders>
            <w:vMerge w:val="continue"/>
          </w:tcPr>
          <w:p>
            <w:pPr>
              <w:spacing w:after="0"/>
              <w:rPr>
                <w:sz w:val="16"/>
                <w:szCs w:val="16"/>
                <w:color w:val="auto"/>
              </w:rPr>
            </w:pPr>
          </w:p>
        </w:tc>
        <w:tc>
          <w:tcPr>
            <w:tcW w:w="4580" w:type="dxa"/>
            <w:vAlign w:val="bottom"/>
            <w:tcBorders>
              <w:bottom w:val="single" w:sz="8" w:color="00539B"/>
            </w:tcBorders>
          </w:tcPr>
          <w:p>
            <w:pPr>
              <w:jc w:val="center"/>
              <w:ind w:left="2388"/>
              <w:spacing w:after="0"/>
              <w:rPr>
                <w:sz w:val="20"/>
                <w:szCs w:val="20"/>
                <w:color w:val="auto"/>
              </w:rPr>
            </w:pPr>
            <w:r>
              <w:rPr>
                <w:rFonts w:ascii="Arial" w:cs="Arial" w:eastAsia="Arial" w:hAnsi="Arial"/>
                <w:sz w:val="14"/>
                <w:szCs w:val="14"/>
                <w:color w:val="auto"/>
              </w:rPr>
              <w:t>holders</w:t>
            </w:r>
          </w:p>
        </w:tc>
        <w:tc>
          <w:tcPr>
            <w:tcW w:w="0" w:type="dxa"/>
            <w:vAlign w:val="bottom"/>
          </w:tcPr>
          <w:p>
            <w:pPr>
              <w:spacing w:after="0"/>
              <w:rPr>
                <w:sz w:val="1"/>
                <w:szCs w:val="1"/>
                <w:color w:val="auto"/>
              </w:rPr>
            </w:pPr>
          </w:p>
        </w:tc>
      </w:tr>
      <w:tr>
        <w:trPr>
          <w:trHeight w:val="192"/>
        </w:trPr>
        <w:tc>
          <w:tcPr>
            <w:tcW w:w="6620" w:type="dxa"/>
            <w:vAlign w:val="bottom"/>
          </w:tcPr>
          <w:p>
            <w:pPr>
              <w:ind w:left="20"/>
              <w:spacing w:after="0"/>
              <w:rPr>
                <w:sz w:val="20"/>
                <w:szCs w:val="20"/>
                <w:color w:val="auto"/>
              </w:rPr>
            </w:pPr>
            <w:r>
              <w:rPr>
                <w:rFonts w:ascii="Arial" w:cs="Arial" w:eastAsia="Arial" w:hAnsi="Arial"/>
                <w:sz w:val="14"/>
                <w:szCs w:val="14"/>
                <w:color w:val="auto"/>
              </w:rPr>
              <w:t>Common Stock, par value $0.01 per share</w:t>
            </w:r>
          </w:p>
        </w:tc>
        <w:tc>
          <w:tcPr>
            <w:tcW w:w="4580" w:type="dxa"/>
            <w:vAlign w:val="bottom"/>
          </w:tcPr>
          <w:p>
            <w:pPr>
              <w:jc w:val="right"/>
              <w:ind w:right="708"/>
              <w:spacing w:after="0"/>
              <w:rPr>
                <w:sz w:val="20"/>
                <w:szCs w:val="20"/>
                <w:color w:val="auto"/>
              </w:rPr>
            </w:pPr>
            <w:r>
              <w:rPr>
                <w:rFonts w:ascii="Arial" w:cs="Arial" w:eastAsia="Arial" w:hAnsi="Arial"/>
                <w:sz w:val="14"/>
                <w:szCs w:val="14"/>
                <w:color w:val="auto"/>
              </w:rPr>
              <w:t>1,745</w:t>
            </w:r>
          </w:p>
        </w:tc>
        <w:tc>
          <w:tcPr>
            <w:tcW w:w="0" w:type="dxa"/>
            <w:vAlign w:val="bottom"/>
          </w:tcPr>
          <w:p>
            <w:pPr>
              <w:spacing w:after="0"/>
              <w:rPr>
                <w:sz w:val="1"/>
                <w:szCs w:val="1"/>
                <w:color w:val="auto"/>
              </w:rPr>
            </w:pPr>
          </w:p>
        </w:tc>
      </w:tr>
      <w:tr>
        <w:trPr>
          <w:trHeight w:val="218"/>
        </w:trPr>
        <w:tc>
          <w:tcPr>
            <w:tcW w:w="662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Common Stock Non-Voting, par value $0.01 per share</w:t>
            </w:r>
          </w:p>
        </w:tc>
        <w:tc>
          <w:tcPr>
            <w:tcW w:w="4580" w:type="dxa"/>
            <w:vAlign w:val="bottom"/>
            <w:tcBorders>
              <w:bottom w:val="single" w:sz="8" w:color="00539B"/>
            </w:tcBorders>
          </w:tcPr>
          <w:p>
            <w:pPr>
              <w:jc w:val="right"/>
              <w:ind w:right="708"/>
              <w:spacing w:after="0"/>
              <w:rPr>
                <w:sz w:val="20"/>
                <w:szCs w:val="20"/>
                <w:color w:val="auto"/>
              </w:rPr>
            </w:pPr>
            <w:r>
              <w:rPr>
                <w:rFonts w:ascii="Arial" w:cs="Arial" w:eastAsia="Arial" w:hAnsi="Arial"/>
                <w:sz w:val="14"/>
                <w:szCs w:val="14"/>
                <w:color w:val="auto"/>
              </w:rPr>
              <w:t>7,924</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The following table summarizes our purchases of Common Stock (CS) and Common Stock Non-Voting (CSNV) during the fourth quarter of 2025:</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ISSUER PURCHASES OF EQUITY SECURITIES</w:t>
      </w:r>
    </w:p>
    <w:p>
      <w:pPr>
        <w:spacing w:after="0" w:line="35" w:lineRule="exact"/>
        <w:rPr>
          <w:sz w:val="20"/>
          <w:szCs w:val="20"/>
          <w:color w:val="auto"/>
        </w:rPr>
      </w:pPr>
    </w:p>
    <w:tbl>
      <w:tblPr>
        <w:tblLayout w:type="fixed"/>
        <w:tblInd w:w="20" w:type="dxa"/>
        <w:tblCellMar>
          <w:top w:w="0" w:type="dxa"/>
          <w:left w:w="0" w:type="dxa"/>
          <w:bottom w:w="0" w:type="dxa"/>
          <w:right w:w="0" w:type="dxa"/>
        </w:tblCellMar>
      </w:tblPr>
      <w:tr>
        <w:trPr>
          <w:trHeight w:val="166"/>
        </w:trPr>
        <w:tc>
          <w:tcPr>
            <w:tcW w:w="2240" w:type="dxa"/>
            <w:vAlign w:val="bottom"/>
            <w:tcBorders>
              <w:top w:val="single" w:sz="8" w:color="00539B"/>
            </w:tcBorders>
          </w:tcPr>
          <w:p>
            <w:pPr>
              <w:spacing w:after="0"/>
              <w:rPr>
                <w:sz w:val="14"/>
                <w:szCs w:val="14"/>
                <w:color w:val="auto"/>
              </w:rPr>
            </w:pPr>
          </w:p>
        </w:tc>
        <w:tc>
          <w:tcPr>
            <w:tcW w:w="2900" w:type="dxa"/>
            <w:vAlign w:val="bottom"/>
            <w:tcBorders>
              <w:top w:val="single" w:sz="8" w:color="00539B"/>
            </w:tcBorders>
          </w:tcPr>
          <w:p>
            <w:pPr>
              <w:spacing w:after="0"/>
              <w:rPr>
                <w:sz w:val="14"/>
                <w:szCs w:val="14"/>
                <w:color w:val="auto"/>
              </w:rPr>
            </w:pPr>
          </w:p>
        </w:tc>
        <w:tc>
          <w:tcPr>
            <w:tcW w:w="1740" w:type="dxa"/>
            <w:vAlign w:val="bottom"/>
            <w:tcBorders>
              <w:top w:val="single" w:sz="8" w:color="00539B"/>
            </w:tcBorders>
          </w:tcPr>
          <w:p>
            <w:pPr>
              <w:spacing w:after="0"/>
              <w:rPr>
                <w:sz w:val="14"/>
                <w:szCs w:val="14"/>
                <w:color w:val="auto"/>
              </w:rPr>
            </w:pPr>
          </w:p>
        </w:tc>
        <w:tc>
          <w:tcPr>
            <w:tcW w:w="2320" w:type="dxa"/>
            <w:vAlign w:val="bottom"/>
            <w:tcBorders>
              <w:top w:val="single" w:sz="8" w:color="00539B"/>
            </w:tcBorders>
          </w:tcPr>
          <w:p>
            <w:pPr>
              <w:jc w:val="center"/>
              <w:ind w:left="148"/>
              <w:spacing w:after="0"/>
              <w:rPr>
                <w:sz w:val="20"/>
                <w:szCs w:val="20"/>
                <w:color w:val="auto"/>
              </w:rPr>
            </w:pPr>
            <w:r>
              <w:rPr>
                <w:rFonts w:ascii="Arial" w:cs="Arial" w:eastAsia="Arial" w:hAnsi="Arial"/>
                <w:sz w:val="14"/>
                <w:szCs w:val="14"/>
                <w:color w:val="auto"/>
                <w:w w:val="99"/>
              </w:rPr>
              <w:t>Total number of</w:t>
            </w:r>
          </w:p>
        </w:tc>
        <w:tc>
          <w:tcPr>
            <w:tcW w:w="2000" w:type="dxa"/>
            <w:vAlign w:val="bottom"/>
            <w:tcBorders>
              <w:top w:val="single" w:sz="8" w:color="00539B"/>
            </w:tcBorders>
          </w:tcPr>
          <w:p>
            <w:pPr>
              <w:jc w:val="center"/>
              <w:spacing w:after="0"/>
              <w:rPr>
                <w:sz w:val="20"/>
                <w:szCs w:val="20"/>
                <w:color w:val="auto"/>
              </w:rPr>
            </w:pPr>
            <w:r>
              <w:rPr>
                <w:rFonts w:ascii="Arial" w:cs="Arial" w:eastAsia="Arial" w:hAnsi="Arial"/>
                <w:sz w:val="14"/>
                <w:szCs w:val="14"/>
                <w:color w:val="auto"/>
              </w:rPr>
              <w:t>Approximate dollar</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2900" w:type="dxa"/>
            <w:vAlign w:val="bottom"/>
            <w:vMerge w:val="restart"/>
          </w:tcPr>
          <w:p>
            <w:pPr>
              <w:ind w:left="1320"/>
              <w:spacing w:after="0"/>
              <w:rPr>
                <w:sz w:val="20"/>
                <w:szCs w:val="20"/>
                <w:color w:val="auto"/>
              </w:rPr>
            </w:pPr>
            <w:r>
              <w:rPr>
                <w:rFonts w:ascii="Arial" w:cs="Arial" w:eastAsia="Arial" w:hAnsi="Arial"/>
                <w:sz w:val="14"/>
                <w:szCs w:val="14"/>
                <w:color w:val="auto"/>
              </w:rPr>
              <w:t>Total number of</w:t>
            </w:r>
          </w:p>
        </w:tc>
        <w:tc>
          <w:tcPr>
            <w:tcW w:w="1740" w:type="dxa"/>
            <w:vAlign w:val="bottom"/>
            <w:vMerge w:val="restart"/>
          </w:tcPr>
          <w:p>
            <w:pPr>
              <w:jc w:val="right"/>
              <w:ind w:right="268"/>
              <w:spacing w:after="0"/>
              <w:rPr>
                <w:sz w:val="20"/>
                <w:szCs w:val="20"/>
                <w:color w:val="auto"/>
              </w:rPr>
            </w:pPr>
            <w:r>
              <w:rPr>
                <w:rFonts w:ascii="Arial" w:cs="Arial" w:eastAsia="Arial" w:hAnsi="Arial"/>
                <w:sz w:val="14"/>
                <w:szCs w:val="14"/>
                <w:color w:val="auto"/>
              </w:rPr>
              <w:t>Average price</w:t>
            </w:r>
          </w:p>
        </w:tc>
        <w:tc>
          <w:tcPr>
            <w:tcW w:w="2320" w:type="dxa"/>
            <w:vAlign w:val="bottom"/>
          </w:tcPr>
          <w:p>
            <w:pPr>
              <w:jc w:val="center"/>
              <w:ind w:left="148"/>
              <w:spacing w:after="0" w:line="149" w:lineRule="exact"/>
              <w:rPr>
                <w:sz w:val="20"/>
                <w:szCs w:val="20"/>
                <w:color w:val="auto"/>
              </w:rPr>
            </w:pPr>
            <w:r>
              <w:rPr>
                <w:rFonts w:ascii="Arial" w:cs="Arial" w:eastAsia="Arial" w:hAnsi="Arial"/>
                <w:sz w:val="14"/>
                <w:szCs w:val="14"/>
                <w:color w:val="auto"/>
              </w:rPr>
              <w:t>shares purchased</w:t>
            </w:r>
          </w:p>
        </w:tc>
        <w:tc>
          <w:tcPr>
            <w:tcW w:w="2000" w:type="dxa"/>
            <w:vAlign w:val="bottom"/>
          </w:tcPr>
          <w:p>
            <w:pPr>
              <w:jc w:val="center"/>
              <w:spacing w:after="0" w:line="149" w:lineRule="exact"/>
              <w:rPr>
                <w:sz w:val="20"/>
                <w:szCs w:val="20"/>
                <w:color w:val="auto"/>
              </w:rPr>
            </w:pPr>
            <w:r>
              <w:rPr>
                <w:rFonts w:ascii="Arial" w:cs="Arial" w:eastAsia="Arial" w:hAnsi="Arial"/>
                <w:sz w:val="14"/>
                <w:szCs w:val="14"/>
                <w:color w:val="auto"/>
              </w:rPr>
              <w:t>value of shares that</w:t>
            </w:r>
          </w:p>
        </w:tc>
        <w:tc>
          <w:tcPr>
            <w:tcW w:w="0" w:type="dxa"/>
            <w:vAlign w:val="bottom"/>
          </w:tcPr>
          <w:p>
            <w:pPr>
              <w:spacing w:after="0"/>
              <w:rPr>
                <w:sz w:val="1"/>
                <w:szCs w:val="1"/>
                <w:color w:val="auto"/>
              </w:rPr>
            </w:pPr>
          </w:p>
        </w:tc>
      </w:tr>
      <w:tr>
        <w:trPr>
          <w:trHeight w:val="144"/>
        </w:trPr>
        <w:tc>
          <w:tcPr>
            <w:tcW w:w="2240" w:type="dxa"/>
            <w:vAlign w:val="bottom"/>
            <w:vMerge w:val="restart"/>
          </w:tcPr>
          <w:p>
            <w:pPr>
              <w:ind w:left="20"/>
              <w:spacing w:after="0"/>
              <w:rPr>
                <w:sz w:val="20"/>
                <w:szCs w:val="20"/>
                <w:color w:val="auto"/>
              </w:rPr>
            </w:pPr>
            <w:r>
              <w:rPr>
                <w:rFonts w:ascii="Arial" w:cs="Arial" w:eastAsia="Arial" w:hAnsi="Arial"/>
                <w:sz w:val="14"/>
                <w:szCs w:val="14"/>
                <w:color w:val="auto"/>
              </w:rPr>
              <w:t>Period</w:t>
            </w:r>
          </w:p>
        </w:tc>
        <w:tc>
          <w:tcPr>
            <w:tcW w:w="2900" w:type="dxa"/>
            <w:vAlign w:val="bottom"/>
            <w:vMerge w:val="continue"/>
          </w:tcPr>
          <w:p>
            <w:pPr>
              <w:spacing w:after="0"/>
              <w:rPr>
                <w:sz w:val="12"/>
                <w:szCs w:val="12"/>
                <w:color w:val="auto"/>
              </w:rPr>
            </w:pPr>
          </w:p>
        </w:tc>
        <w:tc>
          <w:tcPr>
            <w:tcW w:w="1740" w:type="dxa"/>
            <w:vAlign w:val="bottom"/>
            <w:vMerge w:val="continue"/>
          </w:tcPr>
          <w:p>
            <w:pPr>
              <w:spacing w:after="0"/>
              <w:rPr>
                <w:sz w:val="12"/>
                <w:szCs w:val="12"/>
                <w:color w:val="auto"/>
              </w:rPr>
            </w:pPr>
          </w:p>
        </w:tc>
        <w:tc>
          <w:tcPr>
            <w:tcW w:w="2320" w:type="dxa"/>
            <w:vAlign w:val="bottom"/>
          </w:tcPr>
          <w:p>
            <w:pPr>
              <w:jc w:val="center"/>
              <w:ind w:left="128"/>
              <w:spacing w:after="0" w:line="145" w:lineRule="exact"/>
              <w:rPr>
                <w:sz w:val="20"/>
                <w:szCs w:val="20"/>
                <w:color w:val="auto"/>
              </w:rPr>
            </w:pPr>
            <w:r>
              <w:rPr>
                <w:rFonts w:ascii="Arial" w:cs="Arial" w:eastAsia="Arial" w:hAnsi="Arial"/>
                <w:sz w:val="14"/>
                <w:szCs w:val="14"/>
                <w:color w:val="auto"/>
              </w:rPr>
              <w:t>as part of publicly</w:t>
            </w:r>
          </w:p>
        </w:tc>
        <w:tc>
          <w:tcPr>
            <w:tcW w:w="2000" w:type="dxa"/>
            <w:vAlign w:val="bottom"/>
          </w:tcPr>
          <w:p>
            <w:pPr>
              <w:jc w:val="center"/>
              <w:spacing w:after="0" w:line="145" w:lineRule="exact"/>
              <w:rPr>
                <w:sz w:val="20"/>
                <w:szCs w:val="20"/>
                <w:color w:val="auto"/>
              </w:rPr>
            </w:pPr>
            <w:r>
              <w:rPr>
                <w:rFonts w:ascii="Arial" w:cs="Arial" w:eastAsia="Arial" w:hAnsi="Arial"/>
                <w:sz w:val="14"/>
                <w:szCs w:val="14"/>
                <w:color w:val="auto"/>
              </w:rPr>
              <w:t>may yet be purchased</w:t>
            </w:r>
          </w:p>
        </w:tc>
        <w:tc>
          <w:tcPr>
            <w:tcW w:w="0" w:type="dxa"/>
            <w:vAlign w:val="bottom"/>
          </w:tcPr>
          <w:p>
            <w:pPr>
              <w:spacing w:after="0"/>
              <w:rPr>
                <w:sz w:val="1"/>
                <w:szCs w:val="1"/>
                <w:color w:val="auto"/>
              </w:rPr>
            </w:pPr>
          </w:p>
        </w:tc>
      </w:tr>
      <w:tr>
        <w:trPr>
          <w:trHeight w:val="189"/>
        </w:trPr>
        <w:tc>
          <w:tcPr>
            <w:tcW w:w="2240" w:type="dxa"/>
            <w:vAlign w:val="bottom"/>
            <w:tcBorders>
              <w:bottom w:val="single" w:sz="8" w:color="00539B"/>
            </w:tcBorders>
            <w:vMerge w:val="continue"/>
          </w:tcPr>
          <w:p>
            <w:pPr>
              <w:spacing w:after="0"/>
              <w:rPr>
                <w:sz w:val="16"/>
                <w:szCs w:val="16"/>
                <w:color w:val="auto"/>
              </w:rPr>
            </w:pPr>
          </w:p>
        </w:tc>
        <w:tc>
          <w:tcPr>
            <w:tcW w:w="2900" w:type="dxa"/>
            <w:vAlign w:val="bottom"/>
            <w:tcBorders>
              <w:bottom w:val="single" w:sz="8" w:color="00539B"/>
            </w:tcBorders>
          </w:tcPr>
          <w:p>
            <w:pPr>
              <w:ind w:left="1260"/>
              <w:spacing w:after="0"/>
              <w:rPr>
                <w:sz w:val="20"/>
                <w:szCs w:val="20"/>
                <w:color w:val="auto"/>
              </w:rPr>
            </w:pPr>
            <w:r>
              <w:rPr>
                <w:rFonts w:ascii="Arial" w:cs="Arial" w:eastAsia="Arial" w:hAnsi="Arial"/>
                <w:sz w:val="14"/>
                <w:szCs w:val="14"/>
                <w:color w:val="auto"/>
              </w:rPr>
              <w:t>shares purchased</w:t>
            </w:r>
          </w:p>
        </w:tc>
        <w:tc>
          <w:tcPr>
            <w:tcW w:w="1740" w:type="dxa"/>
            <w:vAlign w:val="bottom"/>
            <w:tcBorders>
              <w:bottom w:val="single" w:sz="8" w:color="00539B"/>
            </w:tcBorders>
          </w:tcPr>
          <w:p>
            <w:pPr>
              <w:jc w:val="center"/>
              <w:ind w:left="148"/>
              <w:spacing w:after="0"/>
              <w:rPr>
                <w:sz w:val="20"/>
                <w:szCs w:val="20"/>
                <w:color w:val="auto"/>
              </w:rPr>
            </w:pPr>
            <w:r>
              <w:rPr>
                <w:rFonts w:ascii="Arial" w:cs="Arial" w:eastAsia="Arial" w:hAnsi="Arial"/>
                <w:sz w:val="14"/>
                <w:szCs w:val="14"/>
                <w:color w:val="auto"/>
              </w:rPr>
              <w:t>paid per share</w:t>
            </w:r>
          </w:p>
        </w:tc>
        <w:tc>
          <w:tcPr>
            <w:tcW w:w="2320" w:type="dxa"/>
            <w:vAlign w:val="bottom"/>
            <w:tcBorders>
              <w:bottom w:val="single" w:sz="8" w:color="00539B"/>
            </w:tcBorders>
          </w:tcPr>
          <w:p>
            <w:pPr>
              <w:jc w:val="center"/>
              <w:ind w:left="148"/>
              <w:spacing w:after="0"/>
              <w:rPr>
                <w:sz w:val="20"/>
                <w:szCs w:val="20"/>
                <w:color w:val="auto"/>
              </w:rPr>
            </w:pPr>
            <w:r>
              <w:rPr>
                <w:rFonts w:ascii="Arial" w:cs="Arial" w:eastAsia="Arial" w:hAnsi="Arial"/>
                <w:sz w:val="14"/>
                <w:szCs w:val="14"/>
                <w:color w:val="auto"/>
              </w:rPr>
              <w:t>announced plans or programs</w:t>
            </w:r>
          </w:p>
        </w:tc>
        <w:tc>
          <w:tcPr>
            <w:tcW w:w="2000" w:type="dxa"/>
            <w:vAlign w:val="bottom"/>
            <w:tcBorders>
              <w:bottom w:val="single" w:sz="8" w:color="00539B"/>
            </w:tcBorders>
          </w:tcPr>
          <w:p>
            <w:pPr>
              <w:jc w:val="center"/>
              <w:spacing w:after="0"/>
              <w:rPr>
                <w:sz w:val="20"/>
                <w:szCs w:val="20"/>
                <w:color w:val="auto"/>
              </w:rPr>
            </w:pPr>
            <w:r>
              <w:rPr>
                <w:rFonts w:ascii="Arial" w:cs="Arial" w:eastAsia="Arial" w:hAnsi="Arial"/>
                <w:sz w:val="14"/>
                <w:szCs w:val="14"/>
                <w:color w:val="auto"/>
              </w:rPr>
              <w:t>under the plans or programs</w:t>
            </w:r>
          </w:p>
        </w:tc>
        <w:tc>
          <w:tcPr>
            <w:tcW w:w="0" w:type="dxa"/>
            <w:vAlign w:val="bottom"/>
          </w:tcPr>
          <w:p>
            <w:pPr>
              <w:spacing w:after="0"/>
              <w:rPr>
                <w:sz w:val="1"/>
                <w:szCs w:val="1"/>
                <w:color w:val="auto"/>
              </w:rPr>
            </w:pPr>
          </w:p>
        </w:tc>
      </w:tr>
      <w:tr>
        <w:trPr>
          <w:trHeight w:val="146"/>
        </w:trPr>
        <w:tc>
          <w:tcPr>
            <w:tcW w:w="2240" w:type="dxa"/>
            <w:vAlign w:val="bottom"/>
          </w:tcPr>
          <w:p>
            <w:pPr>
              <w:ind w:left="20"/>
              <w:spacing w:after="0" w:line="147" w:lineRule="exact"/>
              <w:rPr>
                <w:sz w:val="20"/>
                <w:szCs w:val="20"/>
                <w:color w:val="auto"/>
              </w:rPr>
            </w:pPr>
            <w:r>
              <w:rPr>
                <w:rFonts w:ascii="Arial" w:cs="Arial" w:eastAsia="Arial" w:hAnsi="Arial"/>
                <w:sz w:val="14"/>
                <w:szCs w:val="14"/>
                <w:color w:val="auto"/>
              </w:rPr>
              <w:t>September 1, 2025 to</w:t>
            </w:r>
          </w:p>
        </w:tc>
        <w:tc>
          <w:tcPr>
            <w:tcW w:w="2900" w:type="dxa"/>
            <w:vAlign w:val="bottom"/>
          </w:tcPr>
          <w:p>
            <w:pPr>
              <w:ind w:left="840"/>
              <w:spacing w:after="0" w:line="147" w:lineRule="exact"/>
              <w:rPr>
                <w:sz w:val="20"/>
                <w:szCs w:val="20"/>
                <w:color w:val="auto"/>
              </w:rPr>
            </w:pPr>
            <w:r>
              <w:rPr>
                <w:rFonts w:ascii="Arial" w:cs="Arial" w:eastAsia="Arial" w:hAnsi="Arial"/>
                <w:sz w:val="14"/>
                <w:szCs w:val="14"/>
                <w:color w:val="auto"/>
              </w:rPr>
              <w:t>CS - 19,883</w:t>
            </w:r>
          </w:p>
        </w:tc>
        <w:tc>
          <w:tcPr>
            <w:tcW w:w="1740" w:type="dxa"/>
            <w:vAlign w:val="bottom"/>
          </w:tcPr>
          <w:p>
            <w:pPr>
              <w:jc w:val="center"/>
              <w:ind w:left="188"/>
              <w:spacing w:after="0" w:line="147" w:lineRule="exact"/>
              <w:rPr>
                <w:sz w:val="20"/>
                <w:szCs w:val="20"/>
                <w:color w:val="auto"/>
              </w:rPr>
            </w:pPr>
            <w:r>
              <w:rPr>
                <w:rFonts w:ascii="Arial" w:cs="Arial" w:eastAsia="Arial" w:hAnsi="Arial"/>
                <w:sz w:val="14"/>
                <w:szCs w:val="14"/>
                <w:color w:val="auto"/>
              </w:rPr>
              <w:t>$64.39</w:t>
            </w:r>
          </w:p>
        </w:tc>
        <w:tc>
          <w:tcPr>
            <w:tcW w:w="2320" w:type="dxa"/>
            <w:vAlign w:val="bottom"/>
          </w:tcPr>
          <w:p>
            <w:pPr>
              <w:jc w:val="center"/>
              <w:ind w:left="168"/>
              <w:spacing w:after="0" w:line="147" w:lineRule="exact"/>
              <w:rPr>
                <w:sz w:val="20"/>
                <w:szCs w:val="20"/>
                <w:color w:val="auto"/>
              </w:rPr>
            </w:pPr>
            <w:r>
              <w:rPr>
                <w:rFonts w:ascii="Arial" w:cs="Arial" w:eastAsia="Arial" w:hAnsi="Arial"/>
                <w:sz w:val="14"/>
                <w:szCs w:val="14"/>
                <w:color w:val="auto"/>
              </w:rPr>
              <w:t>19,883</w:t>
            </w:r>
          </w:p>
        </w:tc>
        <w:tc>
          <w:tcPr>
            <w:tcW w:w="2000" w:type="dxa"/>
            <w:vAlign w:val="bottom"/>
            <w:vMerge w:val="restart"/>
          </w:tcPr>
          <w:p>
            <w:pPr>
              <w:ind w:left="440"/>
              <w:spacing w:after="0"/>
              <w:rPr>
                <w:sz w:val="20"/>
                <w:szCs w:val="20"/>
                <w:color w:val="auto"/>
              </w:rPr>
            </w:pPr>
            <w:r>
              <w:rPr>
                <w:rFonts w:ascii="Arial" w:cs="Arial" w:eastAsia="Arial" w:hAnsi="Arial"/>
                <w:sz w:val="14"/>
                <w:szCs w:val="14"/>
                <w:color w:val="auto"/>
              </w:rPr>
              <w:t>$418 million</w:t>
            </w:r>
          </w:p>
        </w:tc>
        <w:tc>
          <w:tcPr>
            <w:tcW w:w="0" w:type="dxa"/>
            <w:vAlign w:val="bottom"/>
          </w:tcPr>
          <w:p>
            <w:pPr>
              <w:spacing w:after="0"/>
              <w:rPr>
                <w:sz w:val="1"/>
                <w:szCs w:val="1"/>
                <w:color w:val="auto"/>
              </w:rPr>
            </w:pPr>
          </w:p>
        </w:tc>
      </w:tr>
      <w:tr>
        <w:trPr>
          <w:trHeight w:val="109"/>
        </w:trPr>
        <w:tc>
          <w:tcPr>
            <w:tcW w:w="2240" w:type="dxa"/>
            <w:vAlign w:val="bottom"/>
            <w:vMerge w:val="restart"/>
          </w:tcPr>
          <w:p>
            <w:pPr>
              <w:ind w:left="20"/>
              <w:spacing w:after="0"/>
              <w:rPr>
                <w:sz w:val="20"/>
                <w:szCs w:val="20"/>
                <w:color w:val="auto"/>
              </w:rPr>
            </w:pPr>
            <w:r>
              <w:rPr>
                <w:rFonts w:ascii="Arial" w:cs="Arial" w:eastAsia="Arial" w:hAnsi="Arial"/>
                <w:sz w:val="14"/>
                <w:szCs w:val="14"/>
                <w:color w:val="auto"/>
              </w:rPr>
              <w:t>September 30, 2025</w:t>
            </w:r>
          </w:p>
        </w:tc>
        <w:tc>
          <w:tcPr>
            <w:tcW w:w="2900" w:type="dxa"/>
            <w:vAlign w:val="bottom"/>
            <w:vMerge w:val="restart"/>
          </w:tcPr>
          <w:p>
            <w:pPr>
              <w:ind w:left="840"/>
              <w:spacing w:after="0"/>
              <w:rPr>
                <w:sz w:val="20"/>
                <w:szCs w:val="20"/>
                <w:color w:val="auto"/>
              </w:rPr>
            </w:pPr>
            <w:r>
              <w:rPr>
                <w:rFonts w:ascii="Arial" w:cs="Arial" w:eastAsia="Arial" w:hAnsi="Arial"/>
                <w:sz w:val="14"/>
                <w:szCs w:val="14"/>
                <w:color w:val="auto"/>
              </w:rPr>
              <w:t>CSNV - 0</w:t>
            </w:r>
          </w:p>
        </w:tc>
        <w:tc>
          <w:tcPr>
            <w:tcW w:w="1740" w:type="dxa"/>
            <w:vAlign w:val="bottom"/>
            <w:vMerge w:val="restart"/>
          </w:tcPr>
          <w:p>
            <w:pPr>
              <w:jc w:val="right"/>
              <w:ind w:right="568"/>
              <w:spacing w:after="0"/>
              <w:rPr>
                <w:sz w:val="20"/>
                <w:szCs w:val="20"/>
                <w:color w:val="auto"/>
              </w:rPr>
            </w:pPr>
            <w:r>
              <w:rPr>
                <w:rFonts w:ascii="Arial" w:cs="Arial" w:eastAsia="Arial" w:hAnsi="Arial"/>
                <w:sz w:val="14"/>
                <w:szCs w:val="14"/>
                <w:color w:val="auto"/>
              </w:rPr>
              <w:t>-</w:t>
            </w:r>
          </w:p>
        </w:tc>
        <w:tc>
          <w:tcPr>
            <w:tcW w:w="2320" w:type="dxa"/>
            <w:vAlign w:val="bottom"/>
            <w:vMerge w:val="restart"/>
          </w:tcPr>
          <w:p>
            <w:pPr>
              <w:jc w:val="center"/>
              <w:ind w:left="148"/>
              <w:spacing w:after="0"/>
              <w:rPr>
                <w:sz w:val="20"/>
                <w:szCs w:val="20"/>
                <w:color w:val="auto"/>
              </w:rPr>
            </w:pPr>
            <w:r>
              <w:rPr>
                <w:rFonts w:ascii="Arial" w:cs="Arial" w:eastAsia="Arial" w:hAnsi="Arial"/>
                <w:sz w:val="14"/>
                <w:szCs w:val="14"/>
                <w:color w:val="auto"/>
              </w:rPr>
              <w:t>-</w:t>
            </w:r>
          </w:p>
        </w:tc>
        <w:tc>
          <w:tcPr>
            <w:tcW w:w="2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240" w:type="dxa"/>
            <w:vAlign w:val="bottom"/>
            <w:vMerge w:val="continue"/>
          </w:tcPr>
          <w:p>
            <w:pPr>
              <w:spacing w:after="0"/>
              <w:rPr>
                <w:sz w:val="6"/>
                <w:szCs w:val="6"/>
                <w:color w:val="auto"/>
              </w:rPr>
            </w:pPr>
          </w:p>
        </w:tc>
        <w:tc>
          <w:tcPr>
            <w:tcW w:w="2900" w:type="dxa"/>
            <w:vAlign w:val="bottom"/>
            <w:vMerge w:val="continue"/>
          </w:tcPr>
          <w:p>
            <w:pPr>
              <w:spacing w:after="0"/>
              <w:rPr>
                <w:sz w:val="6"/>
                <w:szCs w:val="6"/>
                <w:color w:val="auto"/>
              </w:rPr>
            </w:pPr>
          </w:p>
        </w:tc>
        <w:tc>
          <w:tcPr>
            <w:tcW w:w="1740" w:type="dxa"/>
            <w:vAlign w:val="bottom"/>
            <w:vMerge w:val="continue"/>
          </w:tcPr>
          <w:p>
            <w:pPr>
              <w:spacing w:after="0"/>
              <w:rPr>
                <w:sz w:val="6"/>
                <w:szCs w:val="6"/>
                <w:color w:val="auto"/>
              </w:rPr>
            </w:pPr>
          </w:p>
        </w:tc>
        <w:tc>
          <w:tcPr>
            <w:tcW w:w="2320" w:type="dxa"/>
            <w:vAlign w:val="bottom"/>
            <w:vMerge w:val="continue"/>
          </w:tcPr>
          <w:p>
            <w:pPr>
              <w:spacing w:after="0"/>
              <w:rPr>
                <w:sz w:val="6"/>
                <w:szCs w:val="6"/>
                <w:color w:val="auto"/>
              </w:rPr>
            </w:pPr>
          </w:p>
        </w:tc>
        <w:tc>
          <w:tcPr>
            <w:tcW w:w="2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20"/>
              <w:spacing w:after="0" w:line="149" w:lineRule="exact"/>
              <w:rPr>
                <w:sz w:val="20"/>
                <w:szCs w:val="20"/>
                <w:color w:val="auto"/>
              </w:rPr>
            </w:pPr>
            <w:r>
              <w:rPr>
                <w:rFonts w:ascii="Arial" w:cs="Arial" w:eastAsia="Arial" w:hAnsi="Arial"/>
                <w:sz w:val="14"/>
                <w:szCs w:val="14"/>
                <w:color w:val="auto"/>
              </w:rPr>
              <w:t>October 1, 2025 to</w:t>
            </w:r>
          </w:p>
        </w:tc>
        <w:tc>
          <w:tcPr>
            <w:tcW w:w="2900" w:type="dxa"/>
            <w:vAlign w:val="bottom"/>
          </w:tcPr>
          <w:p>
            <w:pPr>
              <w:ind w:left="840"/>
              <w:spacing w:after="0" w:line="149" w:lineRule="exact"/>
              <w:rPr>
                <w:sz w:val="20"/>
                <w:szCs w:val="20"/>
                <w:color w:val="auto"/>
              </w:rPr>
            </w:pPr>
            <w:r>
              <w:rPr>
                <w:rFonts w:ascii="Arial" w:cs="Arial" w:eastAsia="Arial" w:hAnsi="Arial"/>
                <w:sz w:val="14"/>
                <w:szCs w:val="14"/>
                <w:color w:val="auto"/>
              </w:rPr>
              <w:t>CS - 15,384</w:t>
            </w:r>
          </w:p>
        </w:tc>
        <w:tc>
          <w:tcPr>
            <w:tcW w:w="1740" w:type="dxa"/>
            <w:vAlign w:val="bottom"/>
          </w:tcPr>
          <w:p>
            <w:pPr>
              <w:jc w:val="center"/>
              <w:ind w:left="188"/>
              <w:spacing w:after="0" w:line="149" w:lineRule="exact"/>
              <w:rPr>
                <w:sz w:val="20"/>
                <w:szCs w:val="20"/>
                <w:color w:val="auto"/>
              </w:rPr>
            </w:pPr>
            <w:r>
              <w:rPr>
                <w:rFonts w:ascii="Arial" w:cs="Arial" w:eastAsia="Arial" w:hAnsi="Arial"/>
                <w:sz w:val="14"/>
                <w:szCs w:val="14"/>
                <w:color w:val="auto"/>
              </w:rPr>
              <w:t>$67.12</w:t>
            </w:r>
          </w:p>
        </w:tc>
        <w:tc>
          <w:tcPr>
            <w:tcW w:w="2320" w:type="dxa"/>
            <w:vAlign w:val="bottom"/>
          </w:tcPr>
          <w:p>
            <w:pPr>
              <w:jc w:val="center"/>
              <w:ind w:left="128"/>
              <w:spacing w:after="0" w:line="149" w:lineRule="exact"/>
              <w:rPr>
                <w:sz w:val="20"/>
                <w:szCs w:val="20"/>
                <w:color w:val="auto"/>
              </w:rPr>
            </w:pPr>
            <w:r>
              <w:rPr>
                <w:rFonts w:ascii="Arial" w:cs="Arial" w:eastAsia="Arial" w:hAnsi="Arial"/>
                <w:sz w:val="14"/>
                <w:szCs w:val="14"/>
                <w:color w:val="auto"/>
              </w:rPr>
              <w:t>15,384</w:t>
            </w:r>
          </w:p>
        </w:tc>
        <w:tc>
          <w:tcPr>
            <w:tcW w:w="2000" w:type="dxa"/>
            <w:vAlign w:val="bottom"/>
            <w:vMerge w:val="restart"/>
          </w:tcPr>
          <w:p>
            <w:pPr>
              <w:ind w:left="440"/>
              <w:spacing w:after="0"/>
              <w:rPr>
                <w:sz w:val="20"/>
                <w:szCs w:val="20"/>
                <w:color w:val="auto"/>
              </w:rPr>
            </w:pPr>
            <w:r>
              <w:rPr>
                <w:rFonts w:ascii="Arial" w:cs="Arial" w:eastAsia="Arial" w:hAnsi="Arial"/>
                <w:sz w:val="14"/>
                <w:szCs w:val="14"/>
                <w:color w:val="auto"/>
              </w:rPr>
              <w:t>$417 million</w:t>
            </w:r>
          </w:p>
        </w:tc>
        <w:tc>
          <w:tcPr>
            <w:tcW w:w="0" w:type="dxa"/>
            <w:vAlign w:val="bottom"/>
          </w:tcPr>
          <w:p>
            <w:pPr>
              <w:spacing w:after="0"/>
              <w:rPr>
                <w:sz w:val="1"/>
                <w:szCs w:val="1"/>
                <w:color w:val="auto"/>
              </w:rPr>
            </w:pPr>
          </w:p>
        </w:tc>
      </w:tr>
      <w:tr>
        <w:trPr>
          <w:trHeight w:val="109"/>
        </w:trPr>
        <w:tc>
          <w:tcPr>
            <w:tcW w:w="2240" w:type="dxa"/>
            <w:vAlign w:val="bottom"/>
            <w:vMerge w:val="restart"/>
          </w:tcPr>
          <w:p>
            <w:pPr>
              <w:ind w:left="20"/>
              <w:spacing w:after="0"/>
              <w:rPr>
                <w:sz w:val="20"/>
                <w:szCs w:val="20"/>
                <w:color w:val="auto"/>
              </w:rPr>
            </w:pPr>
            <w:r>
              <w:rPr>
                <w:rFonts w:ascii="Arial" w:cs="Arial" w:eastAsia="Arial" w:hAnsi="Arial"/>
                <w:sz w:val="14"/>
                <w:szCs w:val="14"/>
                <w:color w:val="auto"/>
              </w:rPr>
              <w:t>October 31, 2025</w:t>
            </w:r>
          </w:p>
        </w:tc>
        <w:tc>
          <w:tcPr>
            <w:tcW w:w="2900" w:type="dxa"/>
            <w:vAlign w:val="bottom"/>
            <w:vMerge w:val="restart"/>
          </w:tcPr>
          <w:p>
            <w:pPr>
              <w:ind w:left="840"/>
              <w:spacing w:after="0"/>
              <w:rPr>
                <w:sz w:val="20"/>
                <w:szCs w:val="20"/>
                <w:color w:val="auto"/>
              </w:rPr>
            </w:pPr>
            <w:r>
              <w:rPr>
                <w:rFonts w:ascii="Arial" w:cs="Arial" w:eastAsia="Arial" w:hAnsi="Arial"/>
                <w:sz w:val="14"/>
                <w:szCs w:val="14"/>
                <w:color w:val="auto"/>
              </w:rPr>
              <w:t>CSNV - 0</w:t>
            </w:r>
          </w:p>
        </w:tc>
        <w:tc>
          <w:tcPr>
            <w:tcW w:w="1740" w:type="dxa"/>
            <w:vAlign w:val="bottom"/>
            <w:vMerge w:val="restart"/>
          </w:tcPr>
          <w:p>
            <w:pPr>
              <w:jc w:val="center"/>
              <w:ind w:left="288"/>
              <w:spacing w:after="0"/>
              <w:rPr>
                <w:sz w:val="20"/>
                <w:szCs w:val="20"/>
                <w:color w:val="auto"/>
              </w:rPr>
            </w:pPr>
            <w:r>
              <w:rPr>
                <w:rFonts w:ascii="Arial" w:cs="Arial" w:eastAsia="Arial" w:hAnsi="Arial"/>
                <w:sz w:val="14"/>
                <w:szCs w:val="14"/>
                <w:color w:val="auto"/>
              </w:rPr>
              <w:t>-</w:t>
            </w:r>
          </w:p>
        </w:tc>
        <w:tc>
          <w:tcPr>
            <w:tcW w:w="2320" w:type="dxa"/>
            <w:vAlign w:val="bottom"/>
            <w:vMerge w:val="restart"/>
          </w:tcPr>
          <w:p>
            <w:pPr>
              <w:jc w:val="center"/>
              <w:ind w:left="148"/>
              <w:spacing w:after="0"/>
              <w:rPr>
                <w:sz w:val="20"/>
                <w:szCs w:val="20"/>
                <w:color w:val="auto"/>
              </w:rPr>
            </w:pPr>
            <w:r>
              <w:rPr>
                <w:rFonts w:ascii="Arial" w:cs="Arial" w:eastAsia="Arial" w:hAnsi="Arial"/>
                <w:sz w:val="14"/>
                <w:szCs w:val="14"/>
                <w:color w:val="auto"/>
              </w:rPr>
              <w:t>-</w:t>
            </w:r>
          </w:p>
        </w:tc>
        <w:tc>
          <w:tcPr>
            <w:tcW w:w="2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240" w:type="dxa"/>
            <w:vAlign w:val="bottom"/>
            <w:vMerge w:val="continue"/>
          </w:tcPr>
          <w:p>
            <w:pPr>
              <w:spacing w:after="0"/>
              <w:rPr>
                <w:sz w:val="6"/>
                <w:szCs w:val="6"/>
                <w:color w:val="auto"/>
              </w:rPr>
            </w:pPr>
          </w:p>
        </w:tc>
        <w:tc>
          <w:tcPr>
            <w:tcW w:w="2900" w:type="dxa"/>
            <w:vAlign w:val="bottom"/>
            <w:vMerge w:val="continue"/>
          </w:tcPr>
          <w:p>
            <w:pPr>
              <w:spacing w:after="0"/>
              <w:rPr>
                <w:sz w:val="6"/>
                <w:szCs w:val="6"/>
                <w:color w:val="auto"/>
              </w:rPr>
            </w:pPr>
          </w:p>
        </w:tc>
        <w:tc>
          <w:tcPr>
            <w:tcW w:w="1740" w:type="dxa"/>
            <w:vAlign w:val="bottom"/>
            <w:vMerge w:val="continue"/>
          </w:tcPr>
          <w:p>
            <w:pPr>
              <w:spacing w:after="0"/>
              <w:rPr>
                <w:sz w:val="6"/>
                <w:szCs w:val="6"/>
                <w:color w:val="auto"/>
              </w:rPr>
            </w:pPr>
          </w:p>
        </w:tc>
        <w:tc>
          <w:tcPr>
            <w:tcW w:w="2320" w:type="dxa"/>
            <w:vAlign w:val="bottom"/>
            <w:vMerge w:val="continue"/>
          </w:tcPr>
          <w:p>
            <w:pPr>
              <w:spacing w:after="0"/>
              <w:rPr>
                <w:sz w:val="6"/>
                <w:szCs w:val="6"/>
                <w:color w:val="auto"/>
              </w:rPr>
            </w:pPr>
          </w:p>
        </w:tc>
        <w:tc>
          <w:tcPr>
            <w:tcW w:w="2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20"/>
              <w:spacing w:after="0" w:line="149" w:lineRule="exact"/>
              <w:rPr>
                <w:sz w:val="20"/>
                <w:szCs w:val="20"/>
                <w:color w:val="auto"/>
              </w:rPr>
            </w:pPr>
            <w:r>
              <w:rPr>
                <w:rFonts w:ascii="Arial" w:cs="Arial" w:eastAsia="Arial" w:hAnsi="Arial"/>
                <w:sz w:val="14"/>
                <w:szCs w:val="14"/>
                <w:color w:val="auto"/>
              </w:rPr>
              <w:t>November 1, 2025 to</w:t>
            </w:r>
          </w:p>
        </w:tc>
        <w:tc>
          <w:tcPr>
            <w:tcW w:w="2900" w:type="dxa"/>
            <w:vAlign w:val="bottom"/>
          </w:tcPr>
          <w:p>
            <w:pPr>
              <w:ind w:left="840"/>
              <w:spacing w:after="0" w:line="149" w:lineRule="exact"/>
              <w:rPr>
                <w:sz w:val="20"/>
                <w:szCs w:val="20"/>
                <w:color w:val="auto"/>
              </w:rPr>
            </w:pPr>
            <w:r>
              <w:rPr>
                <w:rFonts w:ascii="Arial" w:cs="Arial" w:eastAsia="Arial" w:hAnsi="Arial"/>
                <w:sz w:val="14"/>
                <w:szCs w:val="14"/>
                <w:color w:val="auto"/>
              </w:rPr>
              <w:t>CS - 51,912</w:t>
            </w:r>
          </w:p>
        </w:tc>
        <w:tc>
          <w:tcPr>
            <w:tcW w:w="1740" w:type="dxa"/>
            <w:vAlign w:val="bottom"/>
          </w:tcPr>
          <w:p>
            <w:pPr>
              <w:jc w:val="center"/>
              <w:ind w:left="268"/>
              <w:spacing w:after="0" w:line="149" w:lineRule="exact"/>
              <w:rPr>
                <w:sz w:val="20"/>
                <w:szCs w:val="20"/>
                <w:color w:val="auto"/>
              </w:rPr>
            </w:pPr>
            <w:r>
              <w:rPr>
                <w:rFonts w:ascii="Arial" w:cs="Arial" w:eastAsia="Arial" w:hAnsi="Arial"/>
                <w:sz w:val="14"/>
                <w:szCs w:val="14"/>
                <w:color w:val="auto"/>
              </w:rPr>
              <w:t>$64.81</w:t>
            </w:r>
          </w:p>
        </w:tc>
        <w:tc>
          <w:tcPr>
            <w:tcW w:w="2320" w:type="dxa"/>
            <w:vAlign w:val="bottom"/>
          </w:tcPr>
          <w:p>
            <w:pPr>
              <w:jc w:val="center"/>
              <w:ind w:left="168"/>
              <w:spacing w:after="0" w:line="149" w:lineRule="exact"/>
              <w:rPr>
                <w:sz w:val="20"/>
                <w:szCs w:val="20"/>
                <w:color w:val="auto"/>
              </w:rPr>
            </w:pPr>
            <w:r>
              <w:rPr>
                <w:rFonts w:ascii="Arial" w:cs="Arial" w:eastAsia="Arial" w:hAnsi="Arial"/>
                <w:sz w:val="14"/>
                <w:szCs w:val="14"/>
                <w:color w:val="auto"/>
              </w:rPr>
              <w:t>51,912</w:t>
            </w:r>
          </w:p>
        </w:tc>
        <w:tc>
          <w:tcPr>
            <w:tcW w:w="2000" w:type="dxa"/>
            <w:vAlign w:val="bottom"/>
            <w:vMerge w:val="restart"/>
          </w:tcPr>
          <w:p>
            <w:pPr>
              <w:ind w:left="440"/>
              <w:spacing w:after="0"/>
              <w:rPr>
                <w:sz w:val="20"/>
                <w:szCs w:val="20"/>
                <w:color w:val="auto"/>
              </w:rPr>
            </w:pPr>
            <w:r>
              <w:rPr>
                <w:rFonts w:ascii="Arial" w:cs="Arial" w:eastAsia="Arial" w:hAnsi="Arial"/>
                <w:sz w:val="14"/>
                <w:szCs w:val="14"/>
                <w:color w:val="auto"/>
              </w:rPr>
              <w:t>$414 million</w:t>
            </w:r>
          </w:p>
        </w:tc>
        <w:tc>
          <w:tcPr>
            <w:tcW w:w="0" w:type="dxa"/>
            <w:vAlign w:val="bottom"/>
          </w:tcPr>
          <w:p>
            <w:pPr>
              <w:spacing w:after="0"/>
              <w:rPr>
                <w:sz w:val="1"/>
                <w:szCs w:val="1"/>
                <w:color w:val="auto"/>
              </w:rPr>
            </w:pPr>
          </w:p>
        </w:tc>
      </w:tr>
      <w:tr>
        <w:trPr>
          <w:trHeight w:val="109"/>
        </w:trPr>
        <w:tc>
          <w:tcPr>
            <w:tcW w:w="2240" w:type="dxa"/>
            <w:vAlign w:val="bottom"/>
            <w:vMerge w:val="restart"/>
          </w:tcPr>
          <w:p>
            <w:pPr>
              <w:ind w:left="20"/>
              <w:spacing w:after="0"/>
              <w:rPr>
                <w:sz w:val="20"/>
                <w:szCs w:val="20"/>
                <w:color w:val="auto"/>
              </w:rPr>
            </w:pPr>
            <w:r>
              <w:rPr>
                <w:rFonts w:ascii="Arial" w:cs="Arial" w:eastAsia="Arial" w:hAnsi="Arial"/>
                <w:sz w:val="14"/>
                <w:szCs w:val="14"/>
                <w:color w:val="auto"/>
              </w:rPr>
              <w:t>November 30, 2025</w:t>
            </w:r>
          </w:p>
        </w:tc>
        <w:tc>
          <w:tcPr>
            <w:tcW w:w="2900" w:type="dxa"/>
            <w:vAlign w:val="bottom"/>
            <w:vMerge w:val="restart"/>
          </w:tcPr>
          <w:p>
            <w:pPr>
              <w:ind w:left="840"/>
              <w:spacing w:after="0"/>
              <w:rPr>
                <w:sz w:val="20"/>
                <w:szCs w:val="20"/>
                <w:color w:val="auto"/>
              </w:rPr>
            </w:pPr>
            <w:r>
              <w:rPr>
                <w:rFonts w:ascii="Arial" w:cs="Arial" w:eastAsia="Arial" w:hAnsi="Arial"/>
                <w:sz w:val="14"/>
                <w:szCs w:val="14"/>
                <w:color w:val="auto"/>
              </w:rPr>
              <w:t>CSNV - 0</w:t>
            </w:r>
          </w:p>
        </w:tc>
        <w:tc>
          <w:tcPr>
            <w:tcW w:w="1740" w:type="dxa"/>
            <w:vAlign w:val="bottom"/>
            <w:vMerge w:val="restart"/>
          </w:tcPr>
          <w:p>
            <w:pPr>
              <w:jc w:val="center"/>
              <w:ind w:left="288"/>
              <w:spacing w:after="0"/>
              <w:rPr>
                <w:sz w:val="20"/>
                <w:szCs w:val="20"/>
                <w:color w:val="auto"/>
              </w:rPr>
            </w:pPr>
            <w:r>
              <w:rPr>
                <w:rFonts w:ascii="Arial" w:cs="Arial" w:eastAsia="Arial" w:hAnsi="Arial"/>
                <w:sz w:val="14"/>
                <w:szCs w:val="14"/>
                <w:color w:val="auto"/>
              </w:rPr>
              <w:t>-</w:t>
            </w:r>
          </w:p>
        </w:tc>
        <w:tc>
          <w:tcPr>
            <w:tcW w:w="2320" w:type="dxa"/>
            <w:vAlign w:val="bottom"/>
            <w:vMerge w:val="restart"/>
          </w:tcPr>
          <w:p>
            <w:pPr>
              <w:jc w:val="center"/>
              <w:ind w:left="268"/>
              <w:spacing w:after="0"/>
              <w:rPr>
                <w:sz w:val="20"/>
                <w:szCs w:val="20"/>
                <w:color w:val="auto"/>
              </w:rPr>
            </w:pPr>
            <w:r>
              <w:rPr>
                <w:rFonts w:ascii="Arial" w:cs="Arial" w:eastAsia="Arial" w:hAnsi="Arial"/>
                <w:sz w:val="14"/>
                <w:szCs w:val="14"/>
                <w:color w:val="auto"/>
              </w:rPr>
              <w:t>-</w:t>
            </w:r>
          </w:p>
        </w:tc>
        <w:tc>
          <w:tcPr>
            <w:tcW w:w="2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240" w:type="dxa"/>
            <w:vAlign w:val="bottom"/>
            <w:vMerge w:val="continue"/>
          </w:tcPr>
          <w:p>
            <w:pPr>
              <w:spacing w:after="0"/>
              <w:rPr>
                <w:sz w:val="6"/>
                <w:szCs w:val="6"/>
                <w:color w:val="auto"/>
              </w:rPr>
            </w:pPr>
          </w:p>
        </w:tc>
        <w:tc>
          <w:tcPr>
            <w:tcW w:w="2900" w:type="dxa"/>
            <w:vAlign w:val="bottom"/>
            <w:vMerge w:val="continue"/>
          </w:tcPr>
          <w:p>
            <w:pPr>
              <w:spacing w:after="0"/>
              <w:rPr>
                <w:sz w:val="6"/>
                <w:szCs w:val="6"/>
                <w:color w:val="auto"/>
              </w:rPr>
            </w:pPr>
          </w:p>
        </w:tc>
        <w:tc>
          <w:tcPr>
            <w:tcW w:w="1740" w:type="dxa"/>
            <w:vAlign w:val="bottom"/>
            <w:vMerge w:val="continue"/>
          </w:tcPr>
          <w:p>
            <w:pPr>
              <w:spacing w:after="0"/>
              <w:rPr>
                <w:sz w:val="6"/>
                <w:szCs w:val="6"/>
                <w:color w:val="auto"/>
              </w:rPr>
            </w:pPr>
          </w:p>
        </w:tc>
        <w:tc>
          <w:tcPr>
            <w:tcW w:w="2320" w:type="dxa"/>
            <w:vAlign w:val="bottom"/>
            <w:vMerge w:val="continue"/>
          </w:tcPr>
          <w:p>
            <w:pPr>
              <w:spacing w:after="0"/>
              <w:rPr>
                <w:sz w:val="6"/>
                <w:szCs w:val="6"/>
                <w:color w:val="auto"/>
              </w:rPr>
            </w:pPr>
          </w:p>
        </w:tc>
        <w:tc>
          <w:tcPr>
            <w:tcW w:w="2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240" w:type="dxa"/>
            <w:vAlign w:val="bottom"/>
            <w:vMerge w:val="restart"/>
          </w:tcPr>
          <w:p>
            <w:pPr>
              <w:ind w:left="20"/>
              <w:spacing w:after="0"/>
              <w:rPr>
                <w:sz w:val="20"/>
                <w:szCs w:val="20"/>
                <w:color w:val="auto"/>
              </w:rPr>
            </w:pPr>
            <w:r>
              <w:rPr>
                <w:rFonts w:ascii="Arial" w:cs="Arial" w:eastAsia="Arial" w:hAnsi="Arial"/>
                <w:sz w:val="14"/>
                <w:szCs w:val="14"/>
                <w:color w:val="auto"/>
              </w:rPr>
              <w:t>Total</w:t>
            </w:r>
          </w:p>
        </w:tc>
        <w:tc>
          <w:tcPr>
            <w:tcW w:w="2900" w:type="dxa"/>
            <w:vAlign w:val="bottom"/>
          </w:tcPr>
          <w:p>
            <w:pPr>
              <w:ind w:left="840"/>
              <w:spacing w:after="0" w:line="149" w:lineRule="exact"/>
              <w:rPr>
                <w:sz w:val="20"/>
                <w:szCs w:val="20"/>
                <w:color w:val="auto"/>
              </w:rPr>
            </w:pPr>
            <w:r>
              <w:rPr>
                <w:rFonts w:ascii="Arial" w:cs="Arial" w:eastAsia="Arial" w:hAnsi="Arial"/>
                <w:sz w:val="14"/>
                <w:szCs w:val="14"/>
                <w:color w:val="auto"/>
              </w:rPr>
              <w:t>CS - 87,179</w:t>
            </w:r>
          </w:p>
        </w:tc>
        <w:tc>
          <w:tcPr>
            <w:tcW w:w="1740" w:type="dxa"/>
            <w:vAlign w:val="bottom"/>
          </w:tcPr>
          <w:p>
            <w:pPr>
              <w:jc w:val="center"/>
              <w:ind w:left="268"/>
              <w:spacing w:after="0" w:line="149" w:lineRule="exact"/>
              <w:rPr>
                <w:sz w:val="20"/>
                <w:szCs w:val="20"/>
                <w:color w:val="auto"/>
              </w:rPr>
            </w:pPr>
            <w:r>
              <w:rPr>
                <w:rFonts w:ascii="Arial" w:cs="Arial" w:eastAsia="Arial" w:hAnsi="Arial"/>
                <w:sz w:val="14"/>
                <w:szCs w:val="14"/>
                <w:color w:val="auto"/>
              </w:rPr>
              <w:t>$65.12</w:t>
            </w:r>
          </w:p>
        </w:tc>
        <w:tc>
          <w:tcPr>
            <w:tcW w:w="2320" w:type="dxa"/>
            <w:vAlign w:val="bottom"/>
          </w:tcPr>
          <w:p>
            <w:pPr>
              <w:jc w:val="center"/>
              <w:ind w:left="248"/>
              <w:spacing w:after="0" w:line="149" w:lineRule="exact"/>
              <w:rPr>
                <w:sz w:val="20"/>
                <w:szCs w:val="20"/>
                <w:color w:val="auto"/>
              </w:rPr>
            </w:pPr>
            <w:r>
              <w:rPr>
                <w:rFonts w:ascii="Arial" w:cs="Arial" w:eastAsia="Arial" w:hAnsi="Arial"/>
                <w:sz w:val="14"/>
                <w:szCs w:val="14"/>
                <w:color w:val="auto"/>
              </w:rPr>
              <w:t>87,179</w:t>
            </w:r>
          </w:p>
        </w:tc>
        <w:tc>
          <w:tcPr>
            <w:tcW w:w="2000" w:type="dxa"/>
            <w:vAlign w:val="bottom"/>
            <w:vMerge w:val="restart"/>
          </w:tcPr>
          <w:p>
            <w:pPr>
              <w:ind w:left="440"/>
              <w:spacing w:after="0"/>
              <w:rPr>
                <w:sz w:val="20"/>
                <w:szCs w:val="20"/>
                <w:color w:val="auto"/>
              </w:rPr>
            </w:pPr>
            <w:r>
              <w:rPr>
                <w:rFonts w:ascii="Arial" w:cs="Arial" w:eastAsia="Arial" w:hAnsi="Arial"/>
                <w:sz w:val="14"/>
                <w:szCs w:val="14"/>
                <w:color w:val="auto"/>
              </w:rPr>
              <w:t>$414 million</w:t>
            </w:r>
          </w:p>
        </w:tc>
        <w:tc>
          <w:tcPr>
            <w:tcW w:w="0" w:type="dxa"/>
            <w:vAlign w:val="bottom"/>
          </w:tcPr>
          <w:p>
            <w:pPr>
              <w:spacing w:after="0"/>
              <w:rPr>
                <w:sz w:val="1"/>
                <w:szCs w:val="1"/>
                <w:color w:val="auto"/>
              </w:rPr>
            </w:pPr>
          </w:p>
        </w:tc>
      </w:tr>
      <w:tr>
        <w:trPr>
          <w:trHeight w:val="109"/>
        </w:trPr>
        <w:tc>
          <w:tcPr>
            <w:tcW w:w="2240" w:type="dxa"/>
            <w:vAlign w:val="bottom"/>
            <w:vMerge w:val="continue"/>
          </w:tcPr>
          <w:p>
            <w:pPr>
              <w:spacing w:after="0"/>
              <w:rPr>
                <w:sz w:val="9"/>
                <w:szCs w:val="9"/>
                <w:color w:val="auto"/>
              </w:rPr>
            </w:pPr>
          </w:p>
        </w:tc>
        <w:tc>
          <w:tcPr>
            <w:tcW w:w="2900" w:type="dxa"/>
            <w:vAlign w:val="bottom"/>
            <w:vMerge w:val="restart"/>
          </w:tcPr>
          <w:p>
            <w:pPr>
              <w:ind w:left="840"/>
              <w:spacing w:after="0"/>
              <w:rPr>
                <w:sz w:val="20"/>
                <w:szCs w:val="20"/>
                <w:color w:val="auto"/>
              </w:rPr>
            </w:pPr>
            <w:r>
              <w:rPr>
                <w:rFonts w:ascii="Arial" w:cs="Arial" w:eastAsia="Arial" w:hAnsi="Arial"/>
                <w:sz w:val="14"/>
                <w:szCs w:val="14"/>
                <w:color w:val="auto"/>
              </w:rPr>
              <w:t>CSNV - 0</w:t>
            </w:r>
          </w:p>
        </w:tc>
        <w:tc>
          <w:tcPr>
            <w:tcW w:w="1740" w:type="dxa"/>
            <w:vAlign w:val="bottom"/>
            <w:vMerge w:val="restart"/>
          </w:tcPr>
          <w:p>
            <w:pPr>
              <w:jc w:val="right"/>
              <w:ind w:right="628"/>
              <w:spacing w:after="0"/>
              <w:rPr>
                <w:sz w:val="20"/>
                <w:szCs w:val="20"/>
                <w:color w:val="auto"/>
              </w:rPr>
            </w:pPr>
            <w:r>
              <w:rPr>
                <w:rFonts w:ascii="Arial" w:cs="Arial" w:eastAsia="Arial" w:hAnsi="Arial"/>
                <w:sz w:val="14"/>
                <w:szCs w:val="14"/>
                <w:color w:val="auto"/>
              </w:rPr>
              <w:t>-</w:t>
            </w:r>
          </w:p>
        </w:tc>
        <w:tc>
          <w:tcPr>
            <w:tcW w:w="2320" w:type="dxa"/>
            <w:vAlign w:val="bottom"/>
            <w:vMerge w:val="restart"/>
          </w:tcPr>
          <w:p>
            <w:pPr>
              <w:jc w:val="center"/>
              <w:ind w:left="268"/>
              <w:spacing w:after="0"/>
              <w:rPr>
                <w:sz w:val="20"/>
                <w:szCs w:val="20"/>
                <w:color w:val="auto"/>
              </w:rPr>
            </w:pPr>
            <w:r>
              <w:rPr>
                <w:rFonts w:ascii="Arial" w:cs="Arial" w:eastAsia="Arial" w:hAnsi="Arial"/>
                <w:sz w:val="14"/>
                <w:szCs w:val="14"/>
                <w:color w:val="auto"/>
              </w:rPr>
              <w:t>-</w:t>
            </w:r>
          </w:p>
        </w:tc>
        <w:tc>
          <w:tcPr>
            <w:tcW w:w="2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240" w:type="dxa"/>
            <w:vAlign w:val="bottom"/>
            <w:tcBorders>
              <w:bottom w:val="single" w:sz="8" w:color="00539B"/>
            </w:tcBorders>
          </w:tcPr>
          <w:p>
            <w:pPr>
              <w:spacing w:after="0"/>
              <w:rPr>
                <w:sz w:val="7"/>
                <w:szCs w:val="7"/>
                <w:color w:val="auto"/>
              </w:rPr>
            </w:pPr>
          </w:p>
        </w:tc>
        <w:tc>
          <w:tcPr>
            <w:tcW w:w="2900" w:type="dxa"/>
            <w:vAlign w:val="bottom"/>
            <w:tcBorders>
              <w:bottom w:val="single" w:sz="8" w:color="00539B"/>
            </w:tcBorders>
            <w:vMerge w:val="continue"/>
          </w:tcPr>
          <w:p>
            <w:pPr>
              <w:spacing w:after="0"/>
              <w:rPr>
                <w:sz w:val="7"/>
                <w:szCs w:val="7"/>
                <w:color w:val="auto"/>
              </w:rPr>
            </w:pPr>
          </w:p>
        </w:tc>
        <w:tc>
          <w:tcPr>
            <w:tcW w:w="1740" w:type="dxa"/>
            <w:vAlign w:val="bottom"/>
            <w:tcBorders>
              <w:bottom w:val="single" w:sz="8" w:color="00539B"/>
            </w:tcBorders>
            <w:vMerge w:val="continue"/>
          </w:tcPr>
          <w:p>
            <w:pPr>
              <w:spacing w:after="0"/>
              <w:rPr>
                <w:sz w:val="7"/>
                <w:szCs w:val="7"/>
                <w:color w:val="auto"/>
              </w:rPr>
            </w:pPr>
          </w:p>
        </w:tc>
        <w:tc>
          <w:tcPr>
            <w:tcW w:w="2320" w:type="dxa"/>
            <w:vAlign w:val="bottom"/>
            <w:tcBorders>
              <w:bottom w:val="single" w:sz="8" w:color="00539B"/>
            </w:tcBorders>
            <w:vMerge w:val="continue"/>
          </w:tcPr>
          <w:p>
            <w:pPr>
              <w:spacing w:after="0"/>
              <w:rPr>
                <w:sz w:val="7"/>
                <w:szCs w:val="7"/>
                <w:color w:val="auto"/>
              </w:rPr>
            </w:pPr>
          </w:p>
        </w:tc>
        <w:tc>
          <w:tcPr>
            <w:tcW w:w="2000" w:type="dxa"/>
            <w:vAlign w:val="bottom"/>
            <w:tcBorders>
              <w:bottom w:val="single" w:sz="8" w:color="00539B"/>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On November 11, 2025, various trusts affiliated with Lawrence Kurzius, former McCormick Chairman, President and CEO who retired from our Board as Executive Chairman on March 26, 2025 and current beneficial owner of more than five percent of the CS of the Company, sold 39,014 shares of McCormick CS as a part of McCormick's authorized share repurchase program for $ 2,517,964. The repurchase price per share was equal to the average of the high and low trading price of the CSNV on the date McCormick agreed to repurchase the shares.</w:t>
      </w:r>
    </w:p>
    <w:p>
      <w:pPr>
        <w:spacing w:after="0" w:line="12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As of November 30, 2025, approximately $414 million remained of a $600 million share repurchase authorization approved by the Board of Directors in November 2019. The timing and amount of any shares repurchased is determined by our management based on its evaluation of market conditions and other factors.</w:t>
      </w:r>
    </w:p>
    <w:p>
      <w:pPr>
        <w:spacing w:after="0" w:line="11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certain circumstances, we issue shares of CS in exchange for shares of CSNV, or issue shares of CSNV in exchange for shares of CS, in either case pursuant to the exemption from registration provided by Section 3(a)(9) of the Securities Act of 1933, as amended. Typically, these exchanges are made in connection with the administration of our employee benefit plans, executive compensation programs and dividend reinvestment/direct purchase plans. The number of shares issued in an exchange is generally equal to the number of shares received in the exchange, although the number may differ slightly to the extent necessary to comply with the requirements of the Employee Retirement Income Security Act of 1974. During fiscal 2025, we issued 1,105,409 shares of CSNV in exchange for shares of CS and issued 24,157 shares of CS in exchange for shares of CSNV.</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00539B"/>
        </w:rPr>
        <w:t>ITEM 6. [RESERVED]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539B"/>
        </w:rPr>
        <w:t>ITEM 7. MANAGEMENT’S DISCUSSION AND ANALYSIS OF FINANCIAL CONDITION AND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00539B"/>
        </w:rPr>
        <w:t>Overview</w:t>
      </w:r>
    </w:p>
    <w:p>
      <w:pPr>
        <w:spacing w:after="0" w:line="10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is intended to help the reader understand McCormick &amp; Company, Incorporated, our operations, and our present business environment from the perspective of management. MD&amp;A is provided as a supplement to, and should be read in conjunction with, our financial statements and the accompanying notes thereto contained in Item 8 of this report. We use certain non-GAAP information—more fully described below under the caption Non-GAAP Financial Measures—that we believe is important for purposes of comparison to prior periods and development of future projections and earnings growth prospects. This information is also used by management to measure the profitability of our ongoing operations and analyze our business performance and trends. The dollar and share information in the charts and tables in MD&amp;A are in millions, except per share data.</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23" w:name="page24"/>
    <w:bookmarkEnd w:id="23"/>
    <w:p>
      <w:pPr>
        <w:ind w:right="240"/>
        <w:spacing w:after="0" w:line="268" w:lineRule="auto"/>
        <w:rPr>
          <w:sz w:val="20"/>
          <w:szCs w:val="20"/>
          <w:color w:val="auto"/>
        </w:rPr>
      </w:pPr>
      <w:r>
        <w:rPr>
          <w:rFonts w:ascii="Arial" w:cs="Arial" w:eastAsia="Arial" w:hAnsi="Arial"/>
          <w:sz w:val="18"/>
          <w:szCs w:val="18"/>
          <w:color w:val="auto"/>
        </w:rPr>
        <w:t>McCormick is a global leader in flavor. We manufacture, market, and distribute spices, seasoning mixes, condiments, and other flavorful products to the entire food and beverage industry–retailers, food manufacturers, and foodservice businesses. We manage our business in two operating segments, Consumer and Flavor Solutions, as described in Item 1 of this report.</w:t>
      </w:r>
    </w:p>
    <w:p>
      <w:pPr>
        <w:spacing w:after="0" w:line="117"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Our long-term annual growth objectives in constant currency are to increase sales 4% to 6%, increase adjusted operating income 7% to 9%, and increase adjusted earnings per share 9% to 11%. Our actual annual results can vary from our long-term growth objectives.</w:t>
      </w:r>
    </w:p>
    <w:p>
      <w:pPr>
        <w:spacing w:after="0" w:line="99"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Over time, we expect to grow sales with similar contributions from: 1) our base business – driven by brand marketing support, category management, and differentiated customer engagement; 2) new products; and 3) acquisitions.</w:t>
      </w:r>
    </w:p>
    <w:p>
      <w:pPr>
        <w:spacing w:after="0" w:line="99"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i w:val="1"/>
          <w:iCs w:val="1"/>
          <w:color w:val="auto"/>
        </w:rPr>
        <w:t xml:space="preserve">Base Business </w:t>
      </w:r>
      <w:r>
        <w:rPr>
          <w:rFonts w:ascii="Arial" w:cs="Arial" w:eastAsia="Arial" w:hAnsi="Arial"/>
          <w:sz w:val="18"/>
          <w:szCs w:val="18"/>
          <w:color w:val="auto"/>
        </w:rPr>
        <w:t>– We expect to drive sales growth by optimizing our brand marketing investment through improved speed, quality, and</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effectiveness. We measure the return on our brand marketing investment and identify digital marketing as one of our highest return investments in brand marketing support. Through digital marketing, we are connecting with consumers in a personalized way to deliver recipes, provide cooking advice, and help them discover new products.</w:t>
      </w:r>
    </w:p>
    <w:p>
      <w:pPr>
        <w:spacing w:after="0" w:line="12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i w:val="1"/>
          <w:iCs w:val="1"/>
          <w:color w:val="auto"/>
        </w:rPr>
        <w:t xml:space="preserve">New Products </w:t>
      </w:r>
      <w:r>
        <w:rPr>
          <w:rFonts w:ascii="Arial" w:cs="Arial" w:eastAsia="Arial" w:hAnsi="Arial"/>
          <w:sz w:val="18"/>
          <w:szCs w:val="18"/>
          <w:color w:val="auto"/>
        </w:rPr>
        <w:t>– For our Consumer segment, we believe that scalable and differentiated innovation continues to be one of the best ways to</w:t>
      </w:r>
      <w:r>
        <w:rPr>
          <w:rFonts w:ascii="Arial" w:cs="Arial" w:eastAsia="Arial" w:hAnsi="Arial"/>
          <w:sz w:val="18"/>
          <w:szCs w:val="18"/>
          <w:i w:val="1"/>
          <w:iCs w:val="1"/>
          <w:color w:val="auto"/>
        </w:rPr>
        <w:t xml:space="preserve"> </w:t>
      </w:r>
      <w:r>
        <w:rPr>
          <w:rFonts w:ascii="Arial" w:cs="Arial" w:eastAsia="Arial" w:hAnsi="Arial"/>
          <w:sz w:val="18"/>
          <w:szCs w:val="18"/>
          <w:color w:val="auto"/>
        </w:rPr>
        <w:t>distinguish our brands from our competition, including private label. We are introducing products for every type of cooking occasion, from gourmet, premium items to convenient and value-priced flavors.</w:t>
      </w:r>
    </w:p>
    <w:p>
      <w:pPr>
        <w:spacing w:after="0" w:line="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For Flavor Solutions customers, we are developing seasonings for snacks and other food products, as well as flavors for new menu items. We have a strong pipeline of Flavor Solutions products aligned with our customers’ new product launch plans, many of which include clean-label, organic, natural, and “better-for-you” innovation. With over 20 product innovation centers around the world, we are supporting the growth of our brands and those of our Flavor Solutions customers with products that appeal to local consumers.</w:t>
      </w:r>
    </w:p>
    <w:p>
      <w:pPr>
        <w:spacing w:after="0" w:line="12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 Acquisitions are expected to approximate one-third of our sales growth over time. We focus on acquisition opportunities that</w:t>
      </w:r>
      <w:r>
        <w:rPr>
          <w:rFonts w:ascii="Arial" w:cs="Arial" w:eastAsia="Arial" w:hAnsi="Arial"/>
          <w:sz w:val="18"/>
          <w:szCs w:val="18"/>
          <w:i w:val="1"/>
          <w:iCs w:val="1"/>
          <w:color w:val="auto"/>
        </w:rPr>
        <w:t xml:space="preserve"> </w:t>
      </w:r>
      <w:r>
        <w:rPr>
          <w:rFonts w:ascii="Arial" w:cs="Arial" w:eastAsia="Arial" w:hAnsi="Arial"/>
          <w:sz w:val="18"/>
          <w:szCs w:val="18"/>
          <w:color w:val="auto"/>
        </w:rPr>
        <w:t>meet the growing demand for flavor and health. Geographically, our focus is on acquisitions that build scale where we currently have presence in both developed and emerging markets.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00539B"/>
        </w:rPr>
        <w:t>Recent Event</w:t>
      </w:r>
    </w:p>
    <w:p>
      <w:pPr>
        <w:spacing w:after="0" w:line="104" w:lineRule="exact"/>
        <w:rPr>
          <w:sz w:val="20"/>
          <w:szCs w:val="20"/>
          <w:color w:val="auto"/>
        </w:rPr>
      </w:pPr>
    </w:p>
    <w:p>
      <w:pPr>
        <w:ind w:right="180"/>
        <w:spacing w:after="0" w:line="282" w:lineRule="auto"/>
        <w:rPr>
          <w:sz w:val="20"/>
          <w:szCs w:val="20"/>
          <w:color w:val="auto"/>
        </w:rPr>
      </w:pPr>
      <w:r>
        <w:rPr>
          <w:rFonts w:ascii="Arial" w:cs="Arial" w:eastAsia="Arial" w:hAnsi="Arial"/>
          <w:sz w:val="17"/>
          <w:szCs w:val="17"/>
          <w:color w:val="auto"/>
        </w:rPr>
        <w:t>On January 2, 2026 we acquired an additional 25% ownership interest in McCormick de Mexico for a purchase price of $ 750 million, which increased our ownership to a 75% controlling interest. We believe the acquisition creates opportunities for further growth in the Mexican market and provides a strategic platform for further expansion in Latin America. McCormick de Mexico is a prominent food company in Mexico, with a broad portfolio, including mayonnaise, spices, marmalades, mustard, hot sauce, and tea, sold under McCormick brands.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00539B"/>
        </w:rPr>
        <w:t>Executive Summary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 2025, we achieved net sales growth of 1.7% as compared to 2024 due to the following factors:</w:t>
      </w:r>
    </w:p>
    <w:p>
      <w:pPr>
        <w:spacing w:after="0" w:line="27" w:lineRule="exact"/>
        <w:rPr>
          <w:sz w:val="20"/>
          <w:szCs w:val="20"/>
          <w:color w:val="auto"/>
        </w:rPr>
      </w:pPr>
    </w:p>
    <w:p>
      <w:pPr>
        <w:ind w:left="660" w:right="160" w:hanging="328"/>
        <w:spacing w:after="0" w:line="25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Volume and product mix favorably impacted net sales growth by 1.2%. The Consumer segment experienced favorable volume and product mix of 2.1% and the Flavor Solutions segment experienced unfavorable volume and product mix of 0.2%.</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Pricing favorably impacted net sales by 0.7%.</w:t>
      </w:r>
    </w:p>
    <w:p>
      <w:pPr>
        <w:spacing w:after="0" w:line="9" w:lineRule="exact"/>
        <w:rPr>
          <w:rFonts w:ascii="Arial" w:cs="Arial" w:eastAsia="Arial" w:hAnsi="Arial"/>
          <w:sz w:val="18"/>
          <w:szCs w:val="18"/>
          <w:color w:val="auto"/>
        </w:rPr>
      </w:pPr>
    </w:p>
    <w:p>
      <w:pPr>
        <w:ind w:left="660" w:right="760" w:hanging="328"/>
        <w:spacing w:after="0" w:line="296" w:lineRule="auto"/>
        <w:tabs>
          <w:tab w:leader="none" w:pos="655" w:val="left"/>
        </w:tabs>
        <w:numPr>
          <w:ilvl w:val="0"/>
          <w:numId w:val="5"/>
        </w:numPr>
        <w:rPr>
          <w:rFonts w:ascii="Arial" w:cs="Arial" w:eastAsia="Arial" w:hAnsi="Arial"/>
          <w:sz w:val="17"/>
          <w:szCs w:val="17"/>
          <w:color w:val="auto"/>
        </w:rPr>
      </w:pPr>
      <w:r>
        <w:rPr>
          <w:rFonts w:ascii="Arial" w:cs="Arial" w:eastAsia="Arial" w:hAnsi="Arial"/>
          <w:sz w:val="17"/>
          <w:szCs w:val="17"/>
          <w:color w:val="auto"/>
        </w:rPr>
        <w:t>Fluctuations in currency rates negatively impacted net sales by 0.2%, Fluctuations in currency rates positively impacted our Consumer segment sales growth by 0.2% and negatively impacted our Flavor Solutions segment sales growth by 0.6%.</w:t>
      </w:r>
    </w:p>
    <w:p>
      <w:pPr>
        <w:spacing w:after="0" w:line="9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Operating income was $1,070.8 million in 2025, compared to $1,060.3 million in 2024, reflecting an increase of 1.0%. Our gross profit margin decreased by 60 basis points primarily driven by increased commodity costs including the impact of tariffs, unfavorable product mix, and increased conversion costs including costs to support capacity for future growth, partially offset by pricing actions and CCI-led cost savings. Selling, general, and administrative (SG&amp;A) expense as a percentage of sales decreased by 70 basis points, primarily driven by lower performance-based employee compensation expense, lower distribution expense, and CCI-led cost savings including SG&amp;A streamlining initiatives, partially offset by increased brand marketing expense. Excluding special charges, adjusted operating income was $ 1,094.0 million in 2025, reflecting an increase of 2.3% compared to $1,069.8 million in 2024. In constant currency, adjusted operating income increased</w:t>
      </w:r>
    </w:p>
    <w:p>
      <w:pPr>
        <w:spacing w:after="0" w:line="2" w:lineRule="exact"/>
        <w:rPr>
          <w:sz w:val="20"/>
          <w:szCs w:val="20"/>
          <w:color w:val="auto"/>
        </w:rPr>
      </w:pPr>
    </w:p>
    <w:p>
      <w:pPr>
        <w:ind w:right="340"/>
        <w:spacing w:after="0" w:line="266" w:lineRule="auto"/>
        <w:rPr>
          <w:sz w:val="20"/>
          <w:szCs w:val="20"/>
          <w:color w:val="auto"/>
        </w:rPr>
      </w:pPr>
      <w:r>
        <w:rPr>
          <w:rFonts w:ascii="Arial" w:cs="Arial" w:eastAsia="Arial" w:hAnsi="Arial"/>
          <w:sz w:val="18"/>
          <w:szCs w:val="18"/>
          <w:color w:val="auto"/>
        </w:rPr>
        <w:t>2.8%. For further details and a reconciliation of non-GAAP to reported amounts, see the subsequent discussion under the heading "Non-GAAP Financial Measures".</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52" w:right="379" w:bottom="1440" w:gutter="0" w:footer="0" w:header="0"/>
        </w:sectPr>
      </w:pPr>
    </w:p>
    <w:bookmarkStart w:id="24" w:name="page25"/>
    <w:bookmarkEnd w:id="24"/>
    <w:p>
      <w:pPr>
        <w:ind w:right="260"/>
        <w:spacing w:after="0" w:line="259" w:lineRule="auto"/>
        <w:rPr>
          <w:sz w:val="20"/>
          <w:szCs w:val="20"/>
          <w:color w:val="auto"/>
        </w:rPr>
      </w:pPr>
      <w:r>
        <w:rPr>
          <w:rFonts w:ascii="Arial" w:cs="Arial" w:eastAsia="Arial" w:hAnsi="Arial"/>
          <w:sz w:val="18"/>
          <w:szCs w:val="18"/>
          <w:color w:val="auto"/>
        </w:rPr>
        <w:t>Diluted earnings per share was $2.93 in 2025 and $2.92 in 2024, driven by higher operating income and decreased interest expense, partially offset by an increase in the effective tax rate, higher special charges, a decrease in other income, and a decrease in income from unconsolidated operations. Special charges lowered earnings per share by $0.07 and $0.03 in 2025 and 2024, respectively. Excluding the effects of special charges, adjusted diluted earnings per share was $3.00 in 2025, compared to $2.95 in 2024, representing an increase of 1.7%.</w:t>
      </w:r>
    </w:p>
    <w:p>
      <w:pPr>
        <w:spacing w:after="0" w:line="1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Net cash provided by operating activities was $962.2 million, $921.9 million, and $1,237.3 million in 2025, 2024, and 2023, respectively. In 2025, we continued to have a balanced use of cash for debt repayment, capital expenditures, and the return of cash to shareholders through dividends and share repurchases. We are using our cash to fund shareholder dividends, with annual increases in each of the past 40 years, and to fund capital expenditures and acquisitions. In 2025, the return of cash to our shareholders through dividends and share repurchases was $517.8 million.</w:t>
      </w:r>
    </w:p>
    <w:p>
      <w:pPr>
        <w:spacing w:after="0" w:line="12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 detailed review of our fiscal 2025 performance compared to fiscal 2024 appears in the section titled “Results of Operations – 2025 Compared to 2024.” A detailed review of our fiscal 2024 performance compared to our fiscal 2023 performance is set forth in Part II, Item 7 of our Form 10-K for the fiscal year ended November 30, 2024 under the caption “Management’s Discussion and Analysis of Financial Condition and Results of Operations – Results of Operations – 2024 Compared to 2023,” which is incorporated herein by reference.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00539B"/>
        </w:rPr>
        <w:t>2026 Outlook</w:t>
      </w:r>
    </w:p>
    <w:p>
      <w:pPr>
        <w:spacing w:after="0" w:line="17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Our fiscal 2026 outlook continues to reflect prioritized investments in key categories to sustain our volume trends and drive long-term profitable growth while appreciating the uncertainty of the consumer and macro environment, including global trade policies. Our CCI program is continuing to fuel growth investments while also driving operating margin expansion. Our fiscal 2026 outlook also reflects meaningful contributions from the acquisition of a controlling interest in McCormick de Mexico, which closed on January 2, 2026. Amounts are rounded with percentages calculated from the underlying amounts.</w:t>
      </w:r>
    </w:p>
    <w:p>
      <w:pPr>
        <w:spacing w:after="0" w:line="206"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Our outlook for 2026 adjusted operating income and adjusted earnings per share are non-GAAP financial measures that exclude or otherwise adjust for items impacting comparability of financial results. We are unable to reconcile projected adjusted operating income to projected reported operating income because we cannot reasonably predict the amount of special charges, including transaction and integration expenses, during this time period. We expect 2026 transaction and integration expenses to include a step-up in inventory to fair value related to the recent acquisition of an additional 25% ownership interest in McCormick de Mexico. This step-up will be recognized in cost of goods sold as the related inventory is sold.</w:t>
      </w:r>
    </w:p>
    <w:p>
      <w:pPr>
        <w:spacing w:after="0" w:line="128"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We are unable to reconcile projected adjusted earnings per share to projected reported earnings per share due to the same factors affecting reported operating income, and because we cannot reasonably predict the amount of the anticipated non-cash gain from remeasuring the previously held equity interest in McCormick de Mexico to fair value.</w:t>
      </w:r>
    </w:p>
    <w:p>
      <w:pPr>
        <w:spacing w:after="0" w:line="10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In 2026, we expect net sales to grow between 13% and 17% compared to 2025, including an 11% to 13% increase as a result of the acquisition of a controlling interest in McCormick de Mexico and a 1% favorable impact from foreign currency rates, or to grow from 1% to 3% on an organic basis. We anticipate that net sales will benefit from favorable volume and product mix and pricing.</w:t>
      </w:r>
    </w:p>
    <w:p>
      <w:pPr>
        <w:spacing w:after="0" w:line="108"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In 2026, we expect an increase in adjusted operating income of 16% to 20% compared to 2025, including a 1% favorable impact from foreign currency rates, or to increase by 15% to 19% on a constant currency basis. This anticipated increase in adjusted operating income reflects recovery of adjusted gross margin, accretion from the acquisition of the controlling interest in McCormick de Mexico and cost savings from our CCI program, partially offset by increased commodity costs and an increase in SG&amp;A expense, including performance-based employee compensation expenses and investments aimed at driving volume growth, particularly in brand marketing. We project our brand marketing investments in 2026 to rise by low to mid-teens digits, including the impact from the acquisition of the controlling interest in McCormick de Mexico, compared to 2025.</w:t>
      </w:r>
    </w:p>
    <w:p>
      <w:pPr>
        <w:spacing w:after="0" w:line="121"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We estimate that our 2026 adjusted effective tax rate, including the net favorable impact of anticipated discrete tax items, although at a lower amount than in 2025, will be 24.0% as compared to 21.5% in 2025.</w:t>
      </w:r>
    </w:p>
    <w:p>
      <w:pPr>
        <w:spacing w:after="0" w:line="85"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color w:val="auto"/>
        </w:rPr>
        <w:t>Excluding the per share impact of special charges, adjusted diluted earnings per share was $3.00 in 2025. Adjusted diluted earnings per share is projected to range from $3.05 to $3.13 in 2026. We expect adjusted diluted earnings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25" w:name="page26"/>
    <w:bookmarkEnd w:id="25"/>
    <w:p>
      <w:pPr>
        <w:ind w:right="360"/>
        <w:spacing w:after="0" w:line="271" w:lineRule="auto"/>
        <w:rPr>
          <w:sz w:val="20"/>
          <w:szCs w:val="20"/>
          <w:color w:val="auto"/>
        </w:rPr>
      </w:pPr>
      <w:r>
        <w:rPr>
          <w:rFonts w:ascii="Arial" w:cs="Arial" w:eastAsia="Arial" w:hAnsi="Arial"/>
          <w:sz w:val="18"/>
          <w:szCs w:val="18"/>
          <w:color w:val="auto"/>
        </w:rPr>
        <w:t>per share to increase by 2% to 5%, which includes a 1% favorable impact from currency rates, or to increase by 1% to 4% on a constant currency basis.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00539B"/>
        </w:rPr>
        <w:t>RESULTS OF OPERATIONS—2025 COMPARED TO 2024</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560" w:type="dxa"/>
            <w:vAlign w:val="bottom"/>
            <w:tcBorders>
              <w:top w:val="single" w:sz="8" w:color="00539B"/>
              <w:bottom w:val="single" w:sz="8" w:color="00539B"/>
            </w:tcBorders>
          </w:tcPr>
          <w:p>
            <w:pPr>
              <w:spacing w:after="0"/>
              <w:rPr>
                <w:sz w:val="19"/>
                <w:szCs w:val="19"/>
                <w:color w:val="auto"/>
              </w:rPr>
            </w:pPr>
          </w:p>
        </w:tc>
        <w:tc>
          <w:tcPr>
            <w:tcW w:w="1120" w:type="dxa"/>
            <w:vAlign w:val="bottom"/>
            <w:tcBorders>
              <w:top w:val="single" w:sz="8" w:color="00539B"/>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2025</w:t>
            </w:r>
          </w:p>
        </w:tc>
        <w:tc>
          <w:tcPr>
            <w:tcW w:w="540" w:type="dxa"/>
            <w:vAlign w:val="bottom"/>
            <w:tcBorders>
              <w:top w:val="single" w:sz="8" w:color="00539B"/>
              <w:bottom w:val="single" w:sz="8" w:color="00539B"/>
            </w:tcBorders>
            <w:shd w:val="clear" w:color="auto" w:fill="E0E3F1"/>
          </w:tcPr>
          <w:p>
            <w:pPr>
              <w:spacing w:after="0"/>
              <w:rPr>
                <w:sz w:val="19"/>
                <w:szCs w:val="19"/>
                <w:color w:val="auto"/>
              </w:rPr>
            </w:pPr>
          </w:p>
        </w:tc>
        <w:tc>
          <w:tcPr>
            <w:tcW w:w="160" w:type="dxa"/>
            <w:vAlign w:val="bottom"/>
            <w:tcBorders>
              <w:top w:val="single" w:sz="8" w:color="00539B"/>
              <w:bottom w:val="single" w:sz="8" w:color="00539B"/>
            </w:tcBorders>
            <w:shd w:val="clear" w:color="auto" w:fill="E0E3F1"/>
          </w:tcPr>
          <w:p>
            <w:pPr>
              <w:spacing w:after="0"/>
              <w:rPr>
                <w:sz w:val="19"/>
                <w:szCs w:val="19"/>
                <w:color w:val="auto"/>
              </w:rPr>
            </w:pPr>
          </w:p>
        </w:tc>
        <w:tc>
          <w:tcPr>
            <w:tcW w:w="420" w:type="dxa"/>
            <w:vAlign w:val="bottom"/>
            <w:tcBorders>
              <w:top w:val="single" w:sz="8" w:color="00539B"/>
              <w:bottom w:val="single" w:sz="8" w:color="00539B"/>
            </w:tcBorders>
          </w:tcPr>
          <w:p>
            <w:pPr>
              <w:spacing w:after="0"/>
              <w:rPr>
                <w:sz w:val="19"/>
                <w:szCs w:val="19"/>
                <w:color w:val="auto"/>
              </w:rPr>
            </w:pPr>
          </w:p>
        </w:tc>
        <w:tc>
          <w:tcPr>
            <w:tcW w:w="1400" w:type="dxa"/>
            <w:vAlign w:val="bottom"/>
            <w:tcBorders>
              <w:top w:val="single" w:sz="8" w:color="00539B"/>
              <w:bottom w:val="single" w:sz="8" w:color="00539B"/>
            </w:tcBorders>
          </w:tcPr>
          <w:p>
            <w:pPr>
              <w:jc w:val="right"/>
              <w:ind w:right="688"/>
              <w:spacing w:after="0"/>
              <w:rPr>
                <w:sz w:val="20"/>
                <w:szCs w:val="20"/>
                <w:color w:val="auto"/>
              </w:rPr>
            </w:pPr>
            <w:r>
              <w:rPr>
                <w:rFonts w:ascii="Arial" w:cs="Arial" w:eastAsia="Arial" w:hAnsi="Arial"/>
                <w:sz w:val="14"/>
                <w:szCs w:val="14"/>
                <w:color w:val="auto"/>
              </w:rPr>
              <w:t>2024</w:t>
            </w:r>
          </w:p>
        </w:tc>
      </w:tr>
      <w:tr>
        <w:trPr>
          <w:trHeight w:val="192"/>
        </w:trPr>
        <w:tc>
          <w:tcPr>
            <w:tcW w:w="7560" w:type="dxa"/>
            <w:vAlign w:val="bottom"/>
          </w:tcPr>
          <w:p>
            <w:pPr>
              <w:ind w:left="20"/>
              <w:spacing w:after="0"/>
              <w:rPr>
                <w:sz w:val="20"/>
                <w:szCs w:val="20"/>
                <w:color w:val="auto"/>
              </w:rPr>
            </w:pPr>
            <w:r>
              <w:rPr>
                <w:rFonts w:ascii="Arial" w:cs="Arial" w:eastAsia="Arial" w:hAnsi="Arial"/>
                <w:sz w:val="14"/>
                <w:szCs w:val="14"/>
                <w:color w:val="auto"/>
              </w:rPr>
              <w:t>Net sales</w:t>
            </w:r>
          </w:p>
        </w:tc>
        <w:tc>
          <w:tcPr>
            <w:tcW w:w="1120" w:type="dxa"/>
            <w:vAlign w:val="bottom"/>
            <w:shd w:val="clear" w:color="auto" w:fill="E0E3F1"/>
          </w:tcPr>
          <w:p>
            <w:pPr>
              <w:jc w:val="right"/>
              <w:ind w:right="948"/>
              <w:spacing w:after="0"/>
              <w:rPr>
                <w:sz w:val="20"/>
                <w:szCs w:val="20"/>
                <w:color w:val="auto"/>
              </w:rPr>
            </w:pPr>
            <w:r>
              <w:rPr>
                <w:rFonts w:ascii="Arial" w:cs="Arial" w:eastAsia="Arial" w:hAnsi="Arial"/>
                <w:sz w:val="14"/>
                <w:szCs w:val="14"/>
                <w:color w:val="auto"/>
              </w:rPr>
              <w:t>$</w:t>
            </w:r>
          </w:p>
        </w:tc>
        <w:tc>
          <w:tcPr>
            <w:tcW w:w="540" w:type="dxa"/>
            <w:vAlign w:val="bottom"/>
            <w:shd w:val="clear" w:color="auto" w:fill="E0E3F1"/>
          </w:tcPr>
          <w:p>
            <w:pPr>
              <w:jc w:val="right"/>
              <w:spacing w:after="0"/>
              <w:rPr>
                <w:sz w:val="20"/>
                <w:szCs w:val="20"/>
                <w:color w:val="auto"/>
              </w:rPr>
            </w:pPr>
            <w:r>
              <w:rPr>
                <w:rFonts w:ascii="Arial" w:cs="Arial" w:eastAsia="Arial" w:hAnsi="Arial"/>
                <w:sz w:val="14"/>
                <w:szCs w:val="14"/>
                <w:color w:val="auto"/>
              </w:rPr>
              <w:t>6,840.3</w:t>
            </w:r>
          </w:p>
        </w:tc>
        <w:tc>
          <w:tcPr>
            <w:tcW w:w="160" w:type="dxa"/>
            <w:vAlign w:val="bottom"/>
            <w:shd w:val="clear" w:color="auto" w:fill="E0E3F1"/>
          </w:tcPr>
          <w:p>
            <w:pPr>
              <w:spacing w:after="0"/>
              <w:rPr>
                <w:sz w:val="16"/>
                <w:szCs w:val="16"/>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108"/>
              <w:spacing w:after="0"/>
              <w:rPr>
                <w:sz w:val="20"/>
                <w:szCs w:val="20"/>
                <w:color w:val="auto"/>
              </w:rPr>
            </w:pPr>
            <w:r>
              <w:rPr>
                <w:rFonts w:ascii="Arial" w:cs="Arial" w:eastAsia="Arial" w:hAnsi="Arial"/>
                <w:sz w:val="14"/>
                <w:szCs w:val="14"/>
                <w:color w:val="auto"/>
              </w:rPr>
              <w:t>6,723.7</w:t>
            </w:r>
          </w:p>
        </w:tc>
      </w:tr>
      <w:tr>
        <w:trPr>
          <w:trHeight w:val="203"/>
        </w:trPr>
        <w:tc>
          <w:tcPr>
            <w:tcW w:w="7560" w:type="dxa"/>
            <w:vAlign w:val="bottom"/>
          </w:tcPr>
          <w:p>
            <w:pPr>
              <w:ind w:left="140"/>
              <w:spacing w:after="0"/>
              <w:rPr>
                <w:sz w:val="20"/>
                <w:szCs w:val="20"/>
                <w:color w:val="auto"/>
              </w:rPr>
            </w:pPr>
            <w:r>
              <w:rPr>
                <w:rFonts w:ascii="Arial" w:cs="Arial" w:eastAsia="Arial" w:hAnsi="Arial"/>
                <w:sz w:val="14"/>
                <w:szCs w:val="14"/>
                <w:color w:val="auto"/>
              </w:rPr>
              <w:t>Percent growth</w:t>
            </w:r>
          </w:p>
        </w:tc>
        <w:tc>
          <w:tcPr>
            <w:tcW w:w="1120" w:type="dxa"/>
            <w:vAlign w:val="bottom"/>
            <w:shd w:val="clear" w:color="auto" w:fill="E0E3F1"/>
          </w:tcPr>
          <w:p>
            <w:pPr>
              <w:spacing w:after="0"/>
              <w:rPr>
                <w:sz w:val="17"/>
                <w:szCs w:val="17"/>
                <w:color w:val="auto"/>
              </w:rPr>
            </w:pPr>
          </w:p>
        </w:tc>
        <w:tc>
          <w:tcPr>
            <w:tcW w:w="540" w:type="dxa"/>
            <w:vAlign w:val="bottom"/>
            <w:shd w:val="clear" w:color="auto" w:fill="E0E3F1"/>
          </w:tcPr>
          <w:p>
            <w:pPr>
              <w:jc w:val="right"/>
              <w:spacing w:after="0"/>
              <w:rPr>
                <w:sz w:val="20"/>
                <w:szCs w:val="20"/>
                <w:color w:val="auto"/>
              </w:rPr>
            </w:pPr>
            <w:r>
              <w:rPr>
                <w:rFonts w:ascii="Arial" w:cs="Arial" w:eastAsia="Arial" w:hAnsi="Arial"/>
                <w:sz w:val="14"/>
                <w:szCs w:val="14"/>
                <w:color w:val="auto"/>
              </w:rPr>
              <w:t>1.7</w:t>
            </w:r>
          </w:p>
        </w:tc>
        <w:tc>
          <w:tcPr>
            <w:tcW w:w="160" w:type="dxa"/>
            <w:vAlign w:val="bottom"/>
            <w:shd w:val="clear" w:color="auto" w:fill="E0E3F1"/>
          </w:tcPr>
          <w:p>
            <w:pPr>
              <w:jc w:val="right"/>
              <w:spacing w:after="0"/>
              <w:rPr>
                <w:sz w:val="20"/>
                <w:szCs w:val="20"/>
                <w:color w:val="auto"/>
              </w:rPr>
            </w:pPr>
            <w:r>
              <w:rPr>
                <w:rFonts w:ascii="Arial" w:cs="Arial" w:eastAsia="Arial" w:hAnsi="Arial"/>
                <w:sz w:val="14"/>
                <w:szCs w:val="14"/>
                <w:color w:val="auto"/>
                <w:w w:val="96"/>
                <w:shd w:val="clear" w:color="auto" w:fill="E0E3F1"/>
              </w:rPr>
              <w:t>%</w:t>
            </w: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0.9 %</w:t>
            </w:r>
          </w:p>
        </w:tc>
      </w:tr>
      <w:tr>
        <w:trPr>
          <w:trHeight w:val="203"/>
        </w:trPr>
        <w:tc>
          <w:tcPr>
            <w:tcW w:w="7560" w:type="dxa"/>
            <w:vAlign w:val="bottom"/>
          </w:tcPr>
          <w:p>
            <w:pPr>
              <w:ind w:left="20"/>
              <w:spacing w:after="0"/>
              <w:rPr>
                <w:sz w:val="20"/>
                <w:szCs w:val="20"/>
                <w:color w:val="auto"/>
              </w:rPr>
            </w:pPr>
            <w:r>
              <w:rPr>
                <w:rFonts w:ascii="Arial" w:cs="Arial" w:eastAsia="Arial" w:hAnsi="Arial"/>
                <w:sz w:val="14"/>
                <w:szCs w:val="14"/>
                <w:color w:val="auto"/>
              </w:rPr>
              <w:t>Components of percent change in net sales:</w:t>
            </w:r>
          </w:p>
        </w:tc>
        <w:tc>
          <w:tcPr>
            <w:tcW w:w="1120" w:type="dxa"/>
            <w:vAlign w:val="bottom"/>
            <w:shd w:val="clear" w:color="auto" w:fill="E0E3F1"/>
          </w:tcPr>
          <w:p>
            <w:pPr>
              <w:spacing w:after="0"/>
              <w:rPr>
                <w:sz w:val="17"/>
                <w:szCs w:val="17"/>
                <w:color w:val="auto"/>
              </w:rPr>
            </w:pPr>
          </w:p>
        </w:tc>
        <w:tc>
          <w:tcPr>
            <w:tcW w:w="540" w:type="dxa"/>
            <w:vAlign w:val="bottom"/>
            <w:shd w:val="clear" w:color="auto" w:fill="E0E3F1"/>
          </w:tcPr>
          <w:p>
            <w:pPr>
              <w:spacing w:after="0"/>
              <w:rPr>
                <w:sz w:val="17"/>
                <w:szCs w:val="17"/>
                <w:color w:val="auto"/>
              </w:rPr>
            </w:pPr>
          </w:p>
        </w:tc>
        <w:tc>
          <w:tcPr>
            <w:tcW w:w="160" w:type="dxa"/>
            <w:vAlign w:val="bottom"/>
            <w:shd w:val="clear" w:color="auto" w:fill="E0E3F1"/>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11"/>
        </w:trPr>
        <w:tc>
          <w:tcPr>
            <w:tcW w:w="7560" w:type="dxa"/>
            <w:vAlign w:val="bottom"/>
          </w:tcPr>
          <w:p>
            <w:pPr>
              <w:ind w:left="140"/>
              <w:spacing w:after="0"/>
              <w:rPr>
                <w:sz w:val="20"/>
                <w:szCs w:val="20"/>
                <w:color w:val="auto"/>
              </w:rPr>
            </w:pPr>
            <w:r>
              <w:rPr>
                <w:rFonts w:ascii="Arial" w:cs="Arial" w:eastAsia="Arial" w:hAnsi="Arial"/>
                <w:sz w:val="14"/>
                <w:szCs w:val="14"/>
                <w:color w:val="auto"/>
              </w:rPr>
              <w:t>Volume and product mix</w:t>
            </w:r>
          </w:p>
        </w:tc>
        <w:tc>
          <w:tcPr>
            <w:tcW w:w="1120" w:type="dxa"/>
            <w:vAlign w:val="bottom"/>
            <w:shd w:val="clear" w:color="auto" w:fill="E0E3F1"/>
          </w:tcPr>
          <w:p>
            <w:pPr>
              <w:spacing w:after="0"/>
              <w:rPr>
                <w:sz w:val="18"/>
                <w:szCs w:val="18"/>
                <w:color w:val="auto"/>
              </w:rPr>
            </w:pPr>
          </w:p>
        </w:tc>
        <w:tc>
          <w:tcPr>
            <w:tcW w:w="540" w:type="dxa"/>
            <w:vAlign w:val="bottom"/>
            <w:shd w:val="clear" w:color="auto" w:fill="E0E3F1"/>
          </w:tcPr>
          <w:p>
            <w:pPr>
              <w:jc w:val="right"/>
              <w:spacing w:after="0"/>
              <w:rPr>
                <w:sz w:val="20"/>
                <w:szCs w:val="20"/>
                <w:color w:val="auto"/>
              </w:rPr>
            </w:pPr>
            <w:r>
              <w:rPr>
                <w:rFonts w:ascii="Arial" w:cs="Arial" w:eastAsia="Arial" w:hAnsi="Arial"/>
                <w:sz w:val="14"/>
                <w:szCs w:val="14"/>
                <w:color w:val="auto"/>
              </w:rPr>
              <w:t>1.2</w:t>
            </w:r>
          </w:p>
        </w:tc>
        <w:tc>
          <w:tcPr>
            <w:tcW w:w="160" w:type="dxa"/>
            <w:vAlign w:val="bottom"/>
            <w:shd w:val="clear" w:color="auto" w:fill="E0E3F1"/>
          </w:tcPr>
          <w:p>
            <w:pPr>
              <w:jc w:val="right"/>
              <w:spacing w:after="0"/>
              <w:rPr>
                <w:sz w:val="20"/>
                <w:szCs w:val="20"/>
                <w:color w:val="auto"/>
              </w:rPr>
            </w:pPr>
            <w:r>
              <w:rPr>
                <w:rFonts w:ascii="Arial" w:cs="Arial" w:eastAsia="Arial" w:hAnsi="Arial"/>
                <w:sz w:val="14"/>
                <w:szCs w:val="14"/>
                <w:color w:val="auto"/>
                <w:w w:val="96"/>
              </w:rPr>
              <w:t>%</w:t>
            </w: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0.3 %</w:t>
            </w:r>
          </w:p>
        </w:tc>
      </w:tr>
      <w:tr>
        <w:trPr>
          <w:trHeight w:val="194"/>
        </w:trPr>
        <w:tc>
          <w:tcPr>
            <w:tcW w:w="7560" w:type="dxa"/>
            <w:vAlign w:val="bottom"/>
          </w:tcPr>
          <w:p>
            <w:pPr>
              <w:ind w:left="140"/>
              <w:spacing w:after="0"/>
              <w:rPr>
                <w:sz w:val="20"/>
                <w:szCs w:val="20"/>
                <w:color w:val="auto"/>
              </w:rPr>
            </w:pPr>
            <w:r>
              <w:rPr>
                <w:rFonts w:ascii="Arial" w:cs="Arial" w:eastAsia="Arial" w:hAnsi="Arial"/>
                <w:sz w:val="14"/>
                <w:szCs w:val="14"/>
                <w:color w:val="auto"/>
              </w:rPr>
              <w:t>Pricing actions</w:t>
            </w:r>
          </w:p>
        </w:tc>
        <w:tc>
          <w:tcPr>
            <w:tcW w:w="1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0.7</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4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0.5 %</w:t>
            </w:r>
          </w:p>
        </w:tc>
      </w:tr>
      <w:tr>
        <w:trPr>
          <w:trHeight w:val="203"/>
        </w:trPr>
        <w:tc>
          <w:tcPr>
            <w:tcW w:w="7560" w:type="dxa"/>
            <w:vAlign w:val="bottom"/>
          </w:tcPr>
          <w:p>
            <w:pPr>
              <w:ind w:left="140"/>
              <w:spacing w:after="0"/>
              <w:rPr>
                <w:sz w:val="20"/>
                <w:szCs w:val="20"/>
                <w:color w:val="auto"/>
              </w:rPr>
            </w:pPr>
            <w:r>
              <w:rPr>
                <w:rFonts w:ascii="Arial" w:cs="Arial" w:eastAsia="Arial" w:hAnsi="Arial"/>
                <w:sz w:val="14"/>
                <w:szCs w:val="14"/>
                <w:color w:val="auto"/>
              </w:rPr>
              <w:t>Divestiture</w:t>
            </w:r>
          </w:p>
        </w:tc>
        <w:tc>
          <w:tcPr>
            <w:tcW w:w="1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218"/>
        </w:trPr>
        <w:tc>
          <w:tcPr>
            <w:tcW w:w="7560" w:type="dxa"/>
            <w:vAlign w:val="bottom"/>
            <w:tcBorders>
              <w:bottom w:val="single" w:sz="8" w:color="00539B"/>
            </w:tcBorders>
          </w:tcPr>
          <w:p>
            <w:pPr>
              <w:ind w:left="140"/>
              <w:spacing w:after="0"/>
              <w:rPr>
                <w:sz w:val="20"/>
                <w:szCs w:val="20"/>
                <w:color w:val="auto"/>
              </w:rPr>
            </w:pPr>
            <w:r>
              <w:rPr>
                <w:rFonts w:ascii="Arial" w:cs="Arial" w:eastAsia="Arial" w:hAnsi="Arial"/>
                <w:sz w:val="14"/>
                <w:szCs w:val="14"/>
                <w:color w:val="auto"/>
              </w:rPr>
              <w:t>Foreign exchange</w:t>
            </w:r>
          </w:p>
        </w:tc>
        <w:tc>
          <w:tcPr>
            <w:tcW w:w="1120" w:type="dxa"/>
            <w:vAlign w:val="bottom"/>
            <w:tcBorders>
              <w:bottom w:val="single" w:sz="8" w:color="00539B"/>
            </w:tcBorders>
          </w:tcPr>
          <w:p>
            <w:pPr>
              <w:spacing w:after="0"/>
              <w:rPr>
                <w:sz w:val="18"/>
                <w:szCs w:val="18"/>
                <w:color w:val="auto"/>
              </w:rPr>
            </w:pPr>
          </w:p>
        </w:tc>
        <w:tc>
          <w:tcPr>
            <w:tcW w:w="700" w:type="dxa"/>
            <w:vAlign w:val="bottom"/>
            <w:tcBorders>
              <w:bottom w:val="single" w:sz="8" w:color="00539B"/>
            </w:tcBorders>
            <w:gridSpan w:val="2"/>
          </w:tcPr>
          <w:p>
            <w:pPr>
              <w:jc w:val="right"/>
              <w:spacing w:after="0"/>
              <w:rPr>
                <w:sz w:val="20"/>
                <w:szCs w:val="20"/>
                <w:color w:val="auto"/>
              </w:rPr>
            </w:pPr>
            <w:r>
              <w:rPr>
                <w:rFonts w:ascii="Arial" w:cs="Arial" w:eastAsia="Arial" w:hAnsi="Arial"/>
                <w:sz w:val="14"/>
                <w:szCs w:val="14"/>
                <w:color w:val="auto"/>
              </w:rPr>
              <w:t>(0.2)%</w:t>
            </w:r>
          </w:p>
        </w:tc>
        <w:tc>
          <w:tcPr>
            <w:tcW w:w="420" w:type="dxa"/>
            <w:vAlign w:val="bottom"/>
            <w:tcBorders>
              <w:bottom w:val="single" w:sz="8" w:color="00539B"/>
            </w:tcBorders>
          </w:tcPr>
          <w:p>
            <w:pPr>
              <w:spacing w:after="0"/>
              <w:rPr>
                <w:sz w:val="18"/>
                <w:szCs w:val="18"/>
                <w:color w:val="auto"/>
              </w:rPr>
            </w:pPr>
          </w:p>
        </w:tc>
        <w:tc>
          <w:tcPr>
            <w:tcW w:w="140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0.3 %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-530860</wp:posOffset>
            </wp:positionV>
            <wp:extent cx="1148715" cy="5226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48715" cy="522605"/>
                    </a:xfrm>
                    <a:prstGeom prst="rect">
                      <a:avLst/>
                    </a:prstGeom>
                    <a:noFill/>
                  </pic:spPr>
                </pic:pic>
              </a:graphicData>
            </a:graphic>
          </wp:anchor>
        </w:drawing>
      </w:r>
    </w:p>
    <w:p>
      <w:pPr>
        <w:spacing w:after="0" w:line="204"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Sales for 2025 increased by 1.7% from 2024 and by 1.9% on an organic basis (that is, excluding the impact of foreign currency exchange as more fully described under the caption, Non-GAAP Financial Measures). Pricing actions favorably impacted sales by 0.7%. Favorable volume and product mix increased sales by 1.2% driven by favorable volume and product mix from our Consumer segment of 2.1% offset by unfavorable volume and product mix from our Flavor Solutions segment of 0.2%. Foreign currency rates decreased sales by 0.2%.</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560" w:type="dxa"/>
            <w:vAlign w:val="bottom"/>
            <w:tcBorders>
              <w:top w:val="single" w:sz="8" w:color="00539B"/>
              <w:bottom w:val="single" w:sz="8" w:color="00539B"/>
            </w:tcBorders>
          </w:tcPr>
          <w:p>
            <w:pPr>
              <w:spacing w:after="0"/>
              <w:rPr>
                <w:sz w:val="19"/>
                <w:szCs w:val="19"/>
                <w:color w:val="auto"/>
              </w:rPr>
            </w:pPr>
          </w:p>
        </w:tc>
        <w:tc>
          <w:tcPr>
            <w:tcW w:w="1120" w:type="dxa"/>
            <w:vAlign w:val="bottom"/>
            <w:tcBorders>
              <w:top w:val="single" w:sz="8" w:color="00539B"/>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2025</w:t>
            </w:r>
          </w:p>
        </w:tc>
        <w:tc>
          <w:tcPr>
            <w:tcW w:w="540" w:type="dxa"/>
            <w:vAlign w:val="bottom"/>
            <w:tcBorders>
              <w:top w:val="single" w:sz="8" w:color="00539B"/>
              <w:bottom w:val="single" w:sz="8" w:color="00539B"/>
            </w:tcBorders>
            <w:shd w:val="clear" w:color="auto" w:fill="E0E3F1"/>
          </w:tcPr>
          <w:p>
            <w:pPr>
              <w:spacing w:after="0"/>
              <w:rPr>
                <w:sz w:val="19"/>
                <w:szCs w:val="19"/>
                <w:color w:val="auto"/>
              </w:rPr>
            </w:pPr>
          </w:p>
        </w:tc>
        <w:tc>
          <w:tcPr>
            <w:tcW w:w="160" w:type="dxa"/>
            <w:vAlign w:val="bottom"/>
            <w:tcBorders>
              <w:top w:val="single" w:sz="8" w:color="00539B"/>
              <w:bottom w:val="single" w:sz="8" w:color="00539B"/>
            </w:tcBorders>
            <w:shd w:val="clear" w:color="auto" w:fill="E0E3F1"/>
          </w:tcPr>
          <w:p>
            <w:pPr>
              <w:spacing w:after="0"/>
              <w:rPr>
                <w:sz w:val="19"/>
                <w:szCs w:val="19"/>
                <w:color w:val="auto"/>
              </w:rPr>
            </w:pPr>
          </w:p>
        </w:tc>
        <w:tc>
          <w:tcPr>
            <w:tcW w:w="420" w:type="dxa"/>
            <w:vAlign w:val="bottom"/>
            <w:tcBorders>
              <w:top w:val="single" w:sz="8" w:color="00539B"/>
              <w:bottom w:val="single" w:sz="8" w:color="00539B"/>
            </w:tcBorders>
          </w:tcPr>
          <w:p>
            <w:pPr>
              <w:spacing w:after="0"/>
              <w:rPr>
                <w:sz w:val="19"/>
                <w:szCs w:val="19"/>
                <w:color w:val="auto"/>
              </w:rPr>
            </w:pPr>
          </w:p>
        </w:tc>
        <w:tc>
          <w:tcPr>
            <w:tcW w:w="1400" w:type="dxa"/>
            <w:vAlign w:val="bottom"/>
            <w:tcBorders>
              <w:top w:val="single" w:sz="8" w:color="00539B"/>
              <w:bottom w:val="single" w:sz="8" w:color="00539B"/>
            </w:tcBorders>
          </w:tcPr>
          <w:p>
            <w:pPr>
              <w:jc w:val="right"/>
              <w:ind w:right="688"/>
              <w:spacing w:after="0"/>
              <w:rPr>
                <w:sz w:val="20"/>
                <w:szCs w:val="20"/>
                <w:color w:val="auto"/>
              </w:rPr>
            </w:pPr>
            <w:r>
              <w:rPr>
                <w:rFonts w:ascii="Arial" w:cs="Arial" w:eastAsia="Arial" w:hAnsi="Arial"/>
                <w:sz w:val="14"/>
                <w:szCs w:val="14"/>
                <w:color w:val="auto"/>
              </w:rPr>
              <w:t>2024</w:t>
            </w:r>
          </w:p>
        </w:tc>
      </w:tr>
      <w:tr>
        <w:trPr>
          <w:trHeight w:val="192"/>
        </w:trPr>
        <w:tc>
          <w:tcPr>
            <w:tcW w:w="7560" w:type="dxa"/>
            <w:vAlign w:val="bottom"/>
          </w:tcPr>
          <w:p>
            <w:pPr>
              <w:ind w:left="20"/>
              <w:spacing w:after="0"/>
              <w:rPr>
                <w:sz w:val="20"/>
                <w:szCs w:val="20"/>
                <w:color w:val="auto"/>
              </w:rPr>
            </w:pPr>
            <w:r>
              <w:rPr>
                <w:rFonts w:ascii="Arial" w:cs="Arial" w:eastAsia="Arial" w:hAnsi="Arial"/>
                <w:sz w:val="14"/>
                <w:szCs w:val="14"/>
                <w:color w:val="auto"/>
              </w:rPr>
              <w:t>Gross profit</w:t>
            </w:r>
          </w:p>
        </w:tc>
        <w:tc>
          <w:tcPr>
            <w:tcW w:w="1120" w:type="dxa"/>
            <w:vAlign w:val="bottom"/>
            <w:shd w:val="clear" w:color="auto" w:fill="E0E3F1"/>
          </w:tcPr>
          <w:p>
            <w:pPr>
              <w:jc w:val="right"/>
              <w:ind w:right="948"/>
              <w:spacing w:after="0"/>
              <w:rPr>
                <w:sz w:val="20"/>
                <w:szCs w:val="20"/>
                <w:color w:val="auto"/>
              </w:rPr>
            </w:pPr>
            <w:r>
              <w:rPr>
                <w:rFonts w:ascii="Arial" w:cs="Arial" w:eastAsia="Arial" w:hAnsi="Arial"/>
                <w:sz w:val="14"/>
                <w:szCs w:val="14"/>
                <w:color w:val="auto"/>
              </w:rPr>
              <w:t>$</w:t>
            </w:r>
          </w:p>
        </w:tc>
        <w:tc>
          <w:tcPr>
            <w:tcW w:w="540" w:type="dxa"/>
            <w:vAlign w:val="bottom"/>
            <w:shd w:val="clear" w:color="auto" w:fill="E0E3F1"/>
          </w:tcPr>
          <w:p>
            <w:pPr>
              <w:jc w:val="right"/>
              <w:spacing w:after="0"/>
              <w:rPr>
                <w:sz w:val="20"/>
                <w:szCs w:val="20"/>
                <w:color w:val="auto"/>
              </w:rPr>
            </w:pPr>
            <w:r>
              <w:rPr>
                <w:rFonts w:ascii="Arial" w:cs="Arial" w:eastAsia="Arial" w:hAnsi="Arial"/>
                <w:sz w:val="14"/>
                <w:szCs w:val="14"/>
                <w:color w:val="auto"/>
              </w:rPr>
              <w:t>2,592.2</w:t>
            </w:r>
          </w:p>
        </w:tc>
        <w:tc>
          <w:tcPr>
            <w:tcW w:w="160" w:type="dxa"/>
            <w:vAlign w:val="bottom"/>
            <w:shd w:val="clear" w:color="auto" w:fill="E0E3F1"/>
          </w:tcPr>
          <w:p>
            <w:pPr>
              <w:spacing w:after="0"/>
              <w:rPr>
                <w:sz w:val="16"/>
                <w:szCs w:val="16"/>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108"/>
              <w:spacing w:after="0"/>
              <w:rPr>
                <w:sz w:val="20"/>
                <w:szCs w:val="20"/>
                <w:color w:val="auto"/>
              </w:rPr>
            </w:pPr>
            <w:r>
              <w:rPr>
                <w:rFonts w:ascii="Arial" w:cs="Arial" w:eastAsia="Arial" w:hAnsi="Arial"/>
                <w:sz w:val="14"/>
                <w:szCs w:val="14"/>
                <w:color w:val="auto"/>
              </w:rPr>
              <w:t>2,591.0</w:t>
            </w:r>
          </w:p>
        </w:tc>
      </w:tr>
      <w:tr>
        <w:trPr>
          <w:trHeight w:val="218"/>
        </w:trPr>
        <w:tc>
          <w:tcPr>
            <w:tcW w:w="7560" w:type="dxa"/>
            <w:vAlign w:val="bottom"/>
            <w:tcBorders>
              <w:bottom w:val="single" w:sz="8" w:color="00539B"/>
            </w:tcBorders>
          </w:tcPr>
          <w:p>
            <w:pPr>
              <w:ind w:left="140"/>
              <w:spacing w:after="0"/>
              <w:rPr>
                <w:sz w:val="20"/>
                <w:szCs w:val="20"/>
                <w:color w:val="auto"/>
              </w:rPr>
            </w:pPr>
            <w:r>
              <w:rPr>
                <w:rFonts w:ascii="Arial" w:cs="Arial" w:eastAsia="Arial" w:hAnsi="Arial"/>
                <w:sz w:val="14"/>
                <w:szCs w:val="14"/>
                <w:color w:val="auto"/>
              </w:rPr>
              <w:t>Gross profit margin</w:t>
            </w:r>
          </w:p>
        </w:tc>
        <w:tc>
          <w:tcPr>
            <w:tcW w:w="1120" w:type="dxa"/>
            <w:vAlign w:val="bottom"/>
            <w:tcBorders>
              <w:bottom w:val="single" w:sz="8" w:color="00539B"/>
            </w:tcBorders>
            <w:shd w:val="clear" w:color="auto" w:fill="E0E3F1"/>
          </w:tcPr>
          <w:p>
            <w:pPr>
              <w:spacing w:after="0"/>
              <w:rPr>
                <w:sz w:val="18"/>
                <w:szCs w:val="18"/>
                <w:color w:val="auto"/>
              </w:rPr>
            </w:pPr>
          </w:p>
        </w:tc>
        <w:tc>
          <w:tcPr>
            <w:tcW w:w="54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37.9</w:t>
            </w:r>
          </w:p>
        </w:tc>
        <w:tc>
          <w:tcPr>
            <w:tcW w:w="16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w w:val="96"/>
                <w:shd w:val="clear" w:color="auto" w:fill="E0E3F1"/>
              </w:rPr>
              <w:t>%</w:t>
            </w:r>
          </w:p>
        </w:tc>
        <w:tc>
          <w:tcPr>
            <w:tcW w:w="420" w:type="dxa"/>
            <w:vAlign w:val="bottom"/>
            <w:tcBorders>
              <w:bottom w:val="single" w:sz="8" w:color="00539B"/>
            </w:tcBorders>
          </w:tcPr>
          <w:p>
            <w:pPr>
              <w:spacing w:after="0"/>
              <w:rPr>
                <w:sz w:val="18"/>
                <w:szCs w:val="18"/>
                <w:color w:val="auto"/>
              </w:rPr>
            </w:pPr>
          </w:p>
        </w:tc>
        <w:tc>
          <w:tcPr>
            <w:tcW w:w="140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38.5 %</w:t>
            </w:r>
          </w:p>
        </w:tc>
      </w:tr>
    </w:tbl>
    <w:p>
      <w:pPr>
        <w:spacing w:after="0" w:line="23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Gross profit for 2025 increased by $1.2 million, which is comparable to 2024. Our gross profit margin was 37.9%, a decrease of 60 basis points, driven by increased commodity costs including the impact of tariffs, unfavorable product mix, and increased conversion cost including costs to support capacity for future growth, partially offset by pricing actions and CCI program-led cost savings. Excluding the impact of special charges related to the step up of acquired inventory included in cost of goods sold, adjusted gross margin was 37.9% for 2025.</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560" w:type="dxa"/>
            <w:vAlign w:val="bottom"/>
            <w:tcBorders>
              <w:top w:val="single" w:sz="8" w:color="00539B"/>
              <w:bottom w:val="single" w:sz="8" w:color="00539B"/>
            </w:tcBorders>
          </w:tcPr>
          <w:p>
            <w:pPr>
              <w:spacing w:after="0"/>
              <w:rPr>
                <w:sz w:val="19"/>
                <w:szCs w:val="19"/>
                <w:color w:val="auto"/>
              </w:rPr>
            </w:pPr>
          </w:p>
        </w:tc>
        <w:tc>
          <w:tcPr>
            <w:tcW w:w="1100" w:type="dxa"/>
            <w:vAlign w:val="bottom"/>
            <w:tcBorders>
              <w:top w:val="single" w:sz="8" w:color="00539B"/>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2025</w:t>
            </w:r>
          </w:p>
        </w:tc>
        <w:tc>
          <w:tcPr>
            <w:tcW w:w="560" w:type="dxa"/>
            <w:vAlign w:val="bottom"/>
            <w:tcBorders>
              <w:top w:val="single" w:sz="8" w:color="00539B"/>
              <w:bottom w:val="single" w:sz="8" w:color="00539B"/>
            </w:tcBorders>
            <w:shd w:val="clear" w:color="auto" w:fill="E0E3F1"/>
          </w:tcPr>
          <w:p>
            <w:pPr>
              <w:spacing w:after="0"/>
              <w:rPr>
                <w:sz w:val="19"/>
                <w:szCs w:val="19"/>
                <w:color w:val="auto"/>
              </w:rPr>
            </w:pPr>
          </w:p>
        </w:tc>
        <w:tc>
          <w:tcPr>
            <w:tcW w:w="160" w:type="dxa"/>
            <w:vAlign w:val="bottom"/>
            <w:tcBorders>
              <w:top w:val="single" w:sz="8" w:color="00539B"/>
              <w:bottom w:val="single" w:sz="8" w:color="00539B"/>
            </w:tcBorders>
            <w:shd w:val="clear" w:color="auto" w:fill="E0E3F1"/>
          </w:tcPr>
          <w:p>
            <w:pPr>
              <w:spacing w:after="0"/>
              <w:rPr>
                <w:sz w:val="19"/>
                <w:szCs w:val="19"/>
                <w:color w:val="auto"/>
              </w:rPr>
            </w:pPr>
          </w:p>
        </w:tc>
        <w:tc>
          <w:tcPr>
            <w:tcW w:w="420" w:type="dxa"/>
            <w:vAlign w:val="bottom"/>
            <w:tcBorders>
              <w:top w:val="single" w:sz="8" w:color="00539B"/>
              <w:bottom w:val="single" w:sz="8" w:color="00539B"/>
            </w:tcBorders>
          </w:tcPr>
          <w:p>
            <w:pPr>
              <w:spacing w:after="0"/>
              <w:rPr>
                <w:sz w:val="19"/>
                <w:szCs w:val="19"/>
                <w:color w:val="auto"/>
              </w:rPr>
            </w:pPr>
          </w:p>
        </w:tc>
        <w:tc>
          <w:tcPr>
            <w:tcW w:w="1400" w:type="dxa"/>
            <w:vAlign w:val="bottom"/>
            <w:tcBorders>
              <w:top w:val="single" w:sz="8" w:color="00539B"/>
              <w:bottom w:val="single" w:sz="8" w:color="00539B"/>
            </w:tcBorders>
          </w:tcPr>
          <w:p>
            <w:pPr>
              <w:jc w:val="right"/>
              <w:ind w:right="688"/>
              <w:spacing w:after="0"/>
              <w:rPr>
                <w:sz w:val="20"/>
                <w:szCs w:val="20"/>
                <w:color w:val="auto"/>
              </w:rPr>
            </w:pPr>
            <w:r>
              <w:rPr>
                <w:rFonts w:ascii="Arial" w:cs="Arial" w:eastAsia="Arial" w:hAnsi="Arial"/>
                <w:sz w:val="14"/>
                <w:szCs w:val="14"/>
                <w:color w:val="auto"/>
              </w:rPr>
              <w:t>2024</w:t>
            </w:r>
          </w:p>
        </w:tc>
      </w:tr>
      <w:tr>
        <w:trPr>
          <w:trHeight w:val="192"/>
        </w:trPr>
        <w:tc>
          <w:tcPr>
            <w:tcW w:w="7560" w:type="dxa"/>
            <w:vAlign w:val="bottom"/>
          </w:tcPr>
          <w:p>
            <w:pPr>
              <w:ind w:left="20"/>
              <w:spacing w:after="0"/>
              <w:rPr>
                <w:sz w:val="20"/>
                <w:szCs w:val="20"/>
                <w:color w:val="auto"/>
              </w:rPr>
            </w:pPr>
            <w:r>
              <w:rPr>
                <w:rFonts w:ascii="Arial" w:cs="Arial" w:eastAsia="Arial" w:hAnsi="Arial"/>
                <w:sz w:val="14"/>
                <w:szCs w:val="14"/>
                <w:color w:val="auto"/>
              </w:rPr>
              <w:t>Selling, general &amp; administrative expense</w:t>
            </w:r>
          </w:p>
        </w:tc>
        <w:tc>
          <w:tcPr>
            <w:tcW w:w="1100" w:type="dxa"/>
            <w:vAlign w:val="bottom"/>
            <w:shd w:val="clear" w:color="auto" w:fill="E0E3F1"/>
          </w:tcPr>
          <w:p>
            <w:pPr>
              <w:jc w:val="right"/>
              <w:ind w:right="928"/>
              <w:spacing w:after="0"/>
              <w:rPr>
                <w:sz w:val="20"/>
                <w:szCs w:val="20"/>
                <w:color w:val="auto"/>
              </w:rPr>
            </w:pPr>
            <w:r>
              <w:rPr>
                <w:rFonts w:ascii="Arial" w:cs="Arial" w:eastAsia="Arial" w:hAnsi="Arial"/>
                <w:sz w:val="14"/>
                <w:szCs w:val="14"/>
                <w:color w:val="auto"/>
              </w:rPr>
              <w:t>$</w:t>
            </w:r>
          </w:p>
        </w:tc>
        <w:tc>
          <w:tcPr>
            <w:tcW w:w="5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1,500.3</w:t>
            </w:r>
          </w:p>
        </w:tc>
        <w:tc>
          <w:tcPr>
            <w:tcW w:w="160" w:type="dxa"/>
            <w:vAlign w:val="bottom"/>
            <w:shd w:val="clear" w:color="auto" w:fill="E0E3F1"/>
          </w:tcPr>
          <w:p>
            <w:pPr>
              <w:spacing w:after="0"/>
              <w:rPr>
                <w:sz w:val="16"/>
                <w:szCs w:val="16"/>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108"/>
              <w:spacing w:after="0"/>
              <w:rPr>
                <w:sz w:val="20"/>
                <w:szCs w:val="20"/>
                <w:color w:val="auto"/>
              </w:rPr>
            </w:pPr>
            <w:r>
              <w:rPr>
                <w:rFonts w:ascii="Arial" w:cs="Arial" w:eastAsia="Arial" w:hAnsi="Arial"/>
                <w:sz w:val="14"/>
                <w:szCs w:val="14"/>
                <w:color w:val="auto"/>
              </w:rPr>
              <w:t>1,521.2</w:t>
            </w:r>
          </w:p>
        </w:tc>
      </w:tr>
      <w:tr>
        <w:trPr>
          <w:trHeight w:val="218"/>
        </w:trPr>
        <w:tc>
          <w:tcPr>
            <w:tcW w:w="7560" w:type="dxa"/>
            <w:vAlign w:val="bottom"/>
            <w:tcBorders>
              <w:bottom w:val="single" w:sz="8" w:color="00539B"/>
            </w:tcBorders>
          </w:tcPr>
          <w:p>
            <w:pPr>
              <w:ind w:left="360"/>
              <w:spacing w:after="0"/>
              <w:rPr>
                <w:sz w:val="20"/>
                <w:szCs w:val="20"/>
                <w:color w:val="auto"/>
              </w:rPr>
            </w:pPr>
            <w:r>
              <w:rPr>
                <w:rFonts w:ascii="Arial" w:cs="Arial" w:eastAsia="Arial" w:hAnsi="Arial"/>
                <w:sz w:val="14"/>
                <w:szCs w:val="14"/>
                <w:color w:val="auto"/>
              </w:rPr>
              <w:t>Percent of net sales</w:t>
            </w:r>
          </w:p>
        </w:tc>
        <w:tc>
          <w:tcPr>
            <w:tcW w:w="1100" w:type="dxa"/>
            <w:vAlign w:val="bottom"/>
            <w:tcBorders>
              <w:bottom w:val="single" w:sz="8" w:color="00539B"/>
            </w:tcBorders>
            <w:shd w:val="clear" w:color="auto" w:fill="E0E3F1"/>
          </w:tcPr>
          <w:p>
            <w:pPr>
              <w:spacing w:after="0"/>
              <w:rPr>
                <w:sz w:val="18"/>
                <w:szCs w:val="18"/>
                <w:color w:val="auto"/>
              </w:rPr>
            </w:pPr>
          </w:p>
        </w:tc>
        <w:tc>
          <w:tcPr>
            <w:tcW w:w="56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21.9</w:t>
            </w:r>
          </w:p>
        </w:tc>
        <w:tc>
          <w:tcPr>
            <w:tcW w:w="16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w w:val="96"/>
                <w:shd w:val="clear" w:color="auto" w:fill="E0E3F1"/>
              </w:rPr>
              <w:t>%</w:t>
            </w:r>
          </w:p>
        </w:tc>
        <w:tc>
          <w:tcPr>
            <w:tcW w:w="420" w:type="dxa"/>
            <w:vAlign w:val="bottom"/>
            <w:tcBorders>
              <w:bottom w:val="single" w:sz="8" w:color="00539B"/>
            </w:tcBorders>
          </w:tcPr>
          <w:p>
            <w:pPr>
              <w:spacing w:after="0"/>
              <w:rPr>
                <w:sz w:val="18"/>
                <w:szCs w:val="18"/>
                <w:color w:val="auto"/>
              </w:rPr>
            </w:pPr>
          </w:p>
        </w:tc>
        <w:tc>
          <w:tcPr>
            <w:tcW w:w="140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22.6 %</w:t>
            </w:r>
          </w:p>
        </w:tc>
      </w:tr>
    </w:tbl>
    <w:p>
      <w:pPr>
        <w:spacing w:after="0" w:line="23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SG&amp;A expense decreased by $20.9 million in 2025 as compared to 2024, driven primarily by lower performance-based employee compensation expense, lower distribution expense, and CCI-led cost savings including the impact of SG&amp;A streamlining actions, partially offset by increased brand marketing expense and higher selling and marketing costs. SG&amp;A as a percent of net sales decreased by 70 basis points.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680" w:type="dxa"/>
            <w:vAlign w:val="bottom"/>
            <w:tcBorders>
              <w:top w:val="single" w:sz="8" w:color="00539B"/>
              <w:bottom w:val="single" w:sz="8" w:color="00539B"/>
            </w:tcBorders>
          </w:tcPr>
          <w:p>
            <w:pPr>
              <w:spacing w:after="0"/>
              <w:rPr>
                <w:sz w:val="19"/>
                <w:szCs w:val="19"/>
                <w:color w:val="auto"/>
              </w:rPr>
            </w:pPr>
          </w:p>
        </w:tc>
        <w:tc>
          <w:tcPr>
            <w:tcW w:w="420" w:type="dxa"/>
            <w:vAlign w:val="bottom"/>
            <w:tcBorders>
              <w:top w:val="single" w:sz="8" w:color="00539B"/>
              <w:bottom w:val="single" w:sz="8" w:color="00539B"/>
            </w:tcBorders>
            <w:shd w:val="clear" w:color="auto" w:fill="E0E3F1"/>
          </w:tcPr>
          <w:p>
            <w:pPr>
              <w:spacing w:after="0"/>
              <w:rPr>
                <w:sz w:val="19"/>
                <w:szCs w:val="19"/>
                <w:color w:val="auto"/>
              </w:rPr>
            </w:pPr>
          </w:p>
        </w:tc>
        <w:tc>
          <w:tcPr>
            <w:tcW w:w="1320" w:type="dxa"/>
            <w:vAlign w:val="bottom"/>
            <w:tcBorders>
              <w:top w:val="single" w:sz="8" w:color="00539B"/>
              <w:bottom w:val="single" w:sz="8" w:color="00539B"/>
            </w:tcBorders>
            <w:shd w:val="clear" w:color="auto" w:fill="E0E3F1"/>
          </w:tcPr>
          <w:p>
            <w:pPr>
              <w:jc w:val="right"/>
              <w:ind w:right="628"/>
              <w:spacing w:after="0"/>
              <w:rPr>
                <w:sz w:val="20"/>
                <w:szCs w:val="20"/>
                <w:color w:val="auto"/>
              </w:rPr>
            </w:pPr>
            <w:r>
              <w:rPr>
                <w:rFonts w:ascii="Arial" w:cs="Arial" w:eastAsia="Arial" w:hAnsi="Arial"/>
                <w:sz w:val="14"/>
                <w:szCs w:val="14"/>
                <w:color w:val="auto"/>
              </w:rPr>
              <w:t>2025</w:t>
            </w:r>
          </w:p>
        </w:tc>
        <w:tc>
          <w:tcPr>
            <w:tcW w:w="400" w:type="dxa"/>
            <w:vAlign w:val="bottom"/>
            <w:tcBorders>
              <w:top w:val="single" w:sz="8" w:color="00539B"/>
              <w:bottom w:val="single" w:sz="8" w:color="00539B"/>
            </w:tcBorders>
          </w:tcPr>
          <w:p>
            <w:pPr>
              <w:spacing w:after="0"/>
              <w:rPr>
                <w:sz w:val="19"/>
                <w:szCs w:val="19"/>
                <w:color w:val="auto"/>
              </w:rPr>
            </w:pPr>
          </w:p>
        </w:tc>
        <w:tc>
          <w:tcPr>
            <w:tcW w:w="1320" w:type="dxa"/>
            <w:vAlign w:val="bottom"/>
            <w:tcBorders>
              <w:top w:val="single" w:sz="8" w:color="00539B"/>
              <w:bottom w:val="single" w:sz="8" w:color="00539B"/>
            </w:tcBorders>
          </w:tcPr>
          <w:p>
            <w:pPr>
              <w:jc w:val="right"/>
              <w:ind w:right="628"/>
              <w:spacing w:after="0"/>
              <w:rPr>
                <w:sz w:val="20"/>
                <w:szCs w:val="20"/>
                <w:color w:val="auto"/>
              </w:rPr>
            </w:pPr>
            <w:r>
              <w:rPr>
                <w:rFonts w:ascii="Arial" w:cs="Arial" w:eastAsia="Arial" w:hAnsi="Arial"/>
                <w:sz w:val="14"/>
                <w:szCs w:val="14"/>
                <w:color w:val="auto"/>
              </w:rPr>
              <w:t>2024</w:t>
            </w:r>
          </w:p>
        </w:tc>
      </w:tr>
      <w:tr>
        <w:trPr>
          <w:trHeight w:val="207"/>
        </w:trPr>
        <w:tc>
          <w:tcPr>
            <w:tcW w:w="768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Special charges</w:t>
            </w:r>
          </w:p>
        </w:tc>
        <w:tc>
          <w:tcPr>
            <w:tcW w:w="420" w:type="dxa"/>
            <w:vAlign w:val="bottom"/>
            <w:tcBorders>
              <w:bottom w:val="single" w:sz="8" w:color="00539B"/>
            </w:tcBorders>
            <w:shd w:val="clear" w:color="auto" w:fill="E0E3F1"/>
          </w:tcPr>
          <w:p>
            <w:pPr>
              <w:jc w:val="right"/>
              <w:ind w:right="24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21.1</w:t>
            </w:r>
          </w:p>
        </w:tc>
        <w:tc>
          <w:tcPr>
            <w:tcW w:w="400" w:type="dxa"/>
            <w:vAlign w:val="bottom"/>
            <w:tcBorders>
              <w:bottom w:val="single" w:sz="8" w:color="00539B"/>
            </w:tcBorders>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9.5</w:t>
            </w:r>
          </w:p>
        </w:tc>
      </w:tr>
    </w:tbl>
    <w:p>
      <w:pPr>
        <w:spacing w:after="0" w:line="224"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regularly evaluate whether to implement changes to our organization structure to reduce fixed costs, simplify or improve processes, and improve our competitiveness, and we expect to continue to evaluate such actions in the future. From time to time, those changes are of such significance in terms of both up-front costs and organizational/structural impact that we obtain advance approval from our Management Committee and classify expenses related to those changes as special charges in our financial statements.</w:t>
      </w:r>
    </w:p>
    <w:p>
      <w:pPr>
        <w:spacing w:after="0" w:line="122"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During 2025, we recorded $21.1 million of special charges, including transaction and integration expenses. Those expenses consisted principally of $15.9 million of employee severance and related benefits associated with our SG&amp;A streamlining actions, $3.3 million associated with other actions and $1.9 million of transaction and integration costs.</w:t>
      </w:r>
    </w:p>
    <w:p>
      <w:pPr>
        <w:spacing w:after="0" w:line="117" w:lineRule="exact"/>
        <w:rPr>
          <w:sz w:val="20"/>
          <w:szCs w:val="20"/>
          <w:color w:val="auto"/>
        </w:rPr>
      </w:pPr>
    </w:p>
    <w:p>
      <w:pPr>
        <w:ind w:right="760"/>
        <w:spacing w:after="0" w:line="287" w:lineRule="auto"/>
        <w:rPr>
          <w:sz w:val="20"/>
          <w:szCs w:val="20"/>
          <w:color w:val="auto"/>
        </w:rPr>
      </w:pPr>
      <w:r>
        <w:rPr>
          <w:rFonts w:ascii="Arial" w:cs="Arial" w:eastAsia="Arial" w:hAnsi="Arial"/>
          <w:sz w:val="18"/>
          <w:szCs w:val="18"/>
          <w:color w:val="auto"/>
        </w:rPr>
        <w:t>During 2024, we recorded $9.5 million of special charges, consisting principally of $4.5 million associated with the Global Operating Effectiveness program and $5.0 million associated with the transition of a manufacturing facility in EMEA.</w:t>
      </w:r>
    </w:p>
    <w:p>
      <w:pPr>
        <w:spacing w:after="0" w:line="99"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Details with respect to the composition of special charges, including transaction and integration expenses, are included in the accompanying notes to our financial statements contained in Item 8 of this report.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52" w:right="37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26"/>
        </w:trPr>
        <w:tc>
          <w:tcPr>
            <w:tcW w:w="7640" w:type="dxa"/>
            <w:vAlign w:val="bottom"/>
            <w:tcBorders>
              <w:top w:val="single" w:sz="8" w:color="00539B"/>
              <w:bottom w:val="single" w:sz="8" w:color="00539B"/>
            </w:tcBorders>
          </w:tcPr>
          <w:p>
            <w:pPr>
              <w:spacing w:after="0"/>
              <w:rPr>
                <w:sz w:val="19"/>
                <w:szCs w:val="19"/>
                <w:color w:val="auto"/>
              </w:rPr>
            </w:pPr>
          </w:p>
        </w:tc>
        <w:tc>
          <w:tcPr>
            <w:tcW w:w="1160" w:type="dxa"/>
            <w:vAlign w:val="bottom"/>
            <w:tcBorders>
              <w:top w:val="single" w:sz="8" w:color="00539B"/>
              <w:bottom w:val="single" w:sz="8" w:color="00539B"/>
            </w:tcBorders>
            <w:shd w:val="clear" w:color="auto" w:fill="E0E3F1"/>
          </w:tcPr>
          <w:p>
            <w:pPr>
              <w:jc w:val="right"/>
              <w:ind w:right="68"/>
              <w:spacing w:after="0"/>
              <w:rPr>
                <w:sz w:val="20"/>
                <w:szCs w:val="20"/>
                <w:color w:val="auto"/>
              </w:rPr>
            </w:pPr>
            <w:r>
              <w:rPr>
                <w:rFonts w:ascii="Arial" w:cs="Arial" w:eastAsia="Arial" w:hAnsi="Arial"/>
                <w:sz w:val="14"/>
                <w:szCs w:val="14"/>
                <w:color w:val="auto"/>
              </w:rPr>
              <w:t>2025</w:t>
            </w:r>
          </w:p>
        </w:tc>
        <w:tc>
          <w:tcPr>
            <w:tcW w:w="560" w:type="dxa"/>
            <w:vAlign w:val="bottom"/>
            <w:tcBorders>
              <w:top w:val="single" w:sz="8" w:color="00539B"/>
              <w:bottom w:val="single" w:sz="8" w:color="00539B"/>
            </w:tcBorders>
            <w:shd w:val="clear" w:color="auto" w:fill="E0E3F1"/>
          </w:tcPr>
          <w:p>
            <w:pPr>
              <w:spacing w:after="0"/>
              <w:rPr>
                <w:sz w:val="19"/>
                <w:szCs w:val="19"/>
                <w:color w:val="auto"/>
              </w:rPr>
            </w:pPr>
          </w:p>
        </w:tc>
        <w:tc>
          <w:tcPr>
            <w:tcW w:w="400" w:type="dxa"/>
            <w:vAlign w:val="bottom"/>
            <w:tcBorders>
              <w:top w:val="single" w:sz="8" w:color="00539B"/>
              <w:bottom w:val="single" w:sz="8" w:color="00539B"/>
            </w:tcBorders>
          </w:tcPr>
          <w:p>
            <w:pPr>
              <w:spacing w:after="0"/>
              <w:rPr>
                <w:sz w:val="19"/>
                <w:szCs w:val="19"/>
                <w:color w:val="auto"/>
              </w:rPr>
            </w:pPr>
          </w:p>
        </w:tc>
        <w:tc>
          <w:tcPr>
            <w:tcW w:w="1340" w:type="dxa"/>
            <w:vAlign w:val="bottom"/>
            <w:tcBorders>
              <w:top w:val="single" w:sz="8" w:color="00539B"/>
              <w:bottom w:val="single" w:sz="8" w:color="00539B"/>
            </w:tcBorders>
          </w:tcPr>
          <w:p>
            <w:pPr>
              <w:jc w:val="right"/>
              <w:ind w:right="648"/>
              <w:spacing w:after="0"/>
              <w:rPr>
                <w:sz w:val="20"/>
                <w:szCs w:val="20"/>
                <w:color w:val="auto"/>
              </w:rPr>
            </w:pPr>
            <w:r>
              <w:rPr>
                <w:rFonts w:ascii="Arial" w:cs="Arial" w:eastAsia="Arial" w:hAnsi="Arial"/>
                <w:sz w:val="14"/>
                <w:szCs w:val="14"/>
                <w:color w:val="auto"/>
              </w:rPr>
              <w:t>2024</w:t>
            </w:r>
          </w:p>
        </w:tc>
      </w:tr>
      <w:tr>
        <w:trPr>
          <w:trHeight w:val="192"/>
        </w:trPr>
        <w:tc>
          <w:tcPr>
            <w:tcW w:w="764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1160" w:type="dxa"/>
            <w:vAlign w:val="bottom"/>
            <w:shd w:val="clear" w:color="auto" w:fill="E0E3F1"/>
          </w:tcPr>
          <w:p>
            <w:pPr>
              <w:jc w:val="right"/>
              <w:ind w:right="988"/>
              <w:spacing w:after="0"/>
              <w:rPr>
                <w:sz w:val="20"/>
                <w:szCs w:val="20"/>
                <w:color w:val="auto"/>
              </w:rPr>
            </w:pPr>
            <w:r>
              <w:rPr>
                <w:rFonts w:ascii="Arial" w:cs="Arial" w:eastAsia="Arial" w:hAnsi="Arial"/>
                <w:sz w:val="14"/>
                <w:szCs w:val="14"/>
                <w:color w:val="auto"/>
              </w:rPr>
              <w:t>$</w:t>
            </w:r>
          </w:p>
        </w:tc>
        <w:tc>
          <w:tcPr>
            <w:tcW w:w="5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196.2</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209.4</w:t>
            </w:r>
          </w:p>
        </w:tc>
      </w:tr>
      <w:tr>
        <w:trPr>
          <w:trHeight w:val="218"/>
        </w:trPr>
        <w:tc>
          <w:tcPr>
            <w:tcW w:w="764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Other income, net</w:t>
            </w:r>
          </w:p>
        </w:tc>
        <w:tc>
          <w:tcPr>
            <w:tcW w:w="1160" w:type="dxa"/>
            <w:vAlign w:val="bottom"/>
            <w:tcBorders>
              <w:bottom w:val="single" w:sz="8" w:color="00539B"/>
            </w:tcBorders>
            <w:shd w:val="clear" w:color="auto" w:fill="E0E3F1"/>
          </w:tcPr>
          <w:p>
            <w:pPr>
              <w:spacing w:after="0"/>
              <w:rPr>
                <w:sz w:val="18"/>
                <w:szCs w:val="18"/>
                <w:color w:val="auto"/>
              </w:rPr>
            </w:pPr>
          </w:p>
        </w:tc>
        <w:tc>
          <w:tcPr>
            <w:tcW w:w="56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38.4</w:t>
            </w:r>
          </w:p>
        </w:tc>
        <w:tc>
          <w:tcPr>
            <w:tcW w:w="400" w:type="dxa"/>
            <w:vAlign w:val="bottom"/>
            <w:tcBorders>
              <w:bottom w:val="single" w:sz="8" w:color="00539B"/>
            </w:tcBorders>
          </w:tcPr>
          <w:p>
            <w:pPr>
              <w:spacing w:after="0"/>
              <w:rPr>
                <w:sz w:val="18"/>
                <w:szCs w:val="18"/>
                <w:color w:val="auto"/>
              </w:rPr>
            </w:pPr>
          </w:p>
        </w:tc>
        <w:tc>
          <w:tcPr>
            <w:tcW w:w="1340" w:type="dxa"/>
            <w:vAlign w:val="bottom"/>
            <w:tcBorders>
              <w:bottom w:val="single" w:sz="8" w:color="00539B"/>
            </w:tcBorders>
          </w:tcPr>
          <w:p>
            <w:pPr>
              <w:jc w:val="right"/>
              <w:ind w:right="8"/>
              <w:spacing w:after="0"/>
              <w:rPr>
                <w:sz w:val="20"/>
                <w:szCs w:val="20"/>
                <w:color w:val="auto"/>
              </w:rPr>
            </w:pPr>
            <w:r>
              <w:rPr>
                <w:rFonts w:ascii="Arial" w:cs="Arial" w:eastAsia="Arial" w:hAnsi="Arial"/>
                <w:sz w:val="14"/>
                <w:szCs w:val="14"/>
                <w:color w:val="auto"/>
              </w:rPr>
              <w:t>47.4</w:t>
            </w:r>
          </w:p>
        </w:tc>
      </w:tr>
    </w:tbl>
    <w:p>
      <w:pPr>
        <w:spacing w:after="0" w:line="238"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Interest expense decreased by $13.2 million in 2025 compared to the prior year, due to a reduction in average borrowing levels and lower interest rates on borrowings.</w:t>
      </w:r>
    </w:p>
    <w:p>
      <w:pPr>
        <w:spacing w:after="0" w:line="99"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Other income, net, decreased by $9.0 million compared to the prior year primarily due to a lower level of interest income driven by lower interest rates and lower non-service cost income associated with our pension and postretirement benefit plans.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560" w:type="dxa"/>
            <w:vAlign w:val="bottom"/>
            <w:tcBorders>
              <w:top w:val="single" w:sz="8" w:color="00539B"/>
              <w:bottom w:val="single" w:sz="8" w:color="00539B"/>
            </w:tcBorders>
          </w:tcPr>
          <w:p>
            <w:pPr>
              <w:spacing w:after="0"/>
              <w:rPr>
                <w:sz w:val="19"/>
                <w:szCs w:val="19"/>
                <w:color w:val="auto"/>
              </w:rPr>
            </w:pPr>
          </w:p>
        </w:tc>
        <w:tc>
          <w:tcPr>
            <w:tcW w:w="1160" w:type="dxa"/>
            <w:vAlign w:val="bottom"/>
            <w:tcBorders>
              <w:top w:val="single" w:sz="8" w:color="00539B"/>
              <w:bottom w:val="single" w:sz="8" w:color="00539B"/>
            </w:tcBorders>
            <w:shd w:val="clear" w:color="auto" w:fill="E0E3F1"/>
          </w:tcPr>
          <w:p>
            <w:pPr>
              <w:jc w:val="right"/>
              <w:ind w:right="28"/>
              <w:spacing w:after="0"/>
              <w:rPr>
                <w:sz w:val="20"/>
                <w:szCs w:val="20"/>
                <w:color w:val="auto"/>
              </w:rPr>
            </w:pPr>
            <w:r>
              <w:rPr>
                <w:rFonts w:ascii="Arial" w:cs="Arial" w:eastAsia="Arial" w:hAnsi="Arial"/>
                <w:sz w:val="14"/>
                <w:szCs w:val="14"/>
                <w:color w:val="auto"/>
              </w:rPr>
              <w:t>2025</w:t>
            </w:r>
          </w:p>
        </w:tc>
        <w:tc>
          <w:tcPr>
            <w:tcW w:w="500" w:type="dxa"/>
            <w:vAlign w:val="bottom"/>
            <w:tcBorders>
              <w:top w:val="single" w:sz="8" w:color="00539B"/>
              <w:bottom w:val="single" w:sz="8" w:color="00539B"/>
            </w:tcBorders>
            <w:shd w:val="clear" w:color="auto" w:fill="E0E3F1"/>
          </w:tcPr>
          <w:p>
            <w:pPr>
              <w:spacing w:after="0"/>
              <w:rPr>
                <w:sz w:val="19"/>
                <w:szCs w:val="19"/>
                <w:color w:val="auto"/>
              </w:rPr>
            </w:pPr>
          </w:p>
        </w:tc>
        <w:tc>
          <w:tcPr>
            <w:tcW w:w="160" w:type="dxa"/>
            <w:vAlign w:val="bottom"/>
            <w:tcBorders>
              <w:top w:val="single" w:sz="8" w:color="00539B"/>
              <w:bottom w:val="single" w:sz="8" w:color="00539B"/>
            </w:tcBorders>
            <w:shd w:val="clear" w:color="auto" w:fill="E0E3F1"/>
          </w:tcPr>
          <w:p>
            <w:pPr>
              <w:spacing w:after="0"/>
              <w:rPr>
                <w:sz w:val="19"/>
                <w:szCs w:val="19"/>
                <w:color w:val="auto"/>
              </w:rPr>
            </w:pPr>
          </w:p>
        </w:tc>
        <w:tc>
          <w:tcPr>
            <w:tcW w:w="420" w:type="dxa"/>
            <w:vAlign w:val="bottom"/>
            <w:tcBorders>
              <w:top w:val="single" w:sz="8" w:color="00539B"/>
              <w:bottom w:val="single" w:sz="8" w:color="00539B"/>
            </w:tcBorders>
          </w:tcPr>
          <w:p>
            <w:pPr>
              <w:spacing w:after="0"/>
              <w:rPr>
                <w:sz w:val="19"/>
                <w:szCs w:val="19"/>
                <w:color w:val="auto"/>
              </w:rPr>
            </w:pPr>
          </w:p>
        </w:tc>
        <w:tc>
          <w:tcPr>
            <w:tcW w:w="1400" w:type="dxa"/>
            <w:vAlign w:val="bottom"/>
            <w:tcBorders>
              <w:top w:val="single" w:sz="8" w:color="00539B"/>
              <w:bottom w:val="single" w:sz="8" w:color="00539B"/>
            </w:tcBorders>
          </w:tcPr>
          <w:p>
            <w:pPr>
              <w:jc w:val="right"/>
              <w:ind w:right="688"/>
              <w:spacing w:after="0"/>
              <w:rPr>
                <w:sz w:val="20"/>
                <w:szCs w:val="20"/>
                <w:color w:val="auto"/>
              </w:rPr>
            </w:pPr>
            <w:r>
              <w:rPr>
                <w:rFonts w:ascii="Arial" w:cs="Arial" w:eastAsia="Arial" w:hAnsi="Arial"/>
                <w:sz w:val="14"/>
                <w:szCs w:val="14"/>
                <w:color w:val="auto"/>
              </w:rPr>
              <w:t>2024</w:t>
            </w:r>
          </w:p>
        </w:tc>
      </w:tr>
      <w:tr>
        <w:trPr>
          <w:trHeight w:val="192"/>
        </w:trPr>
        <w:tc>
          <w:tcPr>
            <w:tcW w:w="7560" w:type="dxa"/>
            <w:vAlign w:val="bottom"/>
          </w:tcPr>
          <w:p>
            <w:pPr>
              <w:ind w:left="20"/>
              <w:spacing w:after="0"/>
              <w:rPr>
                <w:sz w:val="20"/>
                <w:szCs w:val="20"/>
                <w:color w:val="auto"/>
              </w:rPr>
            </w:pPr>
            <w:r>
              <w:rPr>
                <w:rFonts w:ascii="Arial" w:cs="Arial" w:eastAsia="Arial" w:hAnsi="Arial"/>
                <w:sz w:val="14"/>
                <w:szCs w:val="14"/>
                <w:color w:val="auto"/>
              </w:rPr>
              <w:t>Income from consolidated operations before income taxes</w:t>
            </w:r>
          </w:p>
        </w:tc>
        <w:tc>
          <w:tcPr>
            <w:tcW w:w="1160" w:type="dxa"/>
            <w:vAlign w:val="bottom"/>
            <w:shd w:val="clear" w:color="auto" w:fill="E0E3F1"/>
          </w:tcPr>
          <w:p>
            <w:pPr>
              <w:jc w:val="right"/>
              <w:ind w:right="988"/>
              <w:spacing w:after="0"/>
              <w:rPr>
                <w:sz w:val="20"/>
                <w:szCs w:val="20"/>
                <w:color w:val="auto"/>
              </w:rPr>
            </w:pPr>
            <w:r>
              <w:rPr>
                <w:rFonts w:ascii="Arial" w:cs="Arial" w:eastAsia="Arial" w:hAnsi="Arial"/>
                <w:sz w:val="14"/>
                <w:szCs w:val="14"/>
                <w:color w:val="auto"/>
              </w:rPr>
              <w:t>$</w:t>
            </w:r>
          </w:p>
        </w:tc>
        <w:tc>
          <w:tcPr>
            <w:tcW w:w="500" w:type="dxa"/>
            <w:vAlign w:val="bottom"/>
            <w:shd w:val="clear" w:color="auto" w:fill="E0E3F1"/>
          </w:tcPr>
          <w:p>
            <w:pPr>
              <w:jc w:val="right"/>
              <w:spacing w:after="0"/>
              <w:rPr>
                <w:sz w:val="20"/>
                <w:szCs w:val="20"/>
                <w:color w:val="auto"/>
              </w:rPr>
            </w:pPr>
            <w:r>
              <w:rPr>
                <w:rFonts w:ascii="Arial" w:cs="Arial" w:eastAsia="Arial" w:hAnsi="Arial"/>
                <w:sz w:val="14"/>
                <w:szCs w:val="14"/>
                <w:color w:val="auto"/>
              </w:rPr>
              <w:t>913.0</w:t>
            </w:r>
          </w:p>
        </w:tc>
        <w:tc>
          <w:tcPr>
            <w:tcW w:w="160" w:type="dxa"/>
            <w:vAlign w:val="bottom"/>
            <w:shd w:val="clear" w:color="auto" w:fill="E0E3F1"/>
          </w:tcPr>
          <w:p>
            <w:pPr>
              <w:spacing w:after="0"/>
              <w:rPr>
                <w:sz w:val="16"/>
                <w:szCs w:val="16"/>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108"/>
              <w:spacing w:after="0"/>
              <w:rPr>
                <w:sz w:val="20"/>
                <w:szCs w:val="20"/>
                <w:color w:val="auto"/>
              </w:rPr>
            </w:pPr>
            <w:r>
              <w:rPr>
                <w:rFonts w:ascii="Arial" w:cs="Arial" w:eastAsia="Arial" w:hAnsi="Arial"/>
                <w:sz w:val="14"/>
                <w:szCs w:val="14"/>
                <w:color w:val="auto"/>
              </w:rPr>
              <w:t>898.3</w:t>
            </w:r>
          </w:p>
        </w:tc>
      </w:tr>
      <w:tr>
        <w:trPr>
          <w:trHeight w:val="203"/>
        </w:trPr>
        <w:tc>
          <w:tcPr>
            <w:tcW w:w="7560" w:type="dxa"/>
            <w:vAlign w:val="bottom"/>
          </w:tcPr>
          <w:p>
            <w:pPr>
              <w:ind w:left="20"/>
              <w:spacing w:after="0"/>
              <w:rPr>
                <w:sz w:val="20"/>
                <w:szCs w:val="20"/>
                <w:color w:val="auto"/>
              </w:rPr>
            </w:pPr>
            <w:r>
              <w:rPr>
                <w:rFonts w:ascii="Arial" w:cs="Arial" w:eastAsia="Arial" w:hAnsi="Arial"/>
                <w:sz w:val="14"/>
                <w:szCs w:val="14"/>
                <w:color w:val="auto"/>
              </w:rPr>
              <w:t>Income tax expense</w:t>
            </w:r>
          </w:p>
        </w:tc>
        <w:tc>
          <w:tcPr>
            <w:tcW w:w="1160" w:type="dxa"/>
            <w:vAlign w:val="bottom"/>
            <w:shd w:val="clear" w:color="auto" w:fill="E0E3F1"/>
          </w:tcPr>
          <w:p>
            <w:pPr>
              <w:spacing w:after="0"/>
              <w:rPr>
                <w:sz w:val="17"/>
                <w:szCs w:val="17"/>
                <w:color w:val="auto"/>
              </w:rPr>
            </w:pPr>
          </w:p>
        </w:tc>
        <w:tc>
          <w:tcPr>
            <w:tcW w:w="500" w:type="dxa"/>
            <w:vAlign w:val="bottom"/>
            <w:shd w:val="clear" w:color="auto" w:fill="E0E3F1"/>
          </w:tcPr>
          <w:p>
            <w:pPr>
              <w:jc w:val="right"/>
              <w:spacing w:after="0"/>
              <w:rPr>
                <w:sz w:val="20"/>
                <w:szCs w:val="20"/>
                <w:color w:val="auto"/>
              </w:rPr>
            </w:pPr>
            <w:r>
              <w:rPr>
                <w:rFonts w:ascii="Arial" w:cs="Arial" w:eastAsia="Arial" w:hAnsi="Arial"/>
                <w:sz w:val="14"/>
                <w:szCs w:val="14"/>
                <w:color w:val="auto"/>
              </w:rPr>
              <w:t>195.8</w:t>
            </w:r>
          </w:p>
        </w:tc>
        <w:tc>
          <w:tcPr>
            <w:tcW w:w="160" w:type="dxa"/>
            <w:vAlign w:val="bottom"/>
            <w:shd w:val="clear" w:color="auto" w:fill="E0E3F1"/>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ind w:right="108"/>
              <w:spacing w:after="0"/>
              <w:rPr>
                <w:sz w:val="20"/>
                <w:szCs w:val="20"/>
                <w:color w:val="auto"/>
              </w:rPr>
            </w:pPr>
            <w:r>
              <w:rPr>
                <w:rFonts w:ascii="Arial" w:cs="Arial" w:eastAsia="Arial" w:hAnsi="Arial"/>
                <w:sz w:val="14"/>
                <w:szCs w:val="14"/>
                <w:color w:val="auto"/>
              </w:rPr>
              <w:t>184.0</w:t>
            </w:r>
          </w:p>
        </w:tc>
      </w:tr>
      <w:tr>
        <w:trPr>
          <w:trHeight w:val="218"/>
        </w:trPr>
        <w:tc>
          <w:tcPr>
            <w:tcW w:w="7560" w:type="dxa"/>
            <w:vAlign w:val="bottom"/>
            <w:tcBorders>
              <w:bottom w:val="single" w:sz="8" w:color="00539B"/>
            </w:tcBorders>
          </w:tcPr>
          <w:p>
            <w:pPr>
              <w:ind w:left="360"/>
              <w:spacing w:after="0"/>
              <w:rPr>
                <w:sz w:val="20"/>
                <w:szCs w:val="20"/>
                <w:color w:val="auto"/>
              </w:rPr>
            </w:pPr>
            <w:r>
              <w:rPr>
                <w:rFonts w:ascii="Arial" w:cs="Arial" w:eastAsia="Arial" w:hAnsi="Arial"/>
                <w:sz w:val="14"/>
                <w:szCs w:val="14"/>
                <w:color w:val="auto"/>
              </w:rPr>
              <w:t>Effective tax rate</w:t>
            </w:r>
          </w:p>
        </w:tc>
        <w:tc>
          <w:tcPr>
            <w:tcW w:w="1160" w:type="dxa"/>
            <w:vAlign w:val="bottom"/>
            <w:tcBorders>
              <w:bottom w:val="single" w:sz="8" w:color="00539B"/>
            </w:tcBorders>
            <w:shd w:val="clear" w:color="auto" w:fill="E0E3F1"/>
          </w:tcPr>
          <w:p>
            <w:pPr>
              <w:spacing w:after="0"/>
              <w:rPr>
                <w:sz w:val="18"/>
                <w:szCs w:val="18"/>
                <w:color w:val="auto"/>
              </w:rPr>
            </w:pPr>
          </w:p>
        </w:tc>
        <w:tc>
          <w:tcPr>
            <w:tcW w:w="50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21.4</w:t>
            </w:r>
          </w:p>
        </w:tc>
        <w:tc>
          <w:tcPr>
            <w:tcW w:w="16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w w:val="96"/>
              </w:rPr>
              <w:t>%</w:t>
            </w:r>
          </w:p>
        </w:tc>
        <w:tc>
          <w:tcPr>
            <w:tcW w:w="420" w:type="dxa"/>
            <w:vAlign w:val="bottom"/>
            <w:tcBorders>
              <w:bottom w:val="single" w:sz="8" w:color="00539B"/>
            </w:tcBorders>
          </w:tcPr>
          <w:p>
            <w:pPr>
              <w:spacing w:after="0"/>
              <w:rPr>
                <w:sz w:val="18"/>
                <w:szCs w:val="18"/>
                <w:color w:val="auto"/>
              </w:rPr>
            </w:pPr>
          </w:p>
        </w:tc>
        <w:tc>
          <w:tcPr>
            <w:tcW w:w="140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20.5 %</w:t>
            </w:r>
          </w:p>
        </w:tc>
      </w:tr>
    </w:tbl>
    <w:p>
      <w:pPr>
        <w:spacing w:after="0" w:line="22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effective tax rate for 2025 was 21.4%, compared to 20.5% in 2024, primarily driven by the lower level of net discrete tax benefits recorded for 2025. Specifically, net discrete tax benefits amounted to $27.6 million in 2025, a decrease of $4.1 million from $31.7 million in 2024.</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$27.6 million of net discrete tax benefits for 2025 principally included (i) $10.1 million of tax benefits from the reversal of certain reserves for unrecognized tax benefits and related interest, including $5.9 million associated with the expiration of statutes of limitations, (ii) $7.9 million of tax benefits resulting from state tax matters, and related deferred taxes, (iii) a $5.0 million tax benefit resulting from the revaluation of deferred taxes associated with enacted legislation, (iv) $3.6 million of tax benefits resulting from an adjustment to a prior year tax accrual, and related deferred taxes, based on the final return filed, and (v) $1.1 million of excess tax benefits associated with stock compensation.</w:t>
      </w:r>
    </w:p>
    <w:p>
      <w:pPr>
        <w:spacing w:after="0" w:line="1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$31.7 million of net discrete tax benefits for 2024 principally included (i) $19.4 million of tax benefits associated with the recognition of a deferred tax asset related to an international legal entity reorganization, (ii) $12.3 million of tax benefit from the reversal of certain reserves for unrecognized tax benefits and related interest associated with both the effective settlement from the conclusion of a tax examination and the expiration of statutes of limitations, (iii) $6.0 million of tax benefits resulting from state tax matters, and related deferred taxes, (iv) $1.8 million of tax benefit from an adjustment to a prior year tax accrual and related deferred taxes based on final returns filed, (v) $6.2 million of tax expense associated with the adjustment of valuation allowances due to changes in judgment about the realizability of deferred tax assets, and (vi) $1.8 million of tax expense related to certain unremitted prior year earnings.</w:t>
      </w:r>
    </w:p>
    <w:p>
      <w:pPr>
        <w:spacing w:after="0" w:line="1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July 4, 2025, legislation known as the One Big Beautiful Bill Act (OBBBA) was signed into law. The OBBBA makes changes to the United States corporate income tax system, including, among other provisions, the immediate expensing of research and development expenditures, and 100 percent bonus depreciation on qualified property. While we expect certain provisions of the OBBBA to change the timing of cash tax payments related to the current fiscal year and future year periods, we do not expect the legislation to have a material impact on our consolidated financial statements.</w:t>
      </w:r>
    </w:p>
    <w:p>
      <w:pPr>
        <w:spacing w:after="0" w:line="125"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See Note 12 of notes to our consolidated financial statements for a more detailed reconciliation of the U.S. federal tax rate with the effective tax rate.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640" w:type="dxa"/>
            <w:vAlign w:val="bottom"/>
            <w:tcBorders>
              <w:top w:val="single" w:sz="8" w:color="00539B"/>
              <w:bottom w:val="single" w:sz="8" w:color="00539B"/>
            </w:tcBorders>
          </w:tcPr>
          <w:p>
            <w:pPr>
              <w:spacing w:after="0"/>
              <w:rPr>
                <w:sz w:val="19"/>
                <w:szCs w:val="19"/>
                <w:color w:val="auto"/>
              </w:rPr>
            </w:pPr>
          </w:p>
        </w:tc>
        <w:tc>
          <w:tcPr>
            <w:tcW w:w="1200" w:type="dxa"/>
            <w:vAlign w:val="bottom"/>
            <w:tcBorders>
              <w:top w:val="single" w:sz="8" w:color="00539B"/>
              <w:bottom w:val="single" w:sz="8" w:color="00539B"/>
            </w:tcBorders>
            <w:shd w:val="clear" w:color="auto" w:fill="E0E3F1"/>
          </w:tcPr>
          <w:p>
            <w:pPr>
              <w:jc w:val="right"/>
              <w:ind w:right="108"/>
              <w:spacing w:after="0"/>
              <w:rPr>
                <w:sz w:val="20"/>
                <w:szCs w:val="20"/>
                <w:color w:val="auto"/>
              </w:rPr>
            </w:pPr>
            <w:r>
              <w:rPr>
                <w:rFonts w:ascii="Arial" w:cs="Arial" w:eastAsia="Arial" w:hAnsi="Arial"/>
                <w:sz w:val="14"/>
                <w:szCs w:val="14"/>
                <w:color w:val="auto"/>
              </w:rPr>
              <w:t>2025</w:t>
            </w:r>
          </w:p>
        </w:tc>
        <w:tc>
          <w:tcPr>
            <w:tcW w:w="520" w:type="dxa"/>
            <w:vAlign w:val="bottom"/>
            <w:tcBorders>
              <w:top w:val="single" w:sz="8" w:color="00539B"/>
              <w:bottom w:val="single" w:sz="8" w:color="00539B"/>
            </w:tcBorders>
            <w:shd w:val="clear" w:color="auto" w:fill="E0E3F1"/>
          </w:tcPr>
          <w:p>
            <w:pPr>
              <w:spacing w:after="0"/>
              <w:rPr>
                <w:sz w:val="19"/>
                <w:szCs w:val="19"/>
                <w:color w:val="auto"/>
              </w:rPr>
            </w:pPr>
          </w:p>
        </w:tc>
        <w:tc>
          <w:tcPr>
            <w:tcW w:w="400" w:type="dxa"/>
            <w:vAlign w:val="bottom"/>
            <w:tcBorders>
              <w:top w:val="single" w:sz="8" w:color="00539B"/>
              <w:bottom w:val="single" w:sz="8" w:color="00539B"/>
            </w:tcBorders>
          </w:tcPr>
          <w:p>
            <w:pPr>
              <w:spacing w:after="0"/>
              <w:rPr>
                <w:sz w:val="19"/>
                <w:szCs w:val="19"/>
                <w:color w:val="auto"/>
              </w:rPr>
            </w:pPr>
          </w:p>
        </w:tc>
        <w:tc>
          <w:tcPr>
            <w:tcW w:w="1340" w:type="dxa"/>
            <w:vAlign w:val="bottom"/>
            <w:tcBorders>
              <w:top w:val="single" w:sz="8" w:color="00539B"/>
              <w:bottom w:val="single" w:sz="8" w:color="00539B"/>
            </w:tcBorders>
          </w:tcPr>
          <w:p>
            <w:pPr>
              <w:jc w:val="right"/>
              <w:ind w:right="648"/>
              <w:spacing w:after="0"/>
              <w:rPr>
                <w:sz w:val="20"/>
                <w:szCs w:val="20"/>
                <w:color w:val="auto"/>
              </w:rPr>
            </w:pPr>
            <w:r>
              <w:rPr>
                <w:rFonts w:ascii="Arial" w:cs="Arial" w:eastAsia="Arial" w:hAnsi="Arial"/>
                <w:sz w:val="14"/>
                <w:szCs w:val="14"/>
                <w:color w:val="auto"/>
              </w:rPr>
              <w:t>2024</w:t>
            </w:r>
          </w:p>
        </w:tc>
      </w:tr>
      <w:tr>
        <w:trPr>
          <w:trHeight w:val="207"/>
        </w:trPr>
        <w:tc>
          <w:tcPr>
            <w:tcW w:w="764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Income from unconsolidated operations</w:t>
            </w:r>
          </w:p>
        </w:tc>
        <w:tc>
          <w:tcPr>
            <w:tcW w:w="1200" w:type="dxa"/>
            <w:vAlign w:val="bottom"/>
            <w:tcBorders>
              <w:bottom w:val="single" w:sz="8" w:color="00539B"/>
            </w:tcBorders>
            <w:shd w:val="clear" w:color="auto" w:fill="E0E3F1"/>
          </w:tcPr>
          <w:p>
            <w:pPr>
              <w:jc w:val="right"/>
              <w:ind w:right="102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72.2</w:t>
            </w:r>
          </w:p>
        </w:tc>
        <w:tc>
          <w:tcPr>
            <w:tcW w:w="400" w:type="dxa"/>
            <w:vAlign w:val="bottom"/>
            <w:tcBorders>
              <w:bottom w:val="single" w:sz="8" w:color="00539B"/>
            </w:tcBorders>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00539B"/>
            </w:tcBorders>
          </w:tcPr>
          <w:p>
            <w:pPr>
              <w:jc w:val="right"/>
              <w:ind w:right="8"/>
              <w:spacing w:after="0"/>
              <w:rPr>
                <w:sz w:val="20"/>
                <w:szCs w:val="20"/>
                <w:color w:val="auto"/>
              </w:rPr>
            </w:pPr>
            <w:r>
              <w:rPr>
                <w:rFonts w:ascii="Arial" w:cs="Arial" w:eastAsia="Arial" w:hAnsi="Arial"/>
                <w:sz w:val="14"/>
                <w:szCs w:val="14"/>
                <w:color w:val="auto"/>
              </w:rPr>
              <w:t>74.2</w:t>
            </w:r>
          </w:p>
        </w:tc>
      </w:tr>
    </w:tbl>
    <w:p>
      <w:pPr>
        <w:spacing w:after="0" w:line="238"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Income from unconsolidated operations, which is presented net of the elimination of earnings attributable to non-controlling interests, decreased $2.0 million in 2025, driven by the results of our largest joint venture, McCormick de Mexico, where unfavorable impacts from foreign exchange rates were partially offset by improved operating results. We own 50% of most of our unconsolidated joint ventures. McCormick de Mexico comprised 93% and 95% of the income of our unconsolidated operations in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8"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The following table outlines the major components of the change in diluted earnings per share from 2024 to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0628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2024 Earnings per share—diluted</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Increase in operating income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Increase in special charges, net of taxes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Decrease in other income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Decrease in income from unconsolidated operations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Decrease in interest expense</w:t>
      </w:r>
    </w:p>
    <w:p>
      <w:pPr>
        <w:spacing w:after="0" w:line="42" w:lineRule="exact"/>
        <w:rPr>
          <w:sz w:val="20"/>
          <w:szCs w:val="20"/>
          <w:color w:val="auto"/>
        </w:rPr>
      </w:pPr>
    </w:p>
    <w:p>
      <w:pPr>
        <w:ind w:left="20" w:right="3580"/>
        <w:spacing w:after="0" w:line="365" w:lineRule="auto"/>
        <w:rPr>
          <w:sz w:val="20"/>
          <w:szCs w:val="20"/>
          <w:color w:val="auto"/>
        </w:rPr>
      </w:pPr>
      <w:r>
        <w:rPr>
          <w:rFonts w:ascii="Arial" w:cs="Arial" w:eastAsia="Arial" w:hAnsi="Arial"/>
          <w:sz w:val="14"/>
          <w:szCs w:val="14"/>
          <w:color w:val="auto"/>
        </w:rPr>
        <w:t>Impact of change in effective income tax rate, excluding taxes on special charges 2025 Earnings per share—diluted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0628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0628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-184150</wp:posOffset>
            </wp:positionV>
            <wp:extent cx="710628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1380" w:hanging="1371"/>
        <w:spacing w:after="0"/>
        <w:tabs>
          <w:tab w:leader="none" w:pos="1380" w:val="left"/>
        </w:tabs>
        <w:numPr>
          <w:ilvl w:val="0"/>
          <w:numId w:val="6"/>
        </w:numPr>
        <w:rPr>
          <w:rFonts w:ascii="Arial" w:cs="Arial" w:eastAsia="Arial" w:hAnsi="Arial"/>
          <w:sz w:val="14"/>
          <w:szCs w:val="14"/>
          <w:color w:val="auto"/>
        </w:rPr>
      </w:pPr>
      <w:r>
        <w:rPr>
          <w:rFonts w:ascii="Arial" w:cs="Arial" w:eastAsia="Arial" w:hAnsi="Arial"/>
          <w:sz w:val="14"/>
          <w:szCs w:val="14"/>
          <w:color w:val="auto"/>
        </w:rPr>
        <w:t>2.92</w:t>
      </w:r>
    </w:p>
    <w:p>
      <w:pPr>
        <w:spacing w:after="0" w:line="41" w:lineRule="exact"/>
        <w:rPr>
          <w:rFonts w:ascii="Arial" w:cs="Arial" w:eastAsia="Arial" w:hAnsi="Arial"/>
          <w:sz w:val="14"/>
          <w:szCs w:val="14"/>
          <w:color w:val="auto"/>
        </w:rPr>
      </w:pPr>
    </w:p>
    <w:p>
      <w:pPr>
        <w:ind w:left="1380"/>
        <w:spacing w:after="0"/>
        <w:rPr>
          <w:rFonts w:ascii="Arial" w:cs="Arial" w:eastAsia="Arial" w:hAnsi="Arial"/>
          <w:sz w:val="14"/>
          <w:szCs w:val="14"/>
          <w:color w:val="auto"/>
        </w:rPr>
      </w:pPr>
      <w:r>
        <w:rPr>
          <w:rFonts w:ascii="Arial" w:cs="Arial" w:eastAsia="Arial" w:hAnsi="Arial"/>
          <w:sz w:val="14"/>
          <w:szCs w:val="14"/>
          <w:color w:val="auto"/>
        </w:rPr>
        <w:t>0.07</w:t>
      </w:r>
    </w:p>
    <w:p>
      <w:pPr>
        <w:spacing w:after="0" w:line="42"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(0.04)</w:t>
      </w:r>
    </w:p>
    <w:p>
      <w:pPr>
        <w:spacing w:after="0" w:line="42"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(0.02)</w:t>
      </w:r>
    </w:p>
    <w:p>
      <w:pPr>
        <w:spacing w:after="0" w:line="42"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(0.01)</w:t>
      </w:r>
    </w:p>
    <w:p>
      <w:pPr>
        <w:spacing w:after="0" w:line="42"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0.04</w:t>
      </w:r>
    </w:p>
    <w:p>
      <w:pPr>
        <w:spacing w:after="0" w:line="42"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(0.03)</w:t>
      </w:r>
    </w:p>
    <w:p>
      <w:pPr>
        <w:spacing w:after="0" w:line="55" w:lineRule="exact"/>
        <w:rPr>
          <w:sz w:val="20"/>
          <w:szCs w:val="20"/>
          <w:color w:val="auto"/>
        </w:rPr>
      </w:pPr>
    </w:p>
    <w:p>
      <w:pPr>
        <w:ind w:left="1380" w:hanging="1371"/>
        <w:spacing w:after="0"/>
        <w:tabs>
          <w:tab w:leader="none" w:pos="1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2.93</w:t>
      </w:r>
    </w:p>
    <w:p>
      <w:pPr>
        <w:spacing w:after="0" w:line="301" w:lineRule="exact"/>
        <w:rPr>
          <w:sz w:val="20"/>
          <w:szCs w:val="20"/>
          <w:color w:val="auto"/>
        </w:rPr>
      </w:pPr>
    </w:p>
    <w:p>
      <w:pPr>
        <w:sectPr>
          <w:pgSz w:w="11900" w:h="16838" w:orient="portrait"/>
          <w:cols w:equalWidth="0" w:num="2">
            <w:col w:w="8760" w:space="720"/>
            <w:col w:w="1760"/>
          </w:cols>
          <w:pgMar w:left="320" w:top="1052" w:right="339" w:bottom="1440" w:gutter="0" w:footer="0" w:header="0"/>
          <w:type w:val="continuous"/>
        </w:sectPr>
      </w:pPr>
    </w:p>
    <w:p>
      <w:pPr>
        <w:spacing w:after="0"/>
        <w:rPr>
          <w:sz w:val="20"/>
          <w:szCs w:val="20"/>
          <w:color w:val="auto"/>
        </w:rPr>
      </w:pPr>
      <w:r>
        <w:rPr>
          <w:rFonts w:ascii="Arial" w:cs="Arial" w:eastAsia="Arial" w:hAnsi="Arial"/>
          <w:sz w:val="18"/>
          <w:szCs w:val="18"/>
          <w:b w:val="1"/>
          <w:bCs w:val="1"/>
          <w:color w:val="00539B"/>
        </w:rPr>
        <w:t>Results of Operations—Segments</w:t>
      </w:r>
    </w:p>
    <w:p>
      <w:pPr>
        <w:spacing w:after="0" w:line="90" w:lineRule="exact"/>
        <w:rPr>
          <w:sz w:val="20"/>
          <w:szCs w:val="20"/>
          <w:color w:val="auto"/>
        </w:rPr>
      </w:pPr>
    </w:p>
    <w:p>
      <w:pPr>
        <w:jc w:val="both"/>
        <w:ind w:right="80"/>
        <w:spacing w:after="0" w:line="262" w:lineRule="auto"/>
        <w:rPr>
          <w:sz w:val="20"/>
          <w:szCs w:val="20"/>
          <w:color w:val="auto"/>
        </w:rPr>
      </w:pPr>
      <w:r>
        <w:rPr>
          <w:rFonts w:ascii="Arial" w:cs="Arial" w:eastAsia="Arial" w:hAnsi="Arial"/>
          <w:sz w:val="18"/>
          <w:szCs w:val="18"/>
          <w:color w:val="auto"/>
        </w:rPr>
        <w:t>We measure the performance of our business segments based on operating income, excluding special charges. See Note 15 of notes to our consolidated financial statements for additional information on our segment measures as well as for a reconciliation by segment of operating income, excluding special charges. In the following discussion, we refer to our previously described measure of segment profit as "Segment operating income."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00539B"/>
        </w:rPr>
        <w:t>Consumer Segment</w:t>
      </w:r>
    </w:p>
    <w:p>
      <w:pPr>
        <w:spacing w:after="0" w:line="40"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7980" w:type="dxa"/>
            <w:vAlign w:val="bottom"/>
            <w:tcBorders>
              <w:top w:val="single" w:sz="8" w:color="00539B"/>
              <w:bottom w:val="single" w:sz="8" w:color="00539B"/>
            </w:tcBorders>
          </w:tcPr>
          <w:p>
            <w:pPr>
              <w:spacing w:after="0"/>
              <w:rPr>
                <w:sz w:val="19"/>
                <w:szCs w:val="19"/>
                <w:color w:val="auto"/>
              </w:rPr>
            </w:pPr>
          </w:p>
        </w:tc>
        <w:tc>
          <w:tcPr>
            <w:tcW w:w="380" w:type="dxa"/>
            <w:vAlign w:val="bottom"/>
            <w:tcBorders>
              <w:top w:val="single" w:sz="8" w:color="00539B"/>
              <w:bottom w:val="single" w:sz="8" w:color="00539B"/>
            </w:tcBorders>
            <w:shd w:val="clear" w:color="auto" w:fill="E0E3F1"/>
          </w:tcPr>
          <w:p>
            <w:pPr>
              <w:spacing w:after="0"/>
              <w:rPr>
                <w:sz w:val="19"/>
                <w:szCs w:val="19"/>
                <w:color w:val="auto"/>
              </w:rPr>
            </w:pPr>
          </w:p>
        </w:tc>
        <w:tc>
          <w:tcPr>
            <w:tcW w:w="1080" w:type="dxa"/>
            <w:vAlign w:val="bottom"/>
            <w:tcBorders>
              <w:top w:val="single" w:sz="8" w:color="00539B"/>
              <w:bottom w:val="single" w:sz="8" w:color="00539B"/>
            </w:tcBorders>
            <w:shd w:val="clear" w:color="auto" w:fill="E0E3F1"/>
          </w:tcPr>
          <w:p>
            <w:pPr>
              <w:jc w:val="right"/>
              <w:ind w:right="408"/>
              <w:spacing w:after="0"/>
              <w:rPr>
                <w:sz w:val="20"/>
                <w:szCs w:val="20"/>
                <w:color w:val="auto"/>
              </w:rPr>
            </w:pPr>
            <w:r>
              <w:rPr>
                <w:rFonts w:ascii="Arial" w:cs="Arial" w:eastAsia="Arial" w:hAnsi="Arial"/>
                <w:sz w:val="14"/>
                <w:szCs w:val="14"/>
                <w:color w:val="auto"/>
              </w:rPr>
              <w:t>2025</w:t>
            </w:r>
          </w:p>
        </w:tc>
        <w:tc>
          <w:tcPr>
            <w:tcW w:w="160" w:type="dxa"/>
            <w:vAlign w:val="bottom"/>
            <w:tcBorders>
              <w:top w:val="single" w:sz="8" w:color="00539B"/>
              <w:bottom w:val="single" w:sz="8" w:color="00539B"/>
            </w:tcBorders>
            <w:shd w:val="clear" w:color="auto" w:fill="E0E3F1"/>
          </w:tcPr>
          <w:p>
            <w:pPr>
              <w:spacing w:after="0"/>
              <w:rPr>
                <w:sz w:val="19"/>
                <w:szCs w:val="19"/>
                <w:color w:val="auto"/>
              </w:rPr>
            </w:pPr>
          </w:p>
        </w:tc>
        <w:tc>
          <w:tcPr>
            <w:tcW w:w="360" w:type="dxa"/>
            <w:vAlign w:val="bottom"/>
            <w:tcBorders>
              <w:top w:val="single" w:sz="8" w:color="00539B"/>
              <w:bottom w:val="single" w:sz="8" w:color="00539B"/>
            </w:tcBorders>
          </w:tcPr>
          <w:p>
            <w:pPr>
              <w:spacing w:after="0"/>
              <w:rPr>
                <w:sz w:val="19"/>
                <w:szCs w:val="19"/>
                <w:color w:val="auto"/>
              </w:rPr>
            </w:pPr>
          </w:p>
        </w:tc>
        <w:tc>
          <w:tcPr>
            <w:tcW w:w="1240" w:type="dxa"/>
            <w:vAlign w:val="bottom"/>
            <w:tcBorders>
              <w:top w:val="single" w:sz="8" w:color="00539B"/>
              <w:bottom w:val="single" w:sz="8" w:color="00539B"/>
            </w:tcBorders>
          </w:tcPr>
          <w:p>
            <w:pPr>
              <w:jc w:val="right"/>
              <w:ind w:right="568"/>
              <w:spacing w:after="0"/>
              <w:rPr>
                <w:sz w:val="20"/>
                <w:szCs w:val="20"/>
                <w:color w:val="auto"/>
              </w:rPr>
            </w:pPr>
            <w:r>
              <w:rPr>
                <w:rFonts w:ascii="Arial" w:cs="Arial" w:eastAsia="Arial" w:hAnsi="Arial"/>
                <w:sz w:val="14"/>
                <w:szCs w:val="14"/>
                <w:color w:val="auto"/>
              </w:rPr>
              <w:t>2024</w:t>
            </w:r>
          </w:p>
        </w:tc>
      </w:tr>
      <w:tr>
        <w:trPr>
          <w:trHeight w:val="192"/>
        </w:trPr>
        <w:tc>
          <w:tcPr>
            <w:tcW w:w="7980" w:type="dxa"/>
            <w:vAlign w:val="bottom"/>
          </w:tcPr>
          <w:p>
            <w:pPr>
              <w:ind w:left="20"/>
              <w:spacing w:after="0"/>
              <w:rPr>
                <w:sz w:val="20"/>
                <w:szCs w:val="20"/>
                <w:color w:val="auto"/>
              </w:rPr>
            </w:pPr>
            <w:r>
              <w:rPr>
                <w:rFonts w:ascii="Arial" w:cs="Arial" w:eastAsia="Arial" w:hAnsi="Arial"/>
                <w:sz w:val="14"/>
                <w:szCs w:val="14"/>
                <w:color w:val="auto"/>
              </w:rPr>
              <w:t>Net sales</w:t>
            </w:r>
          </w:p>
        </w:tc>
        <w:tc>
          <w:tcPr>
            <w:tcW w:w="380" w:type="dxa"/>
            <w:vAlign w:val="bottom"/>
            <w:shd w:val="clear" w:color="auto" w:fill="E0E3F1"/>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0E3F1"/>
          </w:tcPr>
          <w:p>
            <w:pPr>
              <w:jc w:val="right"/>
              <w:spacing w:after="0"/>
              <w:rPr>
                <w:sz w:val="20"/>
                <w:szCs w:val="20"/>
                <w:color w:val="auto"/>
              </w:rPr>
            </w:pPr>
            <w:r>
              <w:rPr>
                <w:rFonts w:ascii="Arial" w:cs="Arial" w:eastAsia="Arial" w:hAnsi="Arial"/>
                <w:sz w:val="14"/>
                <w:szCs w:val="14"/>
                <w:color w:val="auto"/>
              </w:rPr>
              <w:t>3,950.3</w:t>
            </w:r>
          </w:p>
        </w:tc>
        <w:tc>
          <w:tcPr>
            <w:tcW w:w="160" w:type="dxa"/>
            <w:vAlign w:val="bottom"/>
            <w:shd w:val="clear" w:color="auto" w:fill="E0E3F1"/>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3,848.5</w:t>
            </w:r>
          </w:p>
        </w:tc>
      </w:tr>
      <w:tr>
        <w:trPr>
          <w:trHeight w:val="203"/>
        </w:trPr>
        <w:tc>
          <w:tcPr>
            <w:tcW w:w="7980" w:type="dxa"/>
            <w:vAlign w:val="bottom"/>
          </w:tcPr>
          <w:p>
            <w:pPr>
              <w:ind w:left="340"/>
              <w:spacing w:after="0"/>
              <w:rPr>
                <w:sz w:val="20"/>
                <w:szCs w:val="20"/>
                <w:color w:val="auto"/>
              </w:rPr>
            </w:pPr>
            <w:r>
              <w:rPr>
                <w:rFonts w:ascii="Arial" w:cs="Arial" w:eastAsia="Arial" w:hAnsi="Arial"/>
                <w:sz w:val="14"/>
                <w:szCs w:val="14"/>
                <w:color w:val="auto"/>
              </w:rPr>
              <w:t>Percent growth</w:t>
            </w:r>
          </w:p>
        </w:tc>
        <w:tc>
          <w:tcPr>
            <w:tcW w:w="380" w:type="dxa"/>
            <w:vAlign w:val="bottom"/>
            <w:shd w:val="clear" w:color="auto" w:fill="E0E3F1"/>
          </w:tcPr>
          <w:p>
            <w:pPr>
              <w:spacing w:after="0"/>
              <w:rPr>
                <w:sz w:val="17"/>
                <w:szCs w:val="17"/>
                <w:color w:val="auto"/>
              </w:rPr>
            </w:pPr>
          </w:p>
        </w:tc>
        <w:tc>
          <w:tcPr>
            <w:tcW w:w="1080" w:type="dxa"/>
            <w:vAlign w:val="bottom"/>
            <w:shd w:val="clear" w:color="auto" w:fill="E0E3F1"/>
          </w:tcPr>
          <w:p>
            <w:pPr>
              <w:jc w:val="right"/>
              <w:spacing w:after="0"/>
              <w:rPr>
                <w:sz w:val="20"/>
                <w:szCs w:val="20"/>
                <w:color w:val="auto"/>
              </w:rPr>
            </w:pPr>
            <w:r>
              <w:rPr>
                <w:rFonts w:ascii="Arial" w:cs="Arial" w:eastAsia="Arial" w:hAnsi="Arial"/>
                <w:sz w:val="14"/>
                <w:szCs w:val="14"/>
                <w:color w:val="auto"/>
              </w:rPr>
              <w:t>2.6</w:t>
            </w:r>
          </w:p>
        </w:tc>
        <w:tc>
          <w:tcPr>
            <w:tcW w:w="160" w:type="dxa"/>
            <w:vAlign w:val="bottom"/>
            <w:shd w:val="clear" w:color="auto" w:fill="E0E3F1"/>
          </w:tcPr>
          <w:p>
            <w:pPr>
              <w:jc w:val="right"/>
              <w:spacing w:after="0"/>
              <w:rPr>
                <w:sz w:val="20"/>
                <w:szCs w:val="20"/>
                <w:color w:val="auto"/>
              </w:rPr>
            </w:pPr>
            <w:r>
              <w:rPr>
                <w:rFonts w:ascii="Arial" w:cs="Arial" w:eastAsia="Arial" w:hAnsi="Arial"/>
                <w:sz w:val="14"/>
                <w:szCs w:val="14"/>
                <w:color w:val="auto"/>
                <w:w w:val="96"/>
                <w:shd w:val="clear" w:color="auto" w:fill="E0E3F1"/>
              </w:rPr>
              <w:t>%</w:t>
            </w: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1.1 %</w:t>
            </w:r>
          </w:p>
        </w:tc>
      </w:tr>
      <w:tr>
        <w:trPr>
          <w:trHeight w:val="203"/>
        </w:trPr>
        <w:tc>
          <w:tcPr>
            <w:tcW w:w="7980" w:type="dxa"/>
            <w:vAlign w:val="bottom"/>
          </w:tcPr>
          <w:p>
            <w:pPr>
              <w:ind w:left="20"/>
              <w:spacing w:after="0"/>
              <w:rPr>
                <w:sz w:val="20"/>
                <w:szCs w:val="20"/>
                <w:color w:val="auto"/>
              </w:rPr>
            </w:pPr>
            <w:r>
              <w:rPr>
                <w:rFonts w:ascii="Arial" w:cs="Arial" w:eastAsia="Arial" w:hAnsi="Arial"/>
                <w:sz w:val="14"/>
                <w:szCs w:val="14"/>
                <w:color w:val="auto"/>
              </w:rPr>
              <w:t>Components of percent change in net sales:</w:t>
            </w:r>
          </w:p>
        </w:tc>
        <w:tc>
          <w:tcPr>
            <w:tcW w:w="380" w:type="dxa"/>
            <w:vAlign w:val="bottom"/>
            <w:shd w:val="clear" w:color="auto" w:fill="E0E3F1"/>
          </w:tcPr>
          <w:p>
            <w:pPr>
              <w:spacing w:after="0"/>
              <w:rPr>
                <w:sz w:val="17"/>
                <w:szCs w:val="17"/>
                <w:color w:val="auto"/>
              </w:rPr>
            </w:pPr>
          </w:p>
        </w:tc>
        <w:tc>
          <w:tcPr>
            <w:tcW w:w="1080" w:type="dxa"/>
            <w:vAlign w:val="bottom"/>
            <w:shd w:val="clear" w:color="auto" w:fill="E0E3F1"/>
          </w:tcPr>
          <w:p>
            <w:pPr>
              <w:spacing w:after="0"/>
              <w:rPr>
                <w:sz w:val="17"/>
                <w:szCs w:val="17"/>
                <w:color w:val="auto"/>
              </w:rPr>
            </w:pPr>
          </w:p>
        </w:tc>
        <w:tc>
          <w:tcPr>
            <w:tcW w:w="160" w:type="dxa"/>
            <w:vAlign w:val="bottom"/>
            <w:shd w:val="clear" w:color="auto" w:fill="E0E3F1"/>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7980" w:type="dxa"/>
            <w:vAlign w:val="bottom"/>
          </w:tcPr>
          <w:p>
            <w:pPr>
              <w:ind w:left="340"/>
              <w:spacing w:after="0"/>
              <w:rPr>
                <w:sz w:val="20"/>
                <w:szCs w:val="20"/>
                <w:color w:val="auto"/>
              </w:rPr>
            </w:pPr>
            <w:r>
              <w:rPr>
                <w:rFonts w:ascii="Arial" w:cs="Arial" w:eastAsia="Arial" w:hAnsi="Arial"/>
                <w:sz w:val="14"/>
                <w:szCs w:val="14"/>
                <w:color w:val="auto"/>
              </w:rPr>
              <w:t>Pricing actions</w:t>
            </w:r>
          </w:p>
        </w:tc>
        <w:tc>
          <w:tcPr>
            <w:tcW w:w="380" w:type="dxa"/>
            <w:vAlign w:val="bottom"/>
            <w:shd w:val="clear" w:color="auto" w:fill="E0E3F1"/>
          </w:tcPr>
          <w:p>
            <w:pPr>
              <w:spacing w:after="0"/>
              <w:rPr>
                <w:sz w:val="17"/>
                <w:szCs w:val="17"/>
                <w:color w:val="auto"/>
              </w:rPr>
            </w:pPr>
          </w:p>
        </w:tc>
        <w:tc>
          <w:tcPr>
            <w:tcW w:w="1080" w:type="dxa"/>
            <w:vAlign w:val="bottom"/>
            <w:shd w:val="clear" w:color="auto" w:fill="E0E3F1"/>
          </w:tcPr>
          <w:p>
            <w:pPr>
              <w:jc w:val="right"/>
              <w:spacing w:after="0"/>
              <w:rPr>
                <w:sz w:val="20"/>
                <w:szCs w:val="20"/>
                <w:color w:val="auto"/>
              </w:rPr>
            </w:pPr>
            <w:r>
              <w:rPr>
                <w:rFonts w:ascii="Arial" w:cs="Arial" w:eastAsia="Arial" w:hAnsi="Arial"/>
                <w:sz w:val="14"/>
                <w:szCs w:val="14"/>
                <w:color w:val="auto"/>
              </w:rPr>
              <w:t>0.3</w:t>
            </w:r>
          </w:p>
        </w:tc>
        <w:tc>
          <w:tcPr>
            <w:tcW w:w="160" w:type="dxa"/>
            <w:vAlign w:val="bottom"/>
            <w:shd w:val="clear" w:color="auto" w:fill="E0E3F1"/>
          </w:tcPr>
          <w:p>
            <w:pPr>
              <w:jc w:val="right"/>
              <w:spacing w:after="0"/>
              <w:rPr>
                <w:sz w:val="20"/>
                <w:szCs w:val="20"/>
                <w:color w:val="auto"/>
              </w:rPr>
            </w:pPr>
            <w:r>
              <w:rPr>
                <w:rFonts w:ascii="Arial" w:cs="Arial" w:eastAsia="Arial" w:hAnsi="Arial"/>
                <w:sz w:val="14"/>
                <w:szCs w:val="14"/>
                <w:color w:val="auto"/>
                <w:w w:val="96"/>
              </w:rPr>
              <w:t>%</w:t>
            </w: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203"/>
        </w:trPr>
        <w:tc>
          <w:tcPr>
            <w:tcW w:w="7980" w:type="dxa"/>
            <w:vAlign w:val="bottom"/>
          </w:tcPr>
          <w:p>
            <w:pPr>
              <w:ind w:left="340"/>
              <w:spacing w:after="0"/>
              <w:rPr>
                <w:sz w:val="20"/>
                <w:szCs w:val="20"/>
                <w:color w:val="auto"/>
              </w:rPr>
            </w:pPr>
            <w:r>
              <w:rPr>
                <w:rFonts w:ascii="Arial" w:cs="Arial" w:eastAsia="Arial" w:hAnsi="Arial"/>
                <w:sz w:val="14"/>
                <w:szCs w:val="14"/>
                <w:color w:val="auto"/>
              </w:rPr>
              <w:t>Volume and product mix</w:t>
            </w:r>
          </w:p>
        </w:tc>
        <w:tc>
          <w:tcPr>
            <w:tcW w:w="380" w:type="dxa"/>
            <w:vAlign w:val="bottom"/>
            <w:shd w:val="clear" w:color="auto" w:fill="E0E3F1"/>
          </w:tcPr>
          <w:p>
            <w:pPr>
              <w:spacing w:after="0"/>
              <w:rPr>
                <w:sz w:val="17"/>
                <w:szCs w:val="17"/>
                <w:color w:val="auto"/>
              </w:rPr>
            </w:pPr>
          </w:p>
        </w:tc>
        <w:tc>
          <w:tcPr>
            <w:tcW w:w="1080" w:type="dxa"/>
            <w:vAlign w:val="bottom"/>
            <w:shd w:val="clear" w:color="auto" w:fill="E0E3F1"/>
          </w:tcPr>
          <w:p>
            <w:pPr>
              <w:jc w:val="right"/>
              <w:spacing w:after="0"/>
              <w:rPr>
                <w:sz w:val="20"/>
                <w:szCs w:val="20"/>
                <w:color w:val="auto"/>
              </w:rPr>
            </w:pPr>
            <w:r>
              <w:rPr>
                <w:rFonts w:ascii="Arial" w:cs="Arial" w:eastAsia="Arial" w:hAnsi="Arial"/>
                <w:sz w:val="14"/>
                <w:szCs w:val="14"/>
                <w:color w:val="auto"/>
              </w:rPr>
              <w:t>2.1</w:t>
            </w:r>
          </w:p>
        </w:tc>
        <w:tc>
          <w:tcPr>
            <w:tcW w:w="160" w:type="dxa"/>
            <w:vAlign w:val="bottom"/>
            <w:shd w:val="clear" w:color="auto" w:fill="E0E3F1"/>
          </w:tcPr>
          <w:p>
            <w:pPr>
              <w:jc w:val="right"/>
              <w:spacing w:after="0"/>
              <w:rPr>
                <w:sz w:val="20"/>
                <w:szCs w:val="20"/>
                <w:color w:val="auto"/>
              </w:rPr>
            </w:pPr>
            <w:r>
              <w:rPr>
                <w:rFonts w:ascii="Arial" w:cs="Arial" w:eastAsia="Arial" w:hAnsi="Arial"/>
                <w:sz w:val="14"/>
                <w:szCs w:val="14"/>
                <w:color w:val="auto"/>
                <w:w w:val="96"/>
              </w:rPr>
              <w:t>%</w:t>
            </w: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0.8 %</w:t>
            </w:r>
          </w:p>
        </w:tc>
      </w:tr>
      <w:tr>
        <w:trPr>
          <w:trHeight w:val="203"/>
        </w:trPr>
        <w:tc>
          <w:tcPr>
            <w:tcW w:w="7980" w:type="dxa"/>
            <w:vAlign w:val="bottom"/>
          </w:tcPr>
          <w:p>
            <w:pPr>
              <w:ind w:left="340"/>
              <w:spacing w:after="0"/>
              <w:rPr>
                <w:sz w:val="20"/>
                <w:szCs w:val="20"/>
                <w:color w:val="auto"/>
              </w:rPr>
            </w:pPr>
            <w:r>
              <w:rPr>
                <w:rFonts w:ascii="Arial" w:cs="Arial" w:eastAsia="Arial" w:hAnsi="Arial"/>
                <w:sz w:val="14"/>
                <w:szCs w:val="14"/>
                <w:color w:val="auto"/>
              </w:rPr>
              <w:t>Foreign exchange</w:t>
            </w:r>
          </w:p>
        </w:tc>
        <w:tc>
          <w:tcPr>
            <w:tcW w:w="380" w:type="dxa"/>
            <w:vAlign w:val="bottom"/>
            <w:shd w:val="clear" w:color="auto" w:fill="E0E3F1"/>
          </w:tcPr>
          <w:p>
            <w:pPr>
              <w:spacing w:after="0"/>
              <w:rPr>
                <w:sz w:val="17"/>
                <w:szCs w:val="17"/>
                <w:color w:val="auto"/>
              </w:rPr>
            </w:pPr>
          </w:p>
        </w:tc>
        <w:tc>
          <w:tcPr>
            <w:tcW w:w="1080" w:type="dxa"/>
            <w:vAlign w:val="bottom"/>
            <w:shd w:val="clear" w:color="auto" w:fill="E0E3F1"/>
          </w:tcPr>
          <w:p>
            <w:pPr>
              <w:jc w:val="right"/>
              <w:spacing w:after="0"/>
              <w:rPr>
                <w:sz w:val="20"/>
                <w:szCs w:val="20"/>
                <w:color w:val="auto"/>
              </w:rPr>
            </w:pPr>
            <w:r>
              <w:rPr>
                <w:rFonts w:ascii="Arial" w:cs="Arial" w:eastAsia="Arial" w:hAnsi="Arial"/>
                <w:sz w:val="14"/>
                <w:szCs w:val="14"/>
                <w:color w:val="auto"/>
              </w:rPr>
              <w:t>0.2</w:t>
            </w:r>
          </w:p>
        </w:tc>
        <w:tc>
          <w:tcPr>
            <w:tcW w:w="160" w:type="dxa"/>
            <w:vAlign w:val="bottom"/>
            <w:shd w:val="clear" w:color="auto" w:fill="E0E3F1"/>
          </w:tcPr>
          <w:p>
            <w:pPr>
              <w:jc w:val="right"/>
              <w:spacing w:after="0"/>
              <w:rPr>
                <w:sz w:val="20"/>
                <w:szCs w:val="20"/>
                <w:color w:val="auto"/>
              </w:rPr>
            </w:pPr>
            <w:r>
              <w:rPr>
                <w:rFonts w:ascii="Arial" w:cs="Arial" w:eastAsia="Arial" w:hAnsi="Arial"/>
                <w:sz w:val="14"/>
                <w:szCs w:val="14"/>
                <w:color w:val="auto"/>
                <w:w w:val="96"/>
              </w:rPr>
              <w:t>%</w:t>
            </w: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0.3 %</w:t>
            </w:r>
          </w:p>
        </w:tc>
      </w:tr>
      <w:tr>
        <w:trPr>
          <w:trHeight w:val="364"/>
        </w:trPr>
        <w:tc>
          <w:tcPr>
            <w:tcW w:w="7980" w:type="dxa"/>
            <w:vAlign w:val="bottom"/>
          </w:tcPr>
          <w:p>
            <w:pPr>
              <w:ind w:left="20"/>
              <w:spacing w:after="0"/>
              <w:rPr>
                <w:sz w:val="20"/>
                <w:szCs w:val="20"/>
                <w:color w:val="auto"/>
              </w:rPr>
            </w:pPr>
            <w:r>
              <w:rPr>
                <w:rFonts w:ascii="Arial" w:cs="Arial" w:eastAsia="Arial" w:hAnsi="Arial"/>
                <w:sz w:val="14"/>
                <w:szCs w:val="14"/>
                <w:color w:val="auto"/>
              </w:rPr>
              <w:t>Segment operating income</w:t>
            </w:r>
          </w:p>
        </w:tc>
        <w:tc>
          <w:tcPr>
            <w:tcW w:w="380" w:type="dxa"/>
            <w:vAlign w:val="bottom"/>
            <w:shd w:val="clear" w:color="auto" w:fill="E0E3F1"/>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0E3F1"/>
          </w:tcPr>
          <w:p>
            <w:pPr>
              <w:jc w:val="right"/>
              <w:spacing w:after="0"/>
              <w:rPr>
                <w:sz w:val="20"/>
                <w:szCs w:val="20"/>
                <w:color w:val="auto"/>
              </w:rPr>
            </w:pPr>
            <w:r>
              <w:rPr>
                <w:rFonts w:ascii="Arial" w:cs="Arial" w:eastAsia="Arial" w:hAnsi="Arial"/>
                <w:sz w:val="14"/>
                <w:szCs w:val="14"/>
                <w:color w:val="auto"/>
              </w:rPr>
              <w:t>734.9</w:t>
            </w:r>
          </w:p>
        </w:tc>
        <w:tc>
          <w:tcPr>
            <w:tcW w:w="160" w:type="dxa"/>
            <w:vAlign w:val="bottom"/>
            <w:shd w:val="clear" w:color="auto" w:fill="E0E3F1"/>
          </w:tcPr>
          <w:p>
            <w:pPr>
              <w:spacing w:after="0"/>
              <w:rPr>
                <w:sz w:val="24"/>
                <w:szCs w:val="24"/>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740.3</w:t>
            </w:r>
          </w:p>
        </w:tc>
      </w:tr>
      <w:tr>
        <w:trPr>
          <w:trHeight w:val="218"/>
        </w:trPr>
        <w:tc>
          <w:tcPr>
            <w:tcW w:w="7980" w:type="dxa"/>
            <w:vAlign w:val="bottom"/>
            <w:tcBorders>
              <w:bottom w:val="single" w:sz="8" w:color="00539B"/>
            </w:tcBorders>
          </w:tcPr>
          <w:p>
            <w:pPr>
              <w:ind w:left="340"/>
              <w:spacing w:after="0"/>
              <w:rPr>
                <w:sz w:val="20"/>
                <w:szCs w:val="20"/>
                <w:color w:val="auto"/>
              </w:rPr>
            </w:pPr>
            <w:r>
              <w:rPr>
                <w:rFonts w:ascii="Arial" w:cs="Arial" w:eastAsia="Arial" w:hAnsi="Arial"/>
                <w:sz w:val="14"/>
                <w:szCs w:val="14"/>
                <w:color w:val="auto"/>
              </w:rPr>
              <w:t>Segment operating income margin</w:t>
            </w:r>
          </w:p>
        </w:tc>
        <w:tc>
          <w:tcPr>
            <w:tcW w:w="380" w:type="dxa"/>
            <w:vAlign w:val="bottom"/>
            <w:tcBorders>
              <w:bottom w:val="single" w:sz="8" w:color="00539B"/>
            </w:tcBorders>
            <w:shd w:val="clear" w:color="auto" w:fill="E0E3F1"/>
          </w:tcPr>
          <w:p>
            <w:pPr>
              <w:spacing w:after="0"/>
              <w:rPr>
                <w:sz w:val="18"/>
                <w:szCs w:val="18"/>
                <w:color w:val="auto"/>
              </w:rPr>
            </w:pPr>
          </w:p>
        </w:tc>
        <w:tc>
          <w:tcPr>
            <w:tcW w:w="108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18.6</w:t>
            </w:r>
          </w:p>
        </w:tc>
        <w:tc>
          <w:tcPr>
            <w:tcW w:w="16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w w:val="96"/>
                <w:shd w:val="clear" w:color="auto" w:fill="E0E3F1"/>
              </w:rPr>
              <w:t>%</w:t>
            </w:r>
          </w:p>
        </w:tc>
        <w:tc>
          <w:tcPr>
            <w:tcW w:w="360" w:type="dxa"/>
            <w:vAlign w:val="bottom"/>
            <w:tcBorders>
              <w:bottom w:val="single" w:sz="8" w:color="00539B"/>
            </w:tcBorders>
          </w:tcPr>
          <w:p>
            <w:pPr>
              <w:spacing w:after="0"/>
              <w:rPr>
                <w:sz w:val="18"/>
                <w:szCs w:val="18"/>
                <w:color w:val="auto"/>
              </w:rPr>
            </w:pPr>
          </w:p>
        </w:tc>
        <w:tc>
          <w:tcPr>
            <w:tcW w:w="124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19.2 %</w:t>
            </w:r>
          </w:p>
        </w:tc>
      </w:tr>
    </w:tbl>
    <w:p>
      <w:pPr>
        <w:spacing w:after="0" w:line="238"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In 2025, sales of our Consumer segment increased by 2.6% as compared to 2024 and increased by 2.4% on an organic basis. Favorable volume and product mix increased sales by 2.1%, driven by growth across all regions. Favorable pricing increased sales by 0.3%. The favorable impact of foreign currency rates increased sales by 0.2% and is excluded from our measure of sales growth of 2.4% on an organic basis.</w:t>
      </w:r>
    </w:p>
    <w:p>
      <w:pPr>
        <w:spacing w:after="0" w:line="12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In the Americas region, Consumer segment sales increased 2.0% in 2025 as compared to 2024 and increased by 2.3% on an organic basis. Unfavorable pricing decreased sales by 0.1%. Favorable volume and product mix increased sales by 2.4% driven by growth across core categories. The unfavorable impact of foreign currency rates decreased sales by 0.3% and is excluded from our measure of sales growth of 2.3% on an organic basis.</w:t>
      </w:r>
    </w:p>
    <w:p>
      <w:pPr>
        <w:spacing w:after="0" w:line="12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 the EMEA region, Consumer segment sales increased 6.0% in 2025 as compared to 2024 and increased by 3.5% on an organic basis. Favorable pricing impacted sales by 2.1%. Favorable volume and product mix increased sales by 1.4% driven by growth in France and Poland. The favorable impact of foreign currency exchange rates increased sales by 2.5% and is excluded from our measure of sales growth of 3.5% on an organic basis.</w:t>
      </w:r>
    </w:p>
    <w:p>
      <w:pPr>
        <w:spacing w:after="0" w:line="122"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 the APAC region, Consumer segment sales increased 1.0% in 2025 as compared to 2024 and increased by 1.9% on an organic basis. Favorable pricing impacted sales by 0.2%. Favorable volume and product mix increased sales by 1.7% driven by higher sales to foodservice customers in China. The unfavorable impact from foreign currency rates decreased sales by 0.9% and is excluded from our measure of sales growth of 1.9% on an organic basis.</w:t>
      </w:r>
    </w:p>
    <w:p>
      <w:pPr>
        <w:spacing w:after="0" w:line="12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Segment operating income for our Consumer segment decreased by $5.4 million, or 0.7%, in 2025 as compared to 2024, driven by a decrease in gross profit, partially offset by a decrease in SG&amp;A expense. The decrease in gross profit was driven by unfavorable product mix, increased commodity costs including the impact of tariffs, and increased conversion costs including costs to support increased capacity for future growth, partially offset by higher sales volume, the favorable impact of pricing actions, and CCI-led cost savings. The decrease in SG&amp;A expense was driven by the items described in the consolidated discussion. Segment operating margin decreased by 60 basis points to 18.6%. On a constant currency basis, segment operating income decreased by 0.6%.</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color w:val="00539B"/>
        </w:rPr>
        <w:t>Flavor Solutions Segment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000" w:type="dxa"/>
            <w:vAlign w:val="bottom"/>
            <w:tcBorders>
              <w:top w:val="single" w:sz="8" w:color="00539B"/>
              <w:bottom w:val="single" w:sz="8" w:color="00539B"/>
            </w:tcBorders>
          </w:tcPr>
          <w:p>
            <w:pPr>
              <w:spacing w:after="0"/>
              <w:rPr>
                <w:sz w:val="19"/>
                <w:szCs w:val="19"/>
                <w:color w:val="auto"/>
              </w:rPr>
            </w:pPr>
          </w:p>
        </w:tc>
        <w:tc>
          <w:tcPr>
            <w:tcW w:w="380" w:type="dxa"/>
            <w:vAlign w:val="bottom"/>
            <w:tcBorders>
              <w:top w:val="single" w:sz="8" w:color="00539B"/>
              <w:bottom w:val="single" w:sz="8" w:color="00539B"/>
            </w:tcBorders>
            <w:shd w:val="clear" w:color="auto" w:fill="E0E3F1"/>
          </w:tcPr>
          <w:p>
            <w:pPr>
              <w:spacing w:after="0"/>
              <w:rPr>
                <w:sz w:val="19"/>
                <w:szCs w:val="19"/>
                <w:color w:val="auto"/>
              </w:rPr>
            </w:pPr>
          </w:p>
        </w:tc>
        <w:tc>
          <w:tcPr>
            <w:tcW w:w="1080" w:type="dxa"/>
            <w:vAlign w:val="bottom"/>
            <w:tcBorders>
              <w:top w:val="single" w:sz="8" w:color="00539B"/>
              <w:bottom w:val="single" w:sz="8" w:color="00539B"/>
            </w:tcBorders>
            <w:shd w:val="clear" w:color="auto" w:fill="E0E3F1"/>
          </w:tcPr>
          <w:p>
            <w:pPr>
              <w:jc w:val="right"/>
              <w:ind w:right="428"/>
              <w:spacing w:after="0"/>
              <w:rPr>
                <w:sz w:val="20"/>
                <w:szCs w:val="20"/>
                <w:color w:val="auto"/>
              </w:rPr>
            </w:pPr>
            <w:r>
              <w:rPr>
                <w:rFonts w:ascii="Arial" w:cs="Arial" w:eastAsia="Arial" w:hAnsi="Arial"/>
                <w:sz w:val="14"/>
                <w:szCs w:val="14"/>
                <w:color w:val="auto"/>
              </w:rPr>
              <w:t>2025</w:t>
            </w:r>
          </w:p>
        </w:tc>
        <w:tc>
          <w:tcPr>
            <w:tcW w:w="140" w:type="dxa"/>
            <w:vAlign w:val="bottom"/>
            <w:tcBorders>
              <w:top w:val="single" w:sz="8" w:color="00539B"/>
              <w:bottom w:val="single" w:sz="8" w:color="00539B"/>
            </w:tcBorders>
            <w:shd w:val="clear" w:color="auto" w:fill="E0E3F1"/>
          </w:tcPr>
          <w:p>
            <w:pPr>
              <w:spacing w:after="0"/>
              <w:rPr>
                <w:sz w:val="19"/>
                <w:szCs w:val="19"/>
                <w:color w:val="auto"/>
              </w:rPr>
            </w:pPr>
          </w:p>
        </w:tc>
        <w:tc>
          <w:tcPr>
            <w:tcW w:w="380" w:type="dxa"/>
            <w:vAlign w:val="bottom"/>
            <w:tcBorders>
              <w:top w:val="single" w:sz="8" w:color="00539B"/>
              <w:bottom w:val="single" w:sz="8" w:color="00539B"/>
            </w:tcBorders>
          </w:tcPr>
          <w:p>
            <w:pPr>
              <w:spacing w:after="0"/>
              <w:rPr>
                <w:sz w:val="19"/>
                <w:szCs w:val="19"/>
                <w:color w:val="auto"/>
              </w:rPr>
            </w:pPr>
          </w:p>
        </w:tc>
        <w:tc>
          <w:tcPr>
            <w:tcW w:w="1240" w:type="dxa"/>
            <w:vAlign w:val="bottom"/>
            <w:tcBorders>
              <w:top w:val="single" w:sz="8" w:color="00539B"/>
              <w:bottom w:val="single" w:sz="8" w:color="00539B"/>
            </w:tcBorders>
          </w:tcPr>
          <w:p>
            <w:pPr>
              <w:jc w:val="right"/>
              <w:ind w:right="588"/>
              <w:spacing w:after="0"/>
              <w:rPr>
                <w:sz w:val="20"/>
                <w:szCs w:val="20"/>
                <w:color w:val="auto"/>
              </w:rPr>
            </w:pPr>
            <w:r>
              <w:rPr>
                <w:rFonts w:ascii="Arial" w:cs="Arial" w:eastAsia="Arial" w:hAnsi="Arial"/>
                <w:sz w:val="14"/>
                <w:szCs w:val="14"/>
                <w:color w:val="auto"/>
              </w:rPr>
              <w:t>2024</w:t>
            </w:r>
          </w:p>
        </w:tc>
      </w:tr>
      <w:tr>
        <w:trPr>
          <w:trHeight w:val="192"/>
        </w:trPr>
        <w:tc>
          <w:tcPr>
            <w:tcW w:w="8000" w:type="dxa"/>
            <w:vAlign w:val="bottom"/>
          </w:tcPr>
          <w:p>
            <w:pPr>
              <w:ind w:left="20"/>
              <w:spacing w:after="0"/>
              <w:rPr>
                <w:sz w:val="20"/>
                <w:szCs w:val="20"/>
                <w:color w:val="auto"/>
              </w:rPr>
            </w:pPr>
            <w:r>
              <w:rPr>
                <w:rFonts w:ascii="Arial" w:cs="Arial" w:eastAsia="Arial" w:hAnsi="Arial"/>
                <w:sz w:val="14"/>
                <w:szCs w:val="14"/>
                <w:color w:val="auto"/>
              </w:rPr>
              <w:t>Net sales</w:t>
            </w:r>
          </w:p>
        </w:tc>
        <w:tc>
          <w:tcPr>
            <w:tcW w:w="380" w:type="dxa"/>
            <w:vAlign w:val="bottom"/>
            <w:shd w:val="clear" w:color="auto" w:fill="E0E3F1"/>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0E3F1"/>
          </w:tcPr>
          <w:p>
            <w:pPr>
              <w:jc w:val="right"/>
              <w:spacing w:after="0"/>
              <w:rPr>
                <w:sz w:val="20"/>
                <w:szCs w:val="20"/>
                <w:color w:val="auto"/>
              </w:rPr>
            </w:pPr>
            <w:r>
              <w:rPr>
                <w:rFonts w:ascii="Arial" w:cs="Arial" w:eastAsia="Arial" w:hAnsi="Arial"/>
                <w:sz w:val="14"/>
                <w:szCs w:val="14"/>
                <w:color w:val="auto"/>
              </w:rPr>
              <w:t>2,890.0</w:t>
            </w:r>
          </w:p>
        </w:tc>
        <w:tc>
          <w:tcPr>
            <w:tcW w:w="140" w:type="dxa"/>
            <w:vAlign w:val="bottom"/>
            <w:shd w:val="clear" w:color="auto" w:fill="E0E3F1"/>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28"/>
              <w:spacing w:after="0"/>
              <w:rPr>
                <w:sz w:val="20"/>
                <w:szCs w:val="20"/>
                <w:color w:val="auto"/>
              </w:rPr>
            </w:pPr>
            <w:r>
              <w:rPr>
                <w:rFonts w:ascii="Arial" w:cs="Arial" w:eastAsia="Arial" w:hAnsi="Arial"/>
                <w:sz w:val="14"/>
                <w:szCs w:val="14"/>
                <w:color w:val="auto"/>
              </w:rPr>
              <w:t>2,875.2</w:t>
            </w:r>
          </w:p>
        </w:tc>
      </w:tr>
      <w:tr>
        <w:trPr>
          <w:trHeight w:val="203"/>
        </w:trPr>
        <w:tc>
          <w:tcPr>
            <w:tcW w:w="8000" w:type="dxa"/>
            <w:vAlign w:val="bottom"/>
          </w:tcPr>
          <w:p>
            <w:pPr>
              <w:ind w:left="360"/>
              <w:spacing w:after="0"/>
              <w:rPr>
                <w:sz w:val="20"/>
                <w:szCs w:val="20"/>
                <w:color w:val="auto"/>
              </w:rPr>
            </w:pPr>
            <w:r>
              <w:rPr>
                <w:rFonts w:ascii="Arial" w:cs="Arial" w:eastAsia="Arial" w:hAnsi="Arial"/>
                <w:sz w:val="14"/>
                <w:szCs w:val="14"/>
                <w:color w:val="auto"/>
              </w:rPr>
              <w:t>Percent growth</w:t>
            </w:r>
          </w:p>
        </w:tc>
        <w:tc>
          <w:tcPr>
            <w:tcW w:w="380" w:type="dxa"/>
            <w:vAlign w:val="bottom"/>
            <w:shd w:val="clear" w:color="auto" w:fill="E0E3F1"/>
          </w:tcPr>
          <w:p>
            <w:pPr>
              <w:spacing w:after="0"/>
              <w:rPr>
                <w:sz w:val="17"/>
                <w:szCs w:val="17"/>
                <w:color w:val="auto"/>
              </w:rPr>
            </w:pPr>
          </w:p>
        </w:tc>
        <w:tc>
          <w:tcPr>
            <w:tcW w:w="1080" w:type="dxa"/>
            <w:vAlign w:val="bottom"/>
            <w:shd w:val="clear" w:color="auto" w:fill="E0E3F1"/>
          </w:tcPr>
          <w:p>
            <w:pPr>
              <w:jc w:val="right"/>
              <w:spacing w:after="0"/>
              <w:rPr>
                <w:sz w:val="20"/>
                <w:szCs w:val="20"/>
                <w:color w:val="auto"/>
              </w:rPr>
            </w:pPr>
            <w:r>
              <w:rPr>
                <w:rFonts w:ascii="Arial" w:cs="Arial" w:eastAsia="Arial" w:hAnsi="Arial"/>
                <w:sz w:val="14"/>
                <w:szCs w:val="14"/>
                <w:color w:val="auto"/>
              </w:rPr>
              <w:t>0.5</w:t>
            </w:r>
          </w:p>
        </w:tc>
        <w:tc>
          <w:tcPr>
            <w:tcW w:w="140" w:type="dxa"/>
            <w:vAlign w:val="bottom"/>
            <w:shd w:val="clear" w:color="auto" w:fill="E0E3F1"/>
          </w:tcPr>
          <w:p>
            <w:pPr>
              <w:jc w:val="right"/>
              <w:spacing w:after="0"/>
              <w:rPr>
                <w:sz w:val="20"/>
                <w:szCs w:val="20"/>
                <w:color w:val="auto"/>
              </w:rPr>
            </w:pPr>
            <w:r>
              <w:rPr>
                <w:rFonts w:ascii="Arial" w:cs="Arial" w:eastAsia="Arial" w:hAnsi="Arial"/>
                <w:sz w:val="14"/>
                <w:szCs w:val="14"/>
                <w:color w:val="auto"/>
                <w:w w:val="79"/>
                <w:shd w:val="clear" w:color="auto" w:fill="E0E3F1"/>
              </w:rPr>
              <w:t>%</w:t>
            </w: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0.7 %</w:t>
            </w:r>
          </w:p>
        </w:tc>
      </w:tr>
      <w:tr>
        <w:trPr>
          <w:trHeight w:val="203"/>
        </w:trPr>
        <w:tc>
          <w:tcPr>
            <w:tcW w:w="8000" w:type="dxa"/>
            <w:vAlign w:val="bottom"/>
          </w:tcPr>
          <w:p>
            <w:pPr>
              <w:ind w:left="20"/>
              <w:spacing w:after="0"/>
              <w:rPr>
                <w:sz w:val="20"/>
                <w:szCs w:val="20"/>
                <w:color w:val="auto"/>
              </w:rPr>
            </w:pPr>
            <w:r>
              <w:rPr>
                <w:rFonts w:ascii="Arial" w:cs="Arial" w:eastAsia="Arial" w:hAnsi="Arial"/>
                <w:sz w:val="14"/>
                <w:szCs w:val="14"/>
                <w:color w:val="auto"/>
              </w:rPr>
              <w:t>Components of percent change in net sales:</w:t>
            </w:r>
          </w:p>
        </w:tc>
        <w:tc>
          <w:tcPr>
            <w:tcW w:w="380" w:type="dxa"/>
            <w:vAlign w:val="bottom"/>
            <w:shd w:val="clear" w:color="auto" w:fill="E0E3F1"/>
          </w:tcPr>
          <w:p>
            <w:pPr>
              <w:spacing w:after="0"/>
              <w:rPr>
                <w:sz w:val="17"/>
                <w:szCs w:val="17"/>
                <w:color w:val="auto"/>
              </w:rPr>
            </w:pPr>
          </w:p>
        </w:tc>
        <w:tc>
          <w:tcPr>
            <w:tcW w:w="1080" w:type="dxa"/>
            <w:vAlign w:val="bottom"/>
            <w:shd w:val="clear" w:color="auto" w:fill="E0E3F1"/>
          </w:tcPr>
          <w:p>
            <w:pPr>
              <w:spacing w:after="0"/>
              <w:rPr>
                <w:sz w:val="17"/>
                <w:szCs w:val="17"/>
                <w:color w:val="auto"/>
              </w:rPr>
            </w:pPr>
          </w:p>
        </w:tc>
        <w:tc>
          <w:tcPr>
            <w:tcW w:w="140" w:type="dxa"/>
            <w:vAlign w:val="bottom"/>
            <w:shd w:val="clear" w:color="auto" w:fill="E0E3F1"/>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1"/>
        </w:trPr>
        <w:tc>
          <w:tcPr>
            <w:tcW w:w="8000" w:type="dxa"/>
            <w:vAlign w:val="bottom"/>
          </w:tcPr>
          <w:p>
            <w:pPr>
              <w:ind w:left="360"/>
              <w:spacing w:after="0"/>
              <w:rPr>
                <w:sz w:val="20"/>
                <w:szCs w:val="20"/>
                <w:color w:val="auto"/>
              </w:rPr>
            </w:pPr>
            <w:r>
              <w:rPr>
                <w:rFonts w:ascii="Arial" w:cs="Arial" w:eastAsia="Arial" w:hAnsi="Arial"/>
                <w:sz w:val="14"/>
                <w:szCs w:val="14"/>
                <w:color w:val="auto"/>
              </w:rPr>
              <w:t>Pricing actions</w:t>
            </w:r>
          </w:p>
        </w:tc>
        <w:tc>
          <w:tcPr>
            <w:tcW w:w="380" w:type="dxa"/>
            <w:vAlign w:val="bottom"/>
            <w:shd w:val="clear" w:color="auto" w:fill="E0E3F1"/>
          </w:tcPr>
          <w:p>
            <w:pPr>
              <w:spacing w:after="0"/>
              <w:rPr>
                <w:sz w:val="18"/>
                <w:szCs w:val="18"/>
                <w:color w:val="auto"/>
              </w:rPr>
            </w:pPr>
          </w:p>
        </w:tc>
        <w:tc>
          <w:tcPr>
            <w:tcW w:w="1080" w:type="dxa"/>
            <w:vAlign w:val="bottom"/>
            <w:shd w:val="clear" w:color="auto" w:fill="E0E3F1"/>
          </w:tcPr>
          <w:p>
            <w:pPr>
              <w:jc w:val="right"/>
              <w:spacing w:after="0"/>
              <w:rPr>
                <w:sz w:val="20"/>
                <w:szCs w:val="20"/>
                <w:color w:val="auto"/>
              </w:rPr>
            </w:pPr>
            <w:r>
              <w:rPr>
                <w:rFonts w:ascii="Arial" w:cs="Arial" w:eastAsia="Arial" w:hAnsi="Arial"/>
                <w:sz w:val="14"/>
                <w:szCs w:val="14"/>
                <w:color w:val="auto"/>
              </w:rPr>
              <w:t>1.3</w:t>
            </w:r>
          </w:p>
        </w:tc>
        <w:tc>
          <w:tcPr>
            <w:tcW w:w="140" w:type="dxa"/>
            <w:vAlign w:val="bottom"/>
            <w:shd w:val="clear" w:color="auto" w:fill="E0E3F1"/>
          </w:tcPr>
          <w:p>
            <w:pPr>
              <w:jc w:val="right"/>
              <w:spacing w:after="0"/>
              <w:rPr>
                <w:sz w:val="20"/>
                <w:szCs w:val="20"/>
                <w:color w:val="auto"/>
              </w:rPr>
            </w:pPr>
            <w:r>
              <w:rPr>
                <w:rFonts w:ascii="Arial" w:cs="Arial" w:eastAsia="Arial" w:hAnsi="Arial"/>
                <w:sz w:val="14"/>
                <w:szCs w:val="14"/>
                <w:color w:val="auto"/>
                <w:w w:val="79"/>
              </w:rPr>
              <w:t>%</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1.2 %</w:t>
            </w:r>
          </w:p>
        </w:tc>
      </w:tr>
      <w:tr>
        <w:trPr>
          <w:trHeight w:val="194"/>
        </w:trPr>
        <w:tc>
          <w:tcPr>
            <w:tcW w:w="8000" w:type="dxa"/>
            <w:vAlign w:val="bottom"/>
          </w:tcPr>
          <w:p>
            <w:pPr>
              <w:ind w:left="360"/>
              <w:spacing w:after="0"/>
              <w:rPr>
                <w:sz w:val="20"/>
                <w:szCs w:val="20"/>
                <w:color w:val="auto"/>
              </w:rPr>
            </w:pPr>
            <w:r>
              <w:rPr>
                <w:rFonts w:ascii="Arial" w:cs="Arial" w:eastAsia="Arial" w:hAnsi="Arial"/>
                <w:sz w:val="14"/>
                <w:szCs w:val="14"/>
                <w:color w:val="auto"/>
              </w:rPr>
              <w:t>Volume and product mix</w:t>
            </w:r>
          </w:p>
        </w:tc>
        <w:tc>
          <w:tcPr>
            <w:tcW w:w="380" w:type="dxa"/>
            <w:vAlign w:val="bottom"/>
          </w:tcPr>
          <w:p>
            <w:pPr>
              <w:spacing w:after="0"/>
              <w:rPr>
                <w:sz w:val="16"/>
                <w:szCs w:val="16"/>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(0.2)%</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(0.3)%</w:t>
            </w:r>
          </w:p>
        </w:tc>
      </w:tr>
      <w:tr>
        <w:trPr>
          <w:trHeight w:val="203"/>
        </w:trPr>
        <w:tc>
          <w:tcPr>
            <w:tcW w:w="8000" w:type="dxa"/>
            <w:vAlign w:val="bottom"/>
          </w:tcPr>
          <w:p>
            <w:pPr>
              <w:ind w:left="360"/>
              <w:spacing w:after="0"/>
              <w:rPr>
                <w:sz w:val="20"/>
                <w:szCs w:val="20"/>
                <w:color w:val="auto"/>
              </w:rPr>
            </w:pPr>
            <w:r>
              <w:rPr>
                <w:rFonts w:ascii="Arial" w:cs="Arial" w:eastAsia="Arial" w:hAnsi="Arial"/>
                <w:sz w:val="14"/>
                <w:szCs w:val="14"/>
                <w:color w:val="auto"/>
              </w:rPr>
              <w:t>Divestiture</w:t>
            </w:r>
          </w:p>
        </w:tc>
        <w:tc>
          <w:tcPr>
            <w:tcW w:w="38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(0.5)%</w:t>
            </w:r>
          </w:p>
        </w:tc>
      </w:tr>
      <w:tr>
        <w:trPr>
          <w:trHeight w:val="207"/>
        </w:trPr>
        <w:tc>
          <w:tcPr>
            <w:tcW w:w="8000" w:type="dxa"/>
            <w:vAlign w:val="bottom"/>
          </w:tcPr>
          <w:p>
            <w:pPr>
              <w:ind w:left="360"/>
              <w:spacing w:after="0"/>
              <w:rPr>
                <w:sz w:val="20"/>
                <w:szCs w:val="20"/>
                <w:color w:val="auto"/>
              </w:rPr>
            </w:pPr>
            <w:r>
              <w:rPr>
                <w:rFonts w:ascii="Arial" w:cs="Arial" w:eastAsia="Arial" w:hAnsi="Arial"/>
                <w:sz w:val="14"/>
                <w:szCs w:val="14"/>
                <w:color w:val="auto"/>
              </w:rPr>
              <w:t>Foreign exchange</w:t>
            </w:r>
          </w:p>
        </w:tc>
        <w:tc>
          <w:tcPr>
            <w:tcW w:w="38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(0.6)%</w:t>
            </w: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0.3 %</w:t>
            </w:r>
          </w:p>
        </w:tc>
      </w:tr>
      <w:tr>
        <w:trPr>
          <w:trHeight w:val="361"/>
        </w:trPr>
        <w:tc>
          <w:tcPr>
            <w:tcW w:w="8000" w:type="dxa"/>
            <w:vAlign w:val="bottom"/>
          </w:tcPr>
          <w:p>
            <w:pPr>
              <w:ind w:left="20"/>
              <w:spacing w:after="0"/>
              <w:rPr>
                <w:sz w:val="20"/>
                <w:szCs w:val="20"/>
                <w:color w:val="auto"/>
              </w:rPr>
            </w:pPr>
            <w:r>
              <w:rPr>
                <w:rFonts w:ascii="Arial" w:cs="Arial" w:eastAsia="Arial" w:hAnsi="Arial"/>
                <w:sz w:val="14"/>
                <w:szCs w:val="14"/>
                <w:color w:val="auto"/>
              </w:rPr>
              <w:t>Segment operating income</w:t>
            </w:r>
          </w:p>
        </w:tc>
        <w:tc>
          <w:tcPr>
            <w:tcW w:w="380" w:type="dxa"/>
            <w:vAlign w:val="bottom"/>
            <w:shd w:val="clear" w:color="auto" w:fill="E0E3F1"/>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0E3F1"/>
          </w:tcPr>
          <w:p>
            <w:pPr>
              <w:jc w:val="right"/>
              <w:spacing w:after="0"/>
              <w:rPr>
                <w:sz w:val="20"/>
                <w:szCs w:val="20"/>
                <w:color w:val="auto"/>
              </w:rPr>
            </w:pPr>
            <w:r>
              <w:rPr>
                <w:rFonts w:ascii="Arial" w:cs="Arial" w:eastAsia="Arial" w:hAnsi="Arial"/>
                <w:sz w:val="14"/>
                <w:szCs w:val="14"/>
                <w:color w:val="auto"/>
              </w:rPr>
              <w:t>359.1</w:t>
            </w:r>
          </w:p>
        </w:tc>
        <w:tc>
          <w:tcPr>
            <w:tcW w:w="140" w:type="dxa"/>
            <w:vAlign w:val="bottom"/>
            <w:shd w:val="clear" w:color="auto" w:fill="E0E3F1"/>
          </w:tcPr>
          <w:p>
            <w:pPr>
              <w:spacing w:after="0"/>
              <w:rPr>
                <w:sz w:val="24"/>
                <w:szCs w:val="24"/>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28"/>
              <w:spacing w:after="0"/>
              <w:rPr>
                <w:sz w:val="20"/>
                <w:szCs w:val="20"/>
                <w:color w:val="auto"/>
              </w:rPr>
            </w:pPr>
            <w:r>
              <w:rPr>
                <w:rFonts w:ascii="Arial" w:cs="Arial" w:eastAsia="Arial" w:hAnsi="Arial"/>
                <w:sz w:val="14"/>
                <w:szCs w:val="14"/>
                <w:color w:val="auto"/>
              </w:rPr>
              <w:t>329.5</w:t>
            </w:r>
          </w:p>
        </w:tc>
      </w:tr>
      <w:tr>
        <w:trPr>
          <w:trHeight w:val="218"/>
        </w:trPr>
        <w:tc>
          <w:tcPr>
            <w:tcW w:w="8000" w:type="dxa"/>
            <w:vAlign w:val="bottom"/>
            <w:tcBorders>
              <w:bottom w:val="single" w:sz="8" w:color="00539B"/>
            </w:tcBorders>
          </w:tcPr>
          <w:p>
            <w:pPr>
              <w:ind w:left="360"/>
              <w:spacing w:after="0"/>
              <w:rPr>
                <w:sz w:val="20"/>
                <w:szCs w:val="20"/>
                <w:color w:val="auto"/>
              </w:rPr>
            </w:pPr>
            <w:r>
              <w:rPr>
                <w:rFonts w:ascii="Arial" w:cs="Arial" w:eastAsia="Arial" w:hAnsi="Arial"/>
                <w:sz w:val="14"/>
                <w:szCs w:val="14"/>
                <w:color w:val="auto"/>
              </w:rPr>
              <w:t>Segment operating income margin</w:t>
            </w:r>
          </w:p>
        </w:tc>
        <w:tc>
          <w:tcPr>
            <w:tcW w:w="380" w:type="dxa"/>
            <w:vAlign w:val="bottom"/>
            <w:tcBorders>
              <w:bottom w:val="single" w:sz="8" w:color="00539B"/>
            </w:tcBorders>
            <w:shd w:val="clear" w:color="auto" w:fill="E0E3F1"/>
          </w:tcPr>
          <w:p>
            <w:pPr>
              <w:spacing w:after="0"/>
              <w:rPr>
                <w:sz w:val="18"/>
                <w:szCs w:val="18"/>
                <w:color w:val="auto"/>
              </w:rPr>
            </w:pPr>
          </w:p>
        </w:tc>
        <w:tc>
          <w:tcPr>
            <w:tcW w:w="108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12.4</w:t>
            </w:r>
          </w:p>
        </w:tc>
        <w:tc>
          <w:tcPr>
            <w:tcW w:w="14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w w:val="79"/>
                <w:shd w:val="clear" w:color="auto" w:fill="E0E3F1"/>
              </w:rPr>
              <w:t>%</w:t>
            </w:r>
          </w:p>
        </w:tc>
        <w:tc>
          <w:tcPr>
            <w:tcW w:w="380" w:type="dxa"/>
            <w:vAlign w:val="bottom"/>
            <w:tcBorders>
              <w:bottom w:val="single" w:sz="8" w:color="00539B"/>
            </w:tcBorders>
          </w:tcPr>
          <w:p>
            <w:pPr>
              <w:spacing w:after="0"/>
              <w:rPr>
                <w:sz w:val="18"/>
                <w:szCs w:val="18"/>
                <w:color w:val="auto"/>
              </w:rPr>
            </w:pPr>
          </w:p>
        </w:tc>
        <w:tc>
          <w:tcPr>
            <w:tcW w:w="124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11.5 %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-890905</wp:posOffset>
            </wp:positionV>
            <wp:extent cx="1020445" cy="514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20445" cy="514350"/>
                    </a:xfrm>
                    <a:prstGeom prst="rect">
                      <a:avLst/>
                    </a:prstGeom>
                    <a:noFill/>
                  </pic:spPr>
                </pic:pic>
              </a:graphicData>
            </a:graphic>
          </wp:anchor>
        </w:drawing>
      </w:r>
    </w:p>
    <w:p>
      <w:pPr>
        <w:spacing w:after="0" w:line="218"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Sales of our Flavor Solutions segment increased 0.5% in 2025 as compared to 2024 and increased by 1.1% on an organic basis. Favorable pricing increased sales by 1.3% in 2025 driven by pricing actions in the Americas region. Unfavorable volume and product mix decreased sales by 0.2% driven by the Americas and EMEA regions partially offset by growth in the APAC region. The unfavorable impact of foreign currency rates decreased sales by 0.6% and is excluded from our measure of sales growth of 1.1% on an organic basis.</w:t>
      </w:r>
    </w:p>
    <w:p>
      <w:pPr>
        <w:spacing w:after="0" w:line="122"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In the Americas region, Flavor Solutions segment sales increased by 0.5% during 2025 as compared to 2024 and increased by 1.9% on an organic basis. Favorable pricing impacted sales by 2.6%. Unfavorable volume and product mix decreased sales by 0.7%. The unfavorable impact of foreign currency rates decreased sales by 1.4% and is excluded from our measure of sales growth of 1.9% on an organic basis.</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the EMEA region, Flavor Solutions segment sales in 2025 decreased by 2.2% as compared to 2024 and decreased by 4.3% on an organic basis. Unfavorable pricing impacted sales by 2.1%. Unfavorable volume and product mix decreased segment sales by 2.2% driven by the effects of lower sales to packaged food customers. The favorable impact of foreign currency rates increased sales by 2.1% and is excluded from our measure of sales decline of 4.3% on an organic basis.</w:t>
      </w:r>
    </w:p>
    <w:p>
      <w:pPr>
        <w:spacing w:after="0" w:line="122"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In the APAC region, Flavor Solutions segment sales increased 6.2% in 2025 as compared to 2024 and increased by 6.7% on an organic basis. Unfavorable pricing impacted sales by 1.9%. Favorable volume and product mix increased sales by 8.6%, driven by growth in China. The unfavorable impact of foreign currency rates decreased sales by 0.5% and is excluded from our measure of sales growth of 6.7% on an organic basis.</w:t>
      </w:r>
    </w:p>
    <w:p>
      <w:pPr>
        <w:spacing w:after="0" w:line="12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Segment operating income for our Flavor Solutions segment increased by $29.6 million, or 9.0%, in 2025 as compared to 2024 driven by an increase in gross profit and lower SG&amp;A expense. The increase in gross profit was driven by the impacts of favorable pricing and CCI-led cost savings, partially offset by increased commodity costs including the impact of tariffs, and conversion costs including costs to support increased capacity for future growth. The decrease in SG&amp;A expense was driven primarily by lower performance-based employee compensation expense, lower distribution expense, and CCI-led cost savings, partially offset by higher selling and marketing costs. Segment operating margin increased by 90 basis points to 12.4%. On a constant currency basis, segment operating income increased by 10.7%.</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539B"/>
        </w:rPr>
        <w:t>NON-GAAP FINANCIAL MEASURES</w:t>
      </w:r>
    </w:p>
    <w:p>
      <w:pPr>
        <w:spacing w:after="0" w:line="9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following tables include financial measures of organic net sales, adjusted gross profit, adjusted gross profit margin, adjusted operating income, adjusted operating income margin, adjusted income tax expense, adjusted income tax rate, adjusted net income, and adjusted diluted earnings per share. These represent non-GAAP financial measures which are prepared as a complement to our financial results prepared in accordance with United States generally accepted accounting principles. These financial measures exclude the impact, as applicable, of the following:</w:t>
      </w:r>
    </w:p>
    <w:p>
      <w:pPr>
        <w:spacing w:after="0" w:line="58" w:lineRule="exact"/>
        <w:rPr>
          <w:sz w:val="20"/>
          <w:szCs w:val="20"/>
          <w:color w:val="auto"/>
        </w:rPr>
      </w:pPr>
    </w:p>
    <w:p>
      <w:pPr>
        <w:ind w:left="660" w:right="40" w:hanging="328"/>
        <w:spacing w:after="0" w:line="259"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Special charges – Special charges consist of expenses and income associated with certain actions undertaken by us to reduce fixed costs, simplify or improve processes, and improve our competitiveness and are of such significance in terms of both up-front costs and organizational/structural impact to require advance approval by our Management Committee. Expenses associated with the approved actions are classified as special charges upon recognition and monitored on an ongoing basis through completion. Included in special charges are transaction and integration costs incurred in conjunction with acquisitions.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2" w:right="359" w:bottom="1440" w:gutter="0" w:footer="0" w:header="0"/>
        </w:sectPr>
      </w:pPr>
    </w:p>
    <w:bookmarkStart w:id="29" w:name="page30"/>
    <w:bookmarkEnd w:id="29"/>
    <w:p>
      <w:pPr>
        <w:ind w:right="320"/>
        <w:spacing w:after="0" w:line="287" w:lineRule="auto"/>
        <w:rPr>
          <w:sz w:val="20"/>
          <w:szCs w:val="20"/>
          <w:color w:val="auto"/>
        </w:rPr>
      </w:pPr>
      <w:r>
        <w:rPr>
          <w:rFonts w:ascii="Arial" w:cs="Arial" w:eastAsia="Arial" w:hAnsi="Arial"/>
          <w:sz w:val="18"/>
          <w:szCs w:val="18"/>
          <w:color w:val="auto"/>
        </w:rPr>
        <w:t>Details with respect to the composition of special charges, including transaction and integration expenses, set forth below are included in Note 2 of the notes to our accompanying consolidated financial statements.</w:t>
      </w:r>
    </w:p>
    <w:p>
      <w:pPr>
        <w:spacing w:after="0" w:line="18"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We believe that these non-GAAP financial measures are important. The exclusion of the items noted above provides additional information that enables enhanced comparisons to prior periods and, accordingly, facilitates the development of future projections and earnings growth prospects. This information is also used by management to measure the profitability of our ongoing operations and analyze our business performance and trends.</w:t>
      </w:r>
    </w:p>
    <w:p>
      <w:pPr>
        <w:spacing w:after="0" w:line="12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These non-GAAP financial measures may be considered in addition to results prepared in accordance with GAAP; however, they should not be viewed as a substitute for, or superior to, GAAP results. Furthermore, these non-GAAP financial measures may not be comparable to similarly titled measures of other companies, as they may calculate them differently than we do. We intend to continue providing these non-GAAP financial measures as part of our future earnings discussions, ensuring consistency in our financial reporting.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these non-GAAP financial measures to GAAP financial results is provided below:</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320" w:type="dxa"/>
            <w:vAlign w:val="bottom"/>
            <w:tcBorders>
              <w:top w:val="single" w:sz="8" w:color="00539B"/>
              <w:bottom w:val="single" w:sz="8" w:color="00539B"/>
            </w:tcBorders>
          </w:tcPr>
          <w:p>
            <w:pPr>
              <w:spacing w:after="0"/>
              <w:rPr>
                <w:sz w:val="20"/>
                <w:szCs w:val="20"/>
                <w:color w:val="auto"/>
              </w:rPr>
            </w:pPr>
          </w:p>
        </w:tc>
        <w:tc>
          <w:tcPr>
            <w:tcW w:w="380" w:type="dxa"/>
            <w:vAlign w:val="bottom"/>
            <w:tcBorders>
              <w:top w:val="single" w:sz="8" w:color="00539B"/>
              <w:bottom w:val="single" w:sz="8" w:color="00539B"/>
            </w:tcBorders>
            <w:shd w:val="clear" w:color="auto" w:fill="E0E3F1"/>
          </w:tcPr>
          <w:p>
            <w:pPr>
              <w:spacing w:after="0"/>
              <w:rPr>
                <w:sz w:val="20"/>
                <w:szCs w:val="20"/>
                <w:color w:val="auto"/>
              </w:rPr>
            </w:pPr>
          </w:p>
        </w:tc>
        <w:tc>
          <w:tcPr>
            <w:tcW w:w="1080" w:type="dxa"/>
            <w:vAlign w:val="bottom"/>
            <w:tcBorders>
              <w:top w:val="single" w:sz="8" w:color="00539B"/>
              <w:bottom w:val="single" w:sz="8" w:color="00539B"/>
            </w:tcBorders>
            <w:shd w:val="clear" w:color="auto" w:fill="E0E3F1"/>
          </w:tcPr>
          <w:p>
            <w:pPr>
              <w:jc w:val="right"/>
              <w:ind w:right="428"/>
              <w:spacing w:after="0"/>
              <w:rPr>
                <w:sz w:val="20"/>
                <w:szCs w:val="20"/>
                <w:color w:val="auto"/>
              </w:rPr>
            </w:pPr>
            <w:r>
              <w:rPr>
                <w:rFonts w:ascii="Arial" w:cs="Arial" w:eastAsia="Arial" w:hAnsi="Arial"/>
                <w:sz w:val="14"/>
                <w:szCs w:val="14"/>
                <w:color w:val="auto"/>
              </w:rPr>
              <w:t>2025</w:t>
            </w:r>
          </w:p>
        </w:tc>
        <w:tc>
          <w:tcPr>
            <w:tcW w:w="160" w:type="dxa"/>
            <w:vAlign w:val="bottom"/>
            <w:tcBorders>
              <w:top w:val="single" w:sz="8" w:color="00539B"/>
              <w:bottom w:val="single" w:sz="8" w:color="00539B"/>
            </w:tcBorders>
            <w:shd w:val="clear" w:color="auto" w:fill="E0E3F1"/>
          </w:tcPr>
          <w:p>
            <w:pPr>
              <w:spacing w:after="0"/>
              <w:rPr>
                <w:sz w:val="20"/>
                <w:szCs w:val="20"/>
                <w:color w:val="auto"/>
              </w:rPr>
            </w:pPr>
          </w:p>
        </w:tc>
        <w:tc>
          <w:tcPr>
            <w:tcW w:w="360" w:type="dxa"/>
            <w:vAlign w:val="bottom"/>
            <w:tcBorders>
              <w:top w:val="single" w:sz="8" w:color="00539B"/>
              <w:bottom w:val="single" w:sz="8" w:color="00539B"/>
            </w:tcBorders>
          </w:tcPr>
          <w:p>
            <w:pPr>
              <w:spacing w:after="0"/>
              <w:rPr>
                <w:sz w:val="20"/>
                <w:szCs w:val="20"/>
                <w:color w:val="auto"/>
              </w:rPr>
            </w:pPr>
          </w:p>
        </w:tc>
        <w:tc>
          <w:tcPr>
            <w:tcW w:w="1260" w:type="dxa"/>
            <w:vAlign w:val="bottom"/>
            <w:tcBorders>
              <w:top w:val="single" w:sz="8" w:color="00539B"/>
              <w:bottom w:val="single" w:sz="8" w:color="00539B"/>
            </w:tcBorders>
          </w:tcPr>
          <w:p>
            <w:pPr>
              <w:jc w:val="right"/>
              <w:ind w:right="588"/>
              <w:spacing w:after="0"/>
              <w:rPr>
                <w:sz w:val="20"/>
                <w:szCs w:val="20"/>
                <w:color w:val="auto"/>
              </w:rPr>
            </w:pPr>
            <w:r>
              <w:rPr>
                <w:rFonts w:ascii="Arial" w:cs="Arial" w:eastAsia="Arial" w:hAnsi="Arial"/>
                <w:sz w:val="14"/>
                <w:szCs w:val="14"/>
                <w:color w:val="auto"/>
              </w:rPr>
              <w:t>2024</w:t>
            </w:r>
          </w:p>
        </w:tc>
        <w:tc>
          <w:tcPr>
            <w:tcW w:w="380" w:type="dxa"/>
            <w:vAlign w:val="bottom"/>
            <w:tcBorders>
              <w:top w:val="single" w:sz="8" w:color="00539B"/>
              <w:bottom w:val="single" w:sz="8" w:color="00539B"/>
            </w:tcBorders>
          </w:tcPr>
          <w:p>
            <w:pPr>
              <w:spacing w:after="0"/>
              <w:rPr>
                <w:sz w:val="20"/>
                <w:szCs w:val="20"/>
                <w:color w:val="auto"/>
              </w:rPr>
            </w:pPr>
          </w:p>
        </w:tc>
        <w:tc>
          <w:tcPr>
            <w:tcW w:w="1260" w:type="dxa"/>
            <w:vAlign w:val="bottom"/>
            <w:tcBorders>
              <w:top w:val="single" w:sz="8" w:color="00539B"/>
              <w:bottom w:val="single" w:sz="8" w:color="00539B"/>
            </w:tcBorders>
          </w:tcPr>
          <w:p>
            <w:pPr>
              <w:jc w:val="right"/>
              <w:ind w:right="588"/>
              <w:spacing w:after="0"/>
              <w:rPr>
                <w:sz w:val="20"/>
                <w:szCs w:val="20"/>
                <w:color w:val="auto"/>
              </w:rPr>
            </w:pPr>
            <w:r>
              <w:rPr>
                <w:rFonts w:ascii="Arial" w:cs="Arial" w:eastAsia="Arial" w:hAnsi="Arial"/>
                <w:sz w:val="14"/>
                <w:szCs w:val="14"/>
                <w:color w:val="auto"/>
              </w:rPr>
              <w:t>2023</w:t>
            </w:r>
          </w:p>
        </w:tc>
      </w:tr>
      <w:tr>
        <w:trPr>
          <w:trHeight w:val="194"/>
        </w:trPr>
        <w:tc>
          <w:tcPr>
            <w:tcW w:w="6320" w:type="dxa"/>
            <w:vAlign w:val="bottom"/>
          </w:tcPr>
          <w:p>
            <w:pPr>
              <w:ind w:left="20"/>
              <w:spacing w:after="0"/>
              <w:rPr>
                <w:sz w:val="20"/>
                <w:szCs w:val="20"/>
                <w:color w:val="auto"/>
              </w:rPr>
            </w:pPr>
            <w:r>
              <w:rPr>
                <w:rFonts w:ascii="Arial" w:cs="Arial" w:eastAsia="Arial" w:hAnsi="Arial"/>
                <w:sz w:val="14"/>
                <w:szCs w:val="14"/>
                <w:color w:val="auto"/>
              </w:rPr>
              <w:t>Gross profit</w:t>
            </w:r>
          </w:p>
        </w:tc>
        <w:tc>
          <w:tcPr>
            <w:tcW w:w="380" w:type="dxa"/>
            <w:vAlign w:val="bottom"/>
            <w:shd w:val="clear" w:color="auto" w:fill="E0E3F1"/>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0E3F1"/>
          </w:tcPr>
          <w:p>
            <w:pPr>
              <w:jc w:val="right"/>
              <w:spacing w:after="0"/>
              <w:rPr>
                <w:sz w:val="20"/>
                <w:szCs w:val="20"/>
                <w:color w:val="auto"/>
              </w:rPr>
            </w:pPr>
            <w:r>
              <w:rPr>
                <w:rFonts w:ascii="Arial" w:cs="Arial" w:eastAsia="Arial" w:hAnsi="Arial"/>
                <w:sz w:val="14"/>
                <w:szCs w:val="14"/>
                <w:color w:val="auto"/>
              </w:rPr>
              <w:t>2,592.2</w:t>
            </w:r>
          </w:p>
        </w:tc>
        <w:tc>
          <w:tcPr>
            <w:tcW w:w="160" w:type="dxa"/>
            <w:vAlign w:val="bottom"/>
            <w:shd w:val="clear" w:color="auto" w:fill="E0E3F1"/>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2,591.0</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2,502.5</w:t>
            </w:r>
          </w:p>
        </w:tc>
      </w:tr>
      <w:tr>
        <w:trPr>
          <w:trHeight w:val="207"/>
        </w:trPr>
        <w:tc>
          <w:tcPr>
            <w:tcW w:w="632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Impact of special charges included in cost of goods sold</w:t>
            </w:r>
          </w:p>
        </w:tc>
        <w:tc>
          <w:tcPr>
            <w:tcW w:w="380" w:type="dxa"/>
            <w:vAlign w:val="bottom"/>
            <w:tcBorders>
              <w:bottom w:val="single" w:sz="8" w:color="00539B"/>
            </w:tcBorders>
            <w:shd w:val="clear" w:color="auto" w:fill="E0E3F1"/>
          </w:tcPr>
          <w:p>
            <w:pPr>
              <w:spacing w:after="0"/>
              <w:rPr>
                <w:sz w:val="17"/>
                <w:szCs w:val="17"/>
                <w:color w:val="auto"/>
              </w:rPr>
            </w:pPr>
          </w:p>
        </w:tc>
        <w:tc>
          <w:tcPr>
            <w:tcW w:w="108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2.1</w:t>
            </w:r>
          </w:p>
        </w:tc>
        <w:tc>
          <w:tcPr>
            <w:tcW w:w="160" w:type="dxa"/>
            <w:vAlign w:val="bottom"/>
            <w:tcBorders>
              <w:bottom w:val="single" w:sz="8" w:color="00539B"/>
            </w:tcBorders>
            <w:shd w:val="clear" w:color="auto" w:fill="E0E3F1"/>
          </w:tcPr>
          <w:p>
            <w:pPr>
              <w:spacing w:after="0"/>
              <w:rPr>
                <w:sz w:val="17"/>
                <w:szCs w:val="17"/>
                <w:color w:val="auto"/>
              </w:rPr>
            </w:pPr>
          </w:p>
        </w:tc>
        <w:tc>
          <w:tcPr>
            <w:tcW w:w="360" w:type="dxa"/>
            <w:vAlign w:val="bottom"/>
            <w:tcBorders>
              <w:bottom w:val="single" w:sz="8" w:color="00539B"/>
            </w:tcBorders>
          </w:tcPr>
          <w:p>
            <w:pPr>
              <w:spacing w:after="0"/>
              <w:rPr>
                <w:sz w:val="17"/>
                <w:szCs w:val="17"/>
                <w:color w:val="auto"/>
              </w:rPr>
            </w:pPr>
          </w:p>
        </w:tc>
        <w:tc>
          <w:tcPr>
            <w:tcW w:w="1260" w:type="dxa"/>
            <w:vAlign w:val="bottom"/>
            <w:tcBorders>
              <w:bottom w:val="single" w:sz="8" w:color="00539B"/>
            </w:tcBorders>
          </w:tcPr>
          <w:p>
            <w:pPr>
              <w:jc w:val="right"/>
              <w:ind w:right="12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00539B"/>
            </w:tcBorders>
          </w:tcPr>
          <w:p>
            <w:pPr>
              <w:spacing w:after="0"/>
              <w:rPr>
                <w:sz w:val="17"/>
                <w:szCs w:val="17"/>
                <w:color w:val="auto"/>
              </w:rPr>
            </w:pPr>
          </w:p>
        </w:tc>
        <w:tc>
          <w:tcPr>
            <w:tcW w:w="1260" w:type="dxa"/>
            <w:vAlign w:val="bottom"/>
            <w:tcBorders>
              <w:bottom w:val="single" w:sz="8" w:color="00539B"/>
            </w:tcBorders>
          </w:tcPr>
          <w:p>
            <w:pPr>
              <w:jc w:val="right"/>
              <w:ind w:right="108"/>
              <w:spacing w:after="0"/>
              <w:rPr>
                <w:sz w:val="20"/>
                <w:szCs w:val="20"/>
                <w:color w:val="auto"/>
              </w:rPr>
            </w:pPr>
            <w:r>
              <w:rPr>
                <w:rFonts w:ascii="Arial" w:cs="Arial" w:eastAsia="Arial" w:hAnsi="Arial"/>
                <w:sz w:val="14"/>
                <w:szCs w:val="14"/>
                <w:color w:val="auto"/>
              </w:rPr>
              <w:t>—</w:t>
            </w:r>
          </w:p>
        </w:tc>
      </w:tr>
      <w:tr>
        <w:trPr>
          <w:trHeight w:val="196"/>
        </w:trPr>
        <w:tc>
          <w:tcPr>
            <w:tcW w:w="632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Adjusted gross profit</w:t>
            </w:r>
          </w:p>
        </w:tc>
        <w:tc>
          <w:tcPr>
            <w:tcW w:w="380" w:type="dxa"/>
            <w:vAlign w:val="bottom"/>
            <w:tcBorders>
              <w:bottom w:val="single" w:sz="8" w:color="00539B"/>
            </w:tcBorders>
            <w:shd w:val="clear" w:color="auto" w:fill="E0E3F1"/>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2,594.3</w:t>
            </w:r>
          </w:p>
        </w:tc>
        <w:tc>
          <w:tcPr>
            <w:tcW w:w="160" w:type="dxa"/>
            <w:vAlign w:val="bottom"/>
            <w:tcBorders>
              <w:bottom w:val="single" w:sz="8" w:color="00539B"/>
            </w:tcBorders>
            <w:shd w:val="clear" w:color="auto" w:fill="E0E3F1"/>
          </w:tcPr>
          <w:p>
            <w:pPr>
              <w:spacing w:after="0"/>
              <w:rPr>
                <w:sz w:val="17"/>
                <w:szCs w:val="17"/>
                <w:color w:val="auto"/>
              </w:rPr>
            </w:pPr>
          </w:p>
        </w:tc>
        <w:tc>
          <w:tcPr>
            <w:tcW w:w="360" w:type="dxa"/>
            <w:vAlign w:val="bottom"/>
            <w:tcBorders>
              <w:bottom w:val="single" w:sz="8" w:color="00539B"/>
            </w:tcBorders>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00539B"/>
            </w:tcBorders>
          </w:tcPr>
          <w:p>
            <w:pPr>
              <w:jc w:val="right"/>
              <w:ind w:right="128"/>
              <w:spacing w:after="0"/>
              <w:rPr>
                <w:sz w:val="20"/>
                <w:szCs w:val="20"/>
                <w:color w:val="auto"/>
              </w:rPr>
            </w:pPr>
            <w:r>
              <w:rPr>
                <w:rFonts w:ascii="Arial" w:cs="Arial" w:eastAsia="Arial" w:hAnsi="Arial"/>
                <w:sz w:val="14"/>
                <w:szCs w:val="14"/>
                <w:color w:val="auto"/>
              </w:rPr>
              <w:t>2,591.0</w:t>
            </w:r>
          </w:p>
        </w:tc>
        <w:tc>
          <w:tcPr>
            <w:tcW w:w="380" w:type="dxa"/>
            <w:vAlign w:val="bottom"/>
            <w:tcBorders>
              <w:bottom w:val="single" w:sz="8" w:color="00539B"/>
            </w:tcBorders>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00539B"/>
            </w:tcBorders>
          </w:tcPr>
          <w:p>
            <w:pPr>
              <w:jc w:val="right"/>
              <w:ind w:right="108"/>
              <w:spacing w:after="0"/>
              <w:rPr>
                <w:sz w:val="20"/>
                <w:szCs w:val="20"/>
                <w:color w:val="auto"/>
              </w:rPr>
            </w:pPr>
            <w:r>
              <w:rPr>
                <w:rFonts w:ascii="Arial" w:cs="Arial" w:eastAsia="Arial" w:hAnsi="Arial"/>
                <w:sz w:val="14"/>
                <w:szCs w:val="14"/>
                <w:color w:val="auto"/>
              </w:rPr>
              <w:t>2,502.5</w:t>
            </w:r>
          </w:p>
        </w:tc>
      </w:tr>
      <w:tr>
        <w:trPr>
          <w:trHeight w:val="192"/>
        </w:trPr>
        <w:tc>
          <w:tcPr>
            <w:tcW w:w="6320" w:type="dxa"/>
            <w:vAlign w:val="bottom"/>
          </w:tcPr>
          <w:p>
            <w:pPr>
              <w:ind w:left="20"/>
              <w:spacing w:after="0"/>
              <w:rPr>
                <w:sz w:val="20"/>
                <w:szCs w:val="20"/>
                <w:color w:val="auto"/>
              </w:rPr>
            </w:pPr>
            <w:r>
              <w:rPr>
                <w:rFonts w:ascii="Arial" w:cs="Arial" w:eastAsia="Arial" w:hAnsi="Arial"/>
                <w:sz w:val="14"/>
                <w:szCs w:val="14"/>
                <w:color w:val="auto"/>
              </w:rPr>
              <w:t>Gross profit margin</w:t>
            </w:r>
            <w:r>
              <w:rPr>
                <w:rFonts w:ascii="Arial" w:cs="Arial" w:eastAsia="Arial" w:hAnsi="Arial"/>
                <w:sz w:val="9"/>
                <w:szCs w:val="9"/>
                <w:color w:val="auto"/>
              </w:rPr>
              <w:t>(1)</w:t>
            </w:r>
          </w:p>
        </w:tc>
        <w:tc>
          <w:tcPr>
            <w:tcW w:w="380" w:type="dxa"/>
            <w:vAlign w:val="bottom"/>
            <w:shd w:val="clear" w:color="auto" w:fill="E0E3F1"/>
          </w:tcPr>
          <w:p>
            <w:pPr>
              <w:spacing w:after="0"/>
              <w:rPr>
                <w:sz w:val="16"/>
                <w:szCs w:val="16"/>
                <w:color w:val="auto"/>
              </w:rPr>
            </w:pPr>
          </w:p>
        </w:tc>
        <w:tc>
          <w:tcPr>
            <w:tcW w:w="1080" w:type="dxa"/>
            <w:vAlign w:val="bottom"/>
            <w:shd w:val="clear" w:color="auto" w:fill="E0E3F1"/>
          </w:tcPr>
          <w:p>
            <w:pPr>
              <w:jc w:val="right"/>
              <w:spacing w:after="0"/>
              <w:rPr>
                <w:sz w:val="20"/>
                <w:szCs w:val="20"/>
                <w:color w:val="auto"/>
              </w:rPr>
            </w:pPr>
            <w:r>
              <w:rPr>
                <w:rFonts w:ascii="Arial" w:cs="Arial" w:eastAsia="Arial" w:hAnsi="Arial"/>
                <w:sz w:val="14"/>
                <w:szCs w:val="14"/>
                <w:color w:val="auto"/>
              </w:rPr>
              <w:t>37.9</w:t>
            </w:r>
          </w:p>
        </w:tc>
        <w:tc>
          <w:tcPr>
            <w:tcW w:w="160" w:type="dxa"/>
            <w:vAlign w:val="bottom"/>
            <w:shd w:val="clear" w:color="auto" w:fill="E0E3F1"/>
          </w:tcPr>
          <w:p>
            <w:pPr>
              <w:jc w:val="right"/>
              <w:spacing w:after="0"/>
              <w:rPr>
                <w:sz w:val="20"/>
                <w:szCs w:val="20"/>
                <w:color w:val="auto"/>
              </w:rPr>
            </w:pPr>
            <w:r>
              <w:rPr>
                <w:rFonts w:ascii="Arial" w:cs="Arial" w:eastAsia="Arial" w:hAnsi="Arial"/>
                <w:sz w:val="14"/>
                <w:szCs w:val="14"/>
                <w:color w:val="auto"/>
                <w:w w:val="96"/>
              </w:rPr>
              <w:t>%</w:t>
            </w:r>
          </w:p>
        </w:tc>
        <w:tc>
          <w:tcPr>
            <w:tcW w:w="3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38.5 %</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37.6 %</w:t>
            </w:r>
          </w:p>
        </w:tc>
      </w:tr>
      <w:tr>
        <w:trPr>
          <w:trHeight w:val="207"/>
        </w:trPr>
        <w:tc>
          <w:tcPr>
            <w:tcW w:w="632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Impact of special charges</w:t>
            </w:r>
            <w:r>
              <w:rPr>
                <w:rFonts w:ascii="Arial" w:cs="Arial" w:eastAsia="Arial" w:hAnsi="Arial"/>
                <w:sz w:val="9"/>
                <w:szCs w:val="9"/>
                <w:color w:val="auto"/>
              </w:rPr>
              <w:t>(1)</w:t>
            </w:r>
          </w:p>
        </w:tc>
        <w:tc>
          <w:tcPr>
            <w:tcW w:w="380" w:type="dxa"/>
            <w:vAlign w:val="bottom"/>
            <w:tcBorders>
              <w:bottom w:val="single" w:sz="8" w:color="00539B"/>
            </w:tcBorders>
            <w:shd w:val="clear" w:color="auto" w:fill="E0E3F1"/>
          </w:tcPr>
          <w:p>
            <w:pPr>
              <w:spacing w:after="0"/>
              <w:rPr>
                <w:sz w:val="17"/>
                <w:szCs w:val="17"/>
                <w:color w:val="auto"/>
              </w:rPr>
            </w:pPr>
          </w:p>
        </w:tc>
        <w:tc>
          <w:tcPr>
            <w:tcW w:w="108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w w:val="96"/>
              </w:rPr>
              <w:t>%</w:t>
            </w:r>
          </w:p>
        </w:tc>
        <w:tc>
          <w:tcPr>
            <w:tcW w:w="360" w:type="dxa"/>
            <w:vAlign w:val="bottom"/>
            <w:tcBorders>
              <w:bottom w:val="single" w:sz="8" w:color="00539B"/>
            </w:tcBorders>
          </w:tcPr>
          <w:p>
            <w:pPr>
              <w:spacing w:after="0"/>
              <w:rPr>
                <w:sz w:val="17"/>
                <w:szCs w:val="17"/>
                <w:color w:val="auto"/>
              </w:rPr>
            </w:pPr>
          </w:p>
        </w:tc>
        <w:tc>
          <w:tcPr>
            <w:tcW w:w="126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 %</w:t>
            </w:r>
          </w:p>
        </w:tc>
        <w:tc>
          <w:tcPr>
            <w:tcW w:w="380" w:type="dxa"/>
            <w:vAlign w:val="bottom"/>
            <w:tcBorders>
              <w:bottom w:val="single" w:sz="8" w:color="00539B"/>
            </w:tcBorders>
          </w:tcPr>
          <w:p>
            <w:pPr>
              <w:spacing w:after="0"/>
              <w:rPr>
                <w:sz w:val="17"/>
                <w:szCs w:val="17"/>
                <w:color w:val="auto"/>
              </w:rPr>
            </w:pPr>
          </w:p>
        </w:tc>
        <w:tc>
          <w:tcPr>
            <w:tcW w:w="126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 %</w:t>
            </w:r>
          </w:p>
        </w:tc>
      </w:tr>
      <w:tr>
        <w:trPr>
          <w:trHeight w:val="207"/>
        </w:trPr>
        <w:tc>
          <w:tcPr>
            <w:tcW w:w="632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Adjusted gross profit margin</w:t>
            </w:r>
            <w:r>
              <w:rPr>
                <w:rFonts w:ascii="Arial" w:cs="Arial" w:eastAsia="Arial" w:hAnsi="Arial"/>
                <w:sz w:val="9"/>
                <w:szCs w:val="9"/>
                <w:color w:val="auto"/>
              </w:rPr>
              <w:t>(1)</w:t>
            </w:r>
          </w:p>
        </w:tc>
        <w:tc>
          <w:tcPr>
            <w:tcW w:w="380" w:type="dxa"/>
            <w:vAlign w:val="bottom"/>
            <w:tcBorders>
              <w:bottom w:val="single" w:sz="8" w:color="00539B"/>
            </w:tcBorders>
            <w:shd w:val="clear" w:color="auto" w:fill="E0E3F1"/>
          </w:tcPr>
          <w:p>
            <w:pPr>
              <w:spacing w:after="0"/>
              <w:rPr>
                <w:sz w:val="18"/>
                <w:szCs w:val="18"/>
                <w:color w:val="auto"/>
              </w:rPr>
            </w:pPr>
          </w:p>
        </w:tc>
        <w:tc>
          <w:tcPr>
            <w:tcW w:w="108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37.9</w:t>
            </w:r>
          </w:p>
        </w:tc>
        <w:tc>
          <w:tcPr>
            <w:tcW w:w="16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w w:val="96"/>
              </w:rPr>
              <w:t>%</w:t>
            </w:r>
          </w:p>
        </w:tc>
        <w:tc>
          <w:tcPr>
            <w:tcW w:w="360" w:type="dxa"/>
            <w:vAlign w:val="bottom"/>
            <w:tcBorders>
              <w:bottom w:val="single" w:sz="8" w:color="00539B"/>
            </w:tcBorders>
          </w:tcPr>
          <w:p>
            <w:pPr>
              <w:spacing w:after="0"/>
              <w:rPr>
                <w:sz w:val="18"/>
                <w:szCs w:val="18"/>
                <w:color w:val="auto"/>
              </w:rPr>
            </w:pPr>
          </w:p>
        </w:tc>
        <w:tc>
          <w:tcPr>
            <w:tcW w:w="126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38.5 %</w:t>
            </w:r>
          </w:p>
        </w:tc>
        <w:tc>
          <w:tcPr>
            <w:tcW w:w="380" w:type="dxa"/>
            <w:vAlign w:val="bottom"/>
            <w:tcBorders>
              <w:bottom w:val="single" w:sz="8" w:color="00539B"/>
            </w:tcBorders>
          </w:tcPr>
          <w:p>
            <w:pPr>
              <w:spacing w:after="0"/>
              <w:rPr>
                <w:sz w:val="18"/>
                <w:szCs w:val="18"/>
                <w:color w:val="auto"/>
              </w:rPr>
            </w:pPr>
          </w:p>
        </w:tc>
        <w:tc>
          <w:tcPr>
            <w:tcW w:w="126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37.6 %</w:t>
            </w:r>
          </w:p>
        </w:tc>
      </w:tr>
      <w:tr>
        <w:trPr>
          <w:trHeight w:val="397"/>
        </w:trPr>
        <w:tc>
          <w:tcPr>
            <w:tcW w:w="6320" w:type="dxa"/>
            <w:vAlign w:val="bottom"/>
          </w:tcPr>
          <w:p>
            <w:pPr>
              <w:ind w:left="20"/>
              <w:spacing w:after="0"/>
              <w:rPr>
                <w:sz w:val="20"/>
                <w:szCs w:val="20"/>
                <w:color w:val="auto"/>
              </w:rPr>
            </w:pPr>
            <w:r>
              <w:rPr>
                <w:rFonts w:ascii="Arial" w:cs="Arial" w:eastAsia="Arial" w:hAnsi="Arial"/>
                <w:sz w:val="14"/>
                <w:szCs w:val="14"/>
                <w:color w:val="auto"/>
              </w:rPr>
              <w:t>Operating income</w:t>
            </w:r>
          </w:p>
        </w:tc>
        <w:tc>
          <w:tcPr>
            <w:tcW w:w="380" w:type="dxa"/>
            <w:vAlign w:val="bottom"/>
            <w:shd w:val="clear" w:color="auto" w:fill="E0E3F1"/>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0E3F1"/>
          </w:tcPr>
          <w:p>
            <w:pPr>
              <w:jc w:val="right"/>
              <w:spacing w:after="0"/>
              <w:rPr>
                <w:sz w:val="20"/>
                <w:szCs w:val="20"/>
                <w:color w:val="auto"/>
              </w:rPr>
            </w:pPr>
            <w:r>
              <w:rPr>
                <w:rFonts w:ascii="Arial" w:cs="Arial" w:eastAsia="Arial" w:hAnsi="Arial"/>
                <w:sz w:val="14"/>
                <w:szCs w:val="14"/>
                <w:color w:val="auto"/>
              </w:rPr>
              <w:t>1,070.8</w:t>
            </w:r>
          </w:p>
        </w:tc>
        <w:tc>
          <w:tcPr>
            <w:tcW w:w="160" w:type="dxa"/>
            <w:vAlign w:val="bottom"/>
            <w:shd w:val="clear" w:color="auto" w:fill="E0E3F1"/>
          </w:tcPr>
          <w:p>
            <w:pPr>
              <w:spacing w:after="0"/>
              <w:rPr>
                <w:sz w:val="24"/>
                <w:szCs w:val="24"/>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1,060.3</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963.0</w:t>
            </w:r>
          </w:p>
        </w:tc>
      </w:tr>
      <w:tr>
        <w:trPr>
          <w:trHeight w:val="207"/>
        </w:trPr>
        <w:tc>
          <w:tcPr>
            <w:tcW w:w="632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Impact of special charges</w:t>
            </w:r>
          </w:p>
        </w:tc>
        <w:tc>
          <w:tcPr>
            <w:tcW w:w="380" w:type="dxa"/>
            <w:vAlign w:val="bottom"/>
            <w:tcBorders>
              <w:bottom w:val="single" w:sz="8" w:color="00539B"/>
            </w:tcBorders>
            <w:shd w:val="clear" w:color="auto" w:fill="E0E3F1"/>
          </w:tcPr>
          <w:p>
            <w:pPr>
              <w:spacing w:after="0"/>
              <w:rPr>
                <w:sz w:val="17"/>
                <w:szCs w:val="17"/>
                <w:color w:val="auto"/>
              </w:rPr>
            </w:pPr>
          </w:p>
        </w:tc>
        <w:tc>
          <w:tcPr>
            <w:tcW w:w="108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23.2</w:t>
            </w:r>
          </w:p>
        </w:tc>
        <w:tc>
          <w:tcPr>
            <w:tcW w:w="160" w:type="dxa"/>
            <w:vAlign w:val="bottom"/>
            <w:tcBorders>
              <w:bottom w:val="single" w:sz="8" w:color="00539B"/>
            </w:tcBorders>
            <w:shd w:val="clear" w:color="auto" w:fill="E0E3F1"/>
          </w:tcPr>
          <w:p>
            <w:pPr>
              <w:spacing w:after="0"/>
              <w:rPr>
                <w:sz w:val="17"/>
                <w:szCs w:val="17"/>
                <w:color w:val="auto"/>
              </w:rPr>
            </w:pPr>
          </w:p>
        </w:tc>
        <w:tc>
          <w:tcPr>
            <w:tcW w:w="360" w:type="dxa"/>
            <w:vAlign w:val="bottom"/>
            <w:tcBorders>
              <w:bottom w:val="single" w:sz="8" w:color="00539B"/>
            </w:tcBorders>
          </w:tcPr>
          <w:p>
            <w:pPr>
              <w:spacing w:after="0"/>
              <w:rPr>
                <w:sz w:val="17"/>
                <w:szCs w:val="17"/>
                <w:color w:val="auto"/>
              </w:rPr>
            </w:pPr>
          </w:p>
        </w:tc>
        <w:tc>
          <w:tcPr>
            <w:tcW w:w="1260" w:type="dxa"/>
            <w:vAlign w:val="bottom"/>
            <w:tcBorders>
              <w:bottom w:val="single" w:sz="8" w:color="00539B"/>
            </w:tcBorders>
          </w:tcPr>
          <w:p>
            <w:pPr>
              <w:jc w:val="right"/>
              <w:ind w:right="128"/>
              <w:spacing w:after="0"/>
              <w:rPr>
                <w:sz w:val="20"/>
                <w:szCs w:val="20"/>
                <w:color w:val="auto"/>
              </w:rPr>
            </w:pPr>
            <w:r>
              <w:rPr>
                <w:rFonts w:ascii="Arial" w:cs="Arial" w:eastAsia="Arial" w:hAnsi="Arial"/>
                <w:sz w:val="14"/>
                <w:szCs w:val="14"/>
                <w:color w:val="auto"/>
              </w:rPr>
              <w:t>9.5</w:t>
            </w:r>
          </w:p>
        </w:tc>
        <w:tc>
          <w:tcPr>
            <w:tcW w:w="380" w:type="dxa"/>
            <w:vAlign w:val="bottom"/>
            <w:tcBorders>
              <w:bottom w:val="single" w:sz="8" w:color="00539B"/>
            </w:tcBorders>
          </w:tcPr>
          <w:p>
            <w:pPr>
              <w:spacing w:after="0"/>
              <w:rPr>
                <w:sz w:val="17"/>
                <w:szCs w:val="17"/>
                <w:color w:val="auto"/>
              </w:rPr>
            </w:pPr>
          </w:p>
        </w:tc>
        <w:tc>
          <w:tcPr>
            <w:tcW w:w="1260" w:type="dxa"/>
            <w:vAlign w:val="bottom"/>
            <w:tcBorders>
              <w:bottom w:val="single" w:sz="8" w:color="00539B"/>
            </w:tcBorders>
          </w:tcPr>
          <w:p>
            <w:pPr>
              <w:jc w:val="right"/>
              <w:ind w:right="108"/>
              <w:spacing w:after="0"/>
              <w:rPr>
                <w:sz w:val="20"/>
                <w:szCs w:val="20"/>
                <w:color w:val="auto"/>
              </w:rPr>
            </w:pPr>
            <w:r>
              <w:rPr>
                <w:rFonts w:ascii="Arial" w:cs="Arial" w:eastAsia="Arial" w:hAnsi="Arial"/>
                <w:sz w:val="14"/>
                <w:szCs w:val="14"/>
                <w:color w:val="auto"/>
              </w:rPr>
              <w:t>61.2</w:t>
            </w:r>
          </w:p>
        </w:tc>
      </w:tr>
      <w:tr>
        <w:trPr>
          <w:trHeight w:val="196"/>
        </w:trPr>
        <w:tc>
          <w:tcPr>
            <w:tcW w:w="632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Adjusted operating income</w:t>
            </w:r>
          </w:p>
        </w:tc>
        <w:tc>
          <w:tcPr>
            <w:tcW w:w="380" w:type="dxa"/>
            <w:vAlign w:val="bottom"/>
            <w:tcBorders>
              <w:bottom w:val="single" w:sz="8" w:color="00539B"/>
            </w:tcBorders>
            <w:shd w:val="clear" w:color="auto" w:fill="E0E3F1"/>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1,094.0</w:t>
            </w:r>
          </w:p>
        </w:tc>
        <w:tc>
          <w:tcPr>
            <w:tcW w:w="160" w:type="dxa"/>
            <w:vAlign w:val="bottom"/>
            <w:tcBorders>
              <w:bottom w:val="single" w:sz="8" w:color="00539B"/>
            </w:tcBorders>
            <w:shd w:val="clear" w:color="auto" w:fill="E0E3F1"/>
          </w:tcPr>
          <w:p>
            <w:pPr>
              <w:spacing w:after="0"/>
              <w:rPr>
                <w:sz w:val="17"/>
                <w:szCs w:val="17"/>
                <w:color w:val="auto"/>
              </w:rPr>
            </w:pPr>
          </w:p>
        </w:tc>
        <w:tc>
          <w:tcPr>
            <w:tcW w:w="360" w:type="dxa"/>
            <w:vAlign w:val="bottom"/>
            <w:tcBorders>
              <w:bottom w:val="single" w:sz="8" w:color="00539B"/>
            </w:tcBorders>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00539B"/>
            </w:tcBorders>
          </w:tcPr>
          <w:p>
            <w:pPr>
              <w:jc w:val="right"/>
              <w:ind w:right="128"/>
              <w:spacing w:after="0"/>
              <w:rPr>
                <w:sz w:val="20"/>
                <w:szCs w:val="20"/>
                <w:color w:val="auto"/>
              </w:rPr>
            </w:pPr>
            <w:r>
              <w:rPr>
                <w:rFonts w:ascii="Arial" w:cs="Arial" w:eastAsia="Arial" w:hAnsi="Arial"/>
                <w:sz w:val="14"/>
                <w:szCs w:val="14"/>
                <w:color w:val="auto"/>
              </w:rPr>
              <w:t>1,069.8</w:t>
            </w:r>
          </w:p>
        </w:tc>
        <w:tc>
          <w:tcPr>
            <w:tcW w:w="380" w:type="dxa"/>
            <w:vAlign w:val="bottom"/>
            <w:tcBorders>
              <w:bottom w:val="single" w:sz="8" w:color="00539B"/>
            </w:tcBorders>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00539B"/>
            </w:tcBorders>
          </w:tcPr>
          <w:p>
            <w:pPr>
              <w:jc w:val="right"/>
              <w:ind w:right="108"/>
              <w:spacing w:after="0"/>
              <w:rPr>
                <w:sz w:val="20"/>
                <w:szCs w:val="20"/>
                <w:color w:val="auto"/>
              </w:rPr>
            </w:pPr>
            <w:r>
              <w:rPr>
                <w:rFonts w:ascii="Arial" w:cs="Arial" w:eastAsia="Arial" w:hAnsi="Arial"/>
                <w:sz w:val="14"/>
                <w:szCs w:val="14"/>
                <w:color w:val="auto"/>
              </w:rPr>
              <w:t>1,024.2</w:t>
            </w:r>
          </w:p>
        </w:tc>
      </w:tr>
      <w:tr>
        <w:trPr>
          <w:trHeight w:val="196"/>
        </w:trPr>
        <w:tc>
          <w:tcPr>
            <w:tcW w:w="632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 increase versus prior year</w:t>
            </w:r>
          </w:p>
        </w:tc>
        <w:tc>
          <w:tcPr>
            <w:tcW w:w="380" w:type="dxa"/>
            <w:vAlign w:val="bottom"/>
            <w:tcBorders>
              <w:bottom w:val="single" w:sz="8" w:color="00539B"/>
            </w:tcBorders>
            <w:shd w:val="clear" w:color="auto" w:fill="E0E3F1"/>
          </w:tcPr>
          <w:p>
            <w:pPr>
              <w:spacing w:after="0"/>
              <w:rPr>
                <w:sz w:val="17"/>
                <w:szCs w:val="17"/>
                <w:color w:val="auto"/>
              </w:rPr>
            </w:pPr>
          </w:p>
        </w:tc>
        <w:tc>
          <w:tcPr>
            <w:tcW w:w="108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2.3</w:t>
            </w:r>
          </w:p>
        </w:tc>
        <w:tc>
          <w:tcPr>
            <w:tcW w:w="16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w w:val="96"/>
              </w:rPr>
              <w:t>%</w:t>
            </w:r>
          </w:p>
        </w:tc>
        <w:tc>
          <w:tcPr>
            <w:tcW w:w="360" w:type="dxa"/>
            <w:vAlign w:val="bottom"/>
            <w:tcBorders>
              <w:bottom w:val="single" w:sz="8" w:color="00539B"/>
            </w:tcBorders>
          </w:tcPr>
          <w:p>
            <w:pPr>
              <w:spacing w:after="0"/>
              <w:rPr>
                <w:sz w:val="17"/>
                <w:szCs w:val="17"/>
                <w:color w:val="auto"/>
              </w:rPr>
            </w:pPr>
          </w:p>
        </w:tc>
        <w:tc>
          <w:tcPr>
            <w:tcW w:w="126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4.5 %</w:t>
            </w:r>
          </w:p>
        </w:tc>
        <w:tc>
          <w:tcPr>
            <w:tcW w:w="380" w:type="dxa"/>
            <w:vAlign w:val="bottom"/>
            <w:tcBorders>
              <w:bottom w:val="single" w:sz="8" w:color="00539B"/>
            </w:tcBorders>
          </w:tcPr>
          <w:p>
            <w:pPr>
              <w:spacing w:after="0"/>
              <w:rPr>
                <w:sz w:val="17"/>
                <w:szCs w:val="17"/>
                <w:color w:val="auto"/>
              </w:rPr>
            </w:pPr>
          </w:p>
        </w:tc>
        <w:tc>
          <w:tcPr>
            <w:tcW w:w="126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11.6 %</w:t>
            </w:r>
          </w:p>
        </w:tc>
      </w:tr>
      <w:tr>
        <w:trPr>
          <w:trHeight w:val="192"/>
        </w:trPr>
        <w:tc>
          <w:tcPr>
            <w:tcW w:w="6320" w:type="dxa"/>
            <w:vAlign w:val="bottom"/>
          </w:tcPr>
          <w:p>
            <w:pPr>
              <w:ind w:left="20"/>
              <w:spacing w:after="0"/>
              <w:rPr>
                <w:sz w:val="20"/>
                <w:szCs w:val="20"/>
                <w:color w:val="auto"/>
              </w:rPr>
            </w:pPr>
            <w:r>
              <w:rPr>
                <w:rFonts w:ascii="Arial" w:cs="Arial" w:eastAsia="Arial" w:hAnsi="Arial"/>
                <w:sz w:val="14"/>
                <w:szCs w:val="14"/>
                <w:color w:val="auto"/>
              </w:rPr>
              <w:t>Operating income margin</w:t>
            </w:r>
            <w:r>
              <w:rPr>
                <w:rFonts w:ascii="Arial" w:cs="Arial" w:eastAsia="Arial" w:hAnsi="Arial"/>
                <w:sz w:val="9"/>
                <w:szCs w:val="9"/>
                <w:color w:val="auto"/>
              </w:rPr>
              <w:t>(2)</w:t>
            </w:r>
          </w:p>
        </w:tc>
        <w:tc>
          <w:tcPr>
            <w:tcW w:w="380" w:type="dxa"/>
            <w:vAlign w:val="bottom"/>
            <w:shd w:val="clear" w:color="auto" w:fill="E0E3F1"/>
          </w:tcPr>
          <w:p>
            <w:pPr>
              <w:spacing w:after="0"/>
              <w:rPr>
                <w:sz w:val="16"/>
                <w:szCs w:val="16"/>
                <w:color w:val="auto"/>
              </w:rPr>
            </w:pPr>
          </w:p>
        </w:tc>
        <w:tc>
          <w:tcPr>
            <w:tcW w:w="1080" w:type="dxa"/>
            <w:vAlign w:val="bottom"/>
            <w:shd w:val="clear" w:color="auto" w:fill="E0E3F1"/>
          </w:tcPr>
          <w:p>
            <w:pPr>
              <w:jc w:val="right"/>
              <w:spacing w:after="0"/>
              <w:rPr>
                <w:sz w:val="20"/>
                <w:szCs w:val="20"/>
                <w:color w:val="auto"/>
              </w:rPr>
            </w:pPr>
            <w:r>
              <w:rPr>
                <w:rFonts w:ascii="Arial" w:cs="Arial" w:eastAsia="Arial" w:hAnsi="Arial"/>
                <w:sz w:val="14"/>
                <w:szCs w:val="14"/>
                <w:color w:val="auto"/>
              </w:rPr>
              <w:t>15.7</w:t>
            </w:r>
          </w:p>
        </w:tc>
        <w:tc>
          <w:tcPr>
            <w:tcW w:w="160" w:type="dxa"/>
            <w:vAlign w:val="bottom"/>
            <w:shd w:val="clear" w:color="auto" w:fill="E0E3F1"/>
          </w:tcPr>
          <w:p>
            <w:pPr>
              <w:jc w:val="right"/>
              <w:spacing w:after="0"/>
              <w:rPr>
                <w:sz w:val="20"/>
                <w:szCs w:val="20"/>
                <w:color w:val="auto"/>
              </w:rPr>
            </w:pPr>
            <w:r>
              <w:rPr>
                <w:rFonts w:ascii="Arial" w:cs="Arial" w:eastAsia="Arial" w:hAnsi="Arial"/>
                <w:sz w:val="14"/>
                <w:szCs w:val="14"/>
                <w:color w:val="auto"/>
                <w:w w:val="96"/>
              </w:rPr>
              <w:t>%</w:t>
            </w:r>
          </w:p>
        </w:tc>
        <w:tc>
          <w:tcPr>
            <w:tcW w:w="3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15.8 %</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14.5 %</w:t>
            </w:r>
          </w:p>
        </w:tc>
      </w:tr>
      <w:tr>
        <w:trPr>
          <w:trHeight w:val="207"/>
        </w:trPr>
        <w:tc>
          <w:tcPr>
            <w:tcW w:w="632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Impact of special charges</w:t>
            </w:r>
            <w:r>
              <w:rPr>
                <w:rFonts w:ascii="Arial" w:cs="Arial" w:eastAsia="Arial" w:hAnsi="Arial"/>
                <w:sz w:val="9"/>
                <w:szCs w:val="9"/>
                <w:color w:val="auto"/>
              </w:rPr>
              <w:t>(2)</w:t>
            </w:r>
          </w:p>
        </w:tc>
        <w:tc>
          <w:tcPr>
            <w:tcW w:w="380" w:type="dxa"/>
            <w:vAlign w:val="bottom"/>
            <w:tcBorders>
              <w:bottom w:val="single" w:sz="8" w:color="00539B"/>
            </w:tcBorders>
            <w:shd w:val="clear" w:color="auto" w:fill="E0E3F1"/>
          </w:tcPr>
          <w:p>
            <w:pPr>
              <w:spacing w:after="0"/>
              <w:rPr>
                <w:sz w:val="17"/>
                <w:szCs w:val="17"/>
                <w:color w:val="auto"/>
              </w:rPr>
            </w:pPr>
          </w:p>
        </w:tc>
        <w:tc>
          <w:tcPr>
            <w:tcW w:w="108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0.3</w:t>
            </w:r>
          </w:p>
        </w:tc>
        <w:tc>
          <w:tcPr>
            <w:tcW w:w="16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w w:val="96"/>
              </w:rPr>
              <w:t>%</w:t>
            </w:r>
          </w:p>
        </w:tc>
        <w:tc>
          <w:tcPr>
            <w:tcW w:w="360" w:type="dxa"/>
            <w:vAlign w:val="bottom"/>
            <w:tcBorders>
              <w:bottom w:val="single" w:sz="8" w:color="00539B"/>
            </w:tcBorders>
          </w:tcPr>
          <w:p>
            <w:pPr>
              <w:spacing w:after="0"/>
              <w:rPr>
                <w:sz w:val="17"/>
                <w:szCs w:val="17"/>
                <w:color w:val="auto"/>
              </w:rPr>
            </w:pPr>
          </w:p>
        </w:tc>
        <w:tc>
          <w:tcPr>
            <w:tcW w:w="126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0.1 %</w:t>
            </w:r>
          </w:p>
        </w:tc>
        <w:tc>
          <w:tcPr>
            <w:tcW w:w="380" w:type="dxa"/>
            <w:vAlign w:val="bottom"/>
            <w:tcBorders>
              <w:bottom w:val="single" w:sz="8" w:color="00539B"/>
            </w:tcBorders>
          </w:tcPr>
          <w:p>
            <w:pPr>
              <w:spacing w:after="0"/>
              <w:rPr>
                <w:sz w:val="17"/>
                <w:szCs w:val="17"/>
                <w:color w:val="auto"/>
              </w:rPr>
            </w:pPr>
          </w:p>
        </w:tc>
        <w:tc>
          <w:tcPr>
            <w:tcW w:w="126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0.9 %</w:t>
            </w:r>
          </w:p>
        </w:tc>
      </w:tr>
      <w:tr>
        <w:trPr>
          <w:trHeight w:val="207"/>
        </w:trPr>
        <w:tc>
          <w:tcPr>
            <w:tcW w:w="632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Adjusted operating income margin</w:t>
            </w:r>
            <w:r>
              <w:rPr>
                <w:rFonts w:ascii="Arial" w:cs="Arial" w:eastAsia="Arial" w:hAnsi="Arial"/>
                <w:sz w:val="9"/>
                <w:szCs w:val="9"/>
                <w:color w:val="auto"/>
              </w:rPr>
              <w:t>(2)</w:t>
            </w:r>
          </w:p>
        </w:tc>
        <w:tc>
          <w:tcPr>
            <w:tcW w:w="380" w:type="dxa"/>
            <w:vAlign w:val="bottom"/>
            <w:tcBorders>
              <w:bottom w:val="single" w:sz="8" w:color="00539B"/>
            </w:tcBorders>
            <w:shd w:val="clear" w:color="auto" w:fill="E0E3F1"/>
          </w:tcPr>
          <w:p>
            <w:pPr>
              <w:spacing w:after="0"/>
              <w:rPr>
                <w:sz w:val="18"/>
                <w:szCs w:val="18"/>
                <w:color w:val="auto"/>
              </w:rPr>
            </w:pPr>
          </w:p>
        </w:tc>
        <w:tc>
          <w:tcPr>
            <w:tcW w:w="108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16.0</w:t>
            </w:r>
          </w:p>
        </w:tc>
        <w:tc>
          <w:tcPr>
            <w:tcW w:w="16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w w:val="96"/>
              </w:rPr>
              <w:t>%</w:t>
            </w:r>
          </w:p>
        </w:tc>
        <w:tc>
          <w:tcPr>
            <w:tcW w:w="360" w:type="dxa"/>
            <w:vAlign w:val="bottom"/>
            <w:tcBorders>
              <w:bottom w:val="single" w:sz="8" w:color="00539B"/>
            </w:tcBorders>
          </w:tcPr>
          <w:p>
            <w:pPr>
              <w:spacing w:after="0"/>
              <w:rPr>
                <w:sz w:val="18"/>
                <w:szCs w:val="18"/>
                <w:color w:val="auto"/>
              </w:rPr>
            </w:pPr>
          </w:p>
        </w:tc>
        <w:tc>
          <w:tcPr>
            <w:tcW w:w="126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15.9 %</w:t>
            </w:r>
          </w:p>
        </w:tc>
        <w:tc>
          <w:tcPr>
            <w:tcW w:w="380" w:type="dxa"/>
            <w:vAlign w:val="bottom"/>
            <w:tcBorders>
              <w:bottom w:val="single" w:sz="8" w:color="00539B"/>
            </w:tcBorders>
          </w:tcPr>
          <w:p>
            <w:pPr>
              <w:spacing w:after="0"/>
              <w:rPr>
                <w:sz w:val="18"/>
                <w:szCs w:val="18"/>
                <w:color w:val="auto"/>
              </w:rPr>
            </w:pPr>
          </w:p>
        </w:tc>
        <w:tc>
          <w:tcPr>
            <w:tcW w:w="126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15.4 %</w:t>
            </w:r>
          </w:p>
        </w:tc>
      </w:tr>
      <w:tr>
        <w:trPr>
          <w:trHeight w:val="397"/>
        </w:trPr>
        <w:tc>
          <w:tcPr>
            <w:tcW w:w="6320" w:type="dxa"/>
            <w:vAlign w:val="bottom"/>
          </w:tcPr>
          <w:p>
            <w:pPr>
              <w:ind w:left="20"/>
              <w:spacing w:after="0"/>
              <w:rPr>
                <w:sz w:val="20"/>
                <w:szCs w:val="20"/>
                <w:color w:val="auto"/>
              </w:rPr>
            </w:pPr>
            <w:r>
              <w:rPr>
                <w:rFonts w:ascii="Arial" w:cs="Arial" w:eastAsia="Arial" w:hAnsi="Arial"/>
                <w:sz w:val="14"/>
                <w:szCs w:val="14"/>
                <w:color w:val="auto"/>
              </w:rPr>
              <w:t>Income tax expense</w:t>
            </w:r>
          </w:p>
        </w:tc>
        <w:tc>
          <w:tcPr>
            <w:tcW w:w="380" w:type="dxa"/>
            <w:vAlign w:val="bottom"/>
            <w:shd w:val="clear" w:color="auto" w:fill="E0E3F1"/>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0E3F1"/>
          </w:tcPr>
          <w:p>
            <w:pPr>
              <w:jc w:val="right"/>
              <w:spacing w:after="0"/>
              <w:rPr>
                <w:sz w:val="20"/>
                <w:szCs w:val="20"/>
                <w:color w:val="auto"/>
              </w:rPr>
            </w:pPr>
            <w:r>
              <w:rPr>
                <w:rFonts w:ascii="Arial" w:cs="Arial" w:eastAsia="Arial" w:hAnsi="Arial"/>
                <w:sz w:val="14"/>
                <w:szCs w:val="14"/>
                <w:color w:val="auto"/>
              </w:rPr>
              <w:t>195.8</w:t>
            </w:r>
          </w:p>
        </w:tc>
        <w:tc>
          <w:tcPr>
            <w:tcW w:w="160" w:type="dxa"/>
            <w:vAlign w:val="bottom"/>
            <w:shd w:val="clear" w:color="auto" w:fill="E0E3F1"/>
          </w:tcPr>
          <w:p>
            <w:pPr>
              <w:spacing w:after="0"/>
              <w:rPr>
                <w:sz w:val="24"/>
                <w:szCs w:val="24"/>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184.0</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174.5</w:t>
            </w:r>
          </w:p>
        </w:tc>
      </w:tr>
      <w:tr>
        <w:trPr>
          <w:trHeight w:val="207"/>
        </w:trPr>
        <w:tc>
          <w:tcPr>
            <w:tcW w:w="632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Impact of special charges</w:t>
            </w:r>
          </w:p>
        </w:tc>
        <w:tc>
          <w:tcPr>
            <w:tcW w:w="380" w:type="dxa"/>
            <w:vAlign w:val="bottom"/>
            <w:tcBorders>
              <w:bottom w:val="single" w:sz="8" w:color="00539B"/>
            </w:tcBorders>
            <w:shd w:val="clear" w:color="auto" w:fill="E0E3F1"/>
          </w:tcPr>
          <w:p>
            <w:pPr>
              <w:spacing w:after="0"/>
              <w:rPr>
                <w:sz w:val="17"/>
                <w:szCs w:val="17"/>
                <w:color w:val="auto"/>
              </w:rPr>
            </w:pPr>
          </w:p>
        </w:tc>
        <w:tc>
          <w:tcPr>
            <w:tcW w:w="108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5.5</w:t>
            </w:r>
          </w:p>
        </w:tc>
        <w:tc>
          <w:tcPr>
            <w:tcW w:w="160" w:type="dxa"/>
            <w:vAlign w:val="bottom"/>
            <w:tcBorders>
              <w:bottom w:val="single" w:sz="8" w:color="00539B"/>
            </w:tcBorders>
            <w:shd w:val="clear" w:color="auto" w:fill="E0E3F1"/>
          </w:tcPr>
          <w:p>
            <w:pPr>
              <w:spacing w:after="0"/>
              <w:rPr>
                <w:sz w:val="17"/>
                <w:szCs w:val="17"/>
                <w:color w:val="auto"/>
              </w:rPr>
            </w:pPr>
          </w:p>
        </w:tc>
        <w:tc>
          <w:tcPr>
            <w:tcW w:w="360" w:type="dxa"/>
            <w:vAlign w:val="bottom"/>
            <w:tcBorders>
              <w:bottom w:val="single" w:sz="8" w:color="00539B"/>
            </w:tcBorders>
          </w:tcPr>
          <w:p>
            <w:pPr>
              <w:spacing w:after="0"/>
              <w:rPr>
                <w:sz w:val="17"/>
                <w:szCs w:val="17"/>
                <w:color w:val="auto"/>
              </w:rPr>
            </w:pPr>
          </w:p>
        </w:tc>
        <w:tc>
          <w:tcPr>
            <w:tcW w:w="1260" w:type="dxa"/>
            <w:vAlign w:val="bottom"/>
            <w:tcBorders>
              <w:bottom w:val="single" w:sz="8" w:color="00539B"/>
            </w:tcBorders>
          </w:tcPr>
          <w:p>
            <w:pPr>
              <w:jc w:val="right"/>
              <w:ind w:right="128"/>
              <w:spacing w:after="0"/>
              <w:rPr>
                <w:sz w:val="20"/>
                <w:szCs w:val="20"/>
                <w:color w:val="auto"/>
              </w:rPr>
            </w:pPr>
            <w:r>
              <w:rPr>
                <w:rFonts w:ascii="Arial" w:cs="Arial" w:eastAsia="Arial" w:hAnsi="Arial"/>
                <w:sz w:val="14"/>
                <w:szCs w:val="14"/>
                <w:color w:val="auto"/>
              </w:rPr>
              <w:t>2.4</w:t>
            </w:r>
          </w:p>
        </w:tc>
        <w:tc>
          <w:tcPr>
            <w:tcW w:w="380" w:type="dxa"/>
            <w:vAlign w:val="bottom"/>
            <w:tcBorders>
              <w:bottom w:val="single" w:sz="8" w:color="00539B"/>
            </w:tcBorders>
          </w:tcPr>
          <w:p>
            <w:pPr>
              <w:spacing w:after="0"/>
              <w:rPr>
                <w:sz w:val="17"/>
                <w:szCs w:val="17"/>
                <w:color w:val="auto"/>
              </w:rPr>
            </w:pPr>
          </w:p>
        </w:tc>
        <w:tc>
          <w:tcPr>
            <w:tcW w:w="1260" w:type="dxa"/>
            <w:vAlign w:val="bottom"/>
            <w:tcBorders>
              <w:bottom w:val="single" w:sz="8" w:color="00539B"/>
            </w:tcBorders>
          </w:tcPr>
          <w:p>
            <w:pPr>
              <w:jc w:val="right"/>
              <w:ind w:right="108"/>
              <w:spacing w:after="0"/>
              <w:rPr>
                <w:sz w:val="20"/>
                <w:szCs w:val="20"/>
                <w:color w:val="auto"/>
              </w:rPr>
            </w:pPr>
            <w:r>
              <w:rPr>
                <w:rFonts w:ascii="Arial" w:cs="Arial" w:eastAsia="Arial" w:hAnsi="Arial"/>
                <w:sz w:val="14"/>
                <w:szCs w:val="14"/>
                <w:color w:val="auto"/>
              </w:rPr>
              <w:t>14.5</w:t>
            </w:r>
          </w:p>
        </w:tc>
      </w:tr>
      <w:tr>
        <w:trPr>
          <w:trHeight w:val="196"/>
        </w:trPr>
        <w:tc>
          <w:tcPr>
            <w:tcW w:w="632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Adjusted income tax expense</w:t>
            </w:r>
          </w:p>
        </w:tc>
        <w:tc>
          <w:tcPr>
            <w:tcW w:w="380" w:type="dxa"/>
            <w:vAlign w:val="bottom"/>
            <w:tcBorders>
              <w:bottom w:val="single" w:sz="8" w:color="00539B"/>
            </w:tcBorders>
            <w:shd w:val="clear" w:color="auto" w:fill="E0E3F1"/>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201.3</w:t>
            </w:r>
          </w:p>
        </w:tc>
        <w:tc>
          <w:tcPr>
            <w:tcW w:w="160" w:type="dxa"/>
            <w:vAlign w:val="bottom"/>
            <w:tcBorders>
              <w:bottom w:val="single" w:sz="8" w:color="00539B"/>
            </w:tcBorders>
            <w:shd w:val="clear" w:color="auto" w:fill="E0E3F1"/>
          </w:tcPr>
          <w:p>
            <w:pPr>
              <w:spacing w:after="0"/>
              <w:rPr>
                <w:sz w:val="17"/>
                <w:szCs w:val="17"/>
                <w:color w:val="auto"/>
              </w:rPr>
            </w:pPr>
          </w:p>
        </w:tc>
        <w:tc>
          <w:tcPr>
            <w:tcW w:w="360" w:type="dxa"/>
            <w:vAlign w:val="bottom"/>
            <w:tcBorders>
              <w:bottom w:val="single" w:sz="8" w:color="00539B"/>
            </w:tcBorders>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00539B"/>
            </w:tcBorders>
          </w:tcPr>
          <w:p>
            <w:pPr>
              <w:jc w:val="right"/>
              <w:ind w:right="128"/>
              <w:spacing w:after="0"/>
              <w:rPr>
                <w:sz w:val="20"/>
                <w:szCs w:val="20"/>
                <w:color w:val="auto"/>
              </w:rPr>
            </w:pPr>
            <w:r>
              <w:rPr>
                <w:rFonts w:ascii="Arial" w:cs="Arial" w:eastAsia="Arial" w:hAnsi="Arial"/>
                <w:sz w:val="14"/>
                <w:szCs w:val="14"/>
                <w:color w:val="auto"/>
              </w:rPr>
              <w:t>186.4</w:t>
            </w:r>
          </w:p>
        </w:tc>
        <w:tc>
          <w:tcPr>
            <w:tcW w:w="380" w:type="dxa"/>
            <w:vAlign w:val="bottom"/>
            <w:tcBorders>
              <w:bottom w:val="single" w:sz="8" w:color="00539B"/>
            </w:tcBorders>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00539B"/>
            </w:tcBorders>
          </w:tcPr>
          <w:p>
            <w:pPr>
              <w:jc w:val="right"/>
              <w:ind w:right="108"/>
              <w:spacing w:after="0"/>
              <w:rPr>
                <w:sz w:val="20"/>
                <w:szCs w:val="20"/>
                <w:color w:val="auto"/>
              </w:rPr>
            </w:pPr>
            <w:r>
              <w:rPr>
                <w:rFonts w:ascii="Arial" w:cs="Arial" w:eastAsia="Arial" w:hAnsi="Arial"/>
                <w:sz w:val="14"/>
                <w:szCs w:val="14"/>
                <w:color w:val="auto"/>
              </w:rPr>
              <w:t>189.0</w:t>
            </w:r>
          </w:p>
        </w:tc>
      </w:tr>
      <w:tr>
        <w:trPr>
          <w:trHeight w:val="192"/>
        </w:trPr>
        <w:tc>
          <w:tcPr>
            <w:tcW w:w="6320" w:type="dxa"/>
            <w:vAlign w:val="bottom"/>
          </w:tcPr>
          <w:p>
            <w:pPr>
              <w:ind w:left="20"/>
              <w:spacing w:after="0"/>
              <w:rPr>
                <w:sz w:val="20"/>
                <w:szCs w:val="20"/>
                <w:color w:val="auto"/>
              </w:rPr>
            </w:pPr>
            <w:r>
              <w:rPr>
                <w:rFonts w:ascii="Arial" w:cs="Arial" w:eastAsia="Arial" w:hAnsi="Arial"/>
                <w:sz w:val="14"/>
                <w:szCs w:val="14"/>
                <w:color w:val="auto"/>
              </w:rPr>
              <w:t>Income tax rate</w:t>
            </w:r>
            <w:r>
              <w:rPr>
                <w:rFonts w:ascii="Arial" w:cs="Arial" w:eastAsia="Arial" w:hAnsi="Arial"/>
                <w:sz w:val="9"/>
                <w:szCs w:val="9"/>
                <w:color w:val="auto"/>
              </w:rPr>
              <w:t>(3)</w:t>
            </w:r>
          </w:p>
        </w:tc>
        <w:tc>
          <w:tcPr>
            <w:tcW w:w="380" w:type="dxa"/>
            <w:vAlign w:val="bottom"/>
            <w:shd w:val="clear" w:color="auto" w:fill="E0E3F1"/>
          </w:tcPr>
          <w:p>
            <w:pPr>
              <w:spacing w:after="0"/>
              <w:rPr>
                <w:sz w:val="16"/>
                <w:szCs w:val="16"/>
                <w:color w:val="auto"/>
              </w:rPr>
            </w:pPr>
          </w:p>
        </w:tc>
        <w:tc>
          <w:tcPr>
            <w:tcW w:w="1080" w:type="dxa"/>
            <w:vAlign w:val="bottom"/>
            <w:shd w:val="clear" w:color="auto" w:fill="E0E3F1"/>
          </w:tcPr>
          <w:p>
            <w:pPr>
              <w:jc w:val="right"/>
              <w:spacing w:after="0"/>
              <w:rPr>
                <w:sz w:val="20"/>
                <w:szCs w:val="20"/>
                <w:color w:val="auto"/>
              </w:rPr>
            </w:pPr>
            <w:r>
              <w:rPr>
                <w:rFonts w:ascii="Arial" w:cs="Arial" w:eastAsia="Arial" w:hAnsi="Arial"/>
                <w:sz w:val="14"/>
                <w:szCs w:val="14"/>
                <w:color w:val="auto"/>
              </w:rPr>
              <w:t>21.4</w:t>
            </w:r>
          </w:p>
        </w:tc>
        <w:tc>
          <w:tcPr>
            <w:tcW w:w="160" w:type="dxa"/>
            <w:vAlign w:val="bottom"/>
            <w:shd w:val="clear" w:color="auto" w:fill="E0E3F1"/>
          </w:tcPr>
          <w:p>
            <w:pPr>
              <w:jc w:val="right"/>
              <w:spacing w:after="0"/>
              <w:rPr>
                <w:sz w:val="20"/>
                <w:szCs w:val="20"/>
                <w:color w:val="auto"/>
              </w:rPr>
            </w:pPr>
            <w:r>
              <w:rPr>
                <w:rFonts w:ascii="Arial" w:cs="Arial" w:eastAsia="Arial" w:hAnsi="Arial"/>
                <w:sz w:val="14"/>
                <w:szCs w:val="14"/>
                <w:color w:val="auto"/>
                <w:w w:val="96"/>
              </w:rPr>
              <w:t>%</w:t>
            </w:r>
          </w:p>
        </w:tc>
        <w:tc>
          <w:tcPr>
            <w:tcW w:w="3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20.5 %</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21.8 %</w:t>
            </w:r>
          </w:p>
        </w:tc>
      </w:tr>
      <w:tr>
        <w:trPr>
          <w:trHeight w:val="206"/>
        </w:trPr>
        <w:tc>
          <w:tcPr>
            <w:tcW w:w="632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Impact of special charges</w:t>
            </w:r>
          </w:p>
        </w:tc>
        <w:tc>
          <w:tcPr>
            <w:tcW w:w="380" w:type="dxa"/>
            <w:vAlign w:val="bottom"/>
            <w:tcBorders>
              <w:bottom w:val="single" w:sz="8" w:color="00539B"/>
            </w:tcBorders>
            <w:shd w:val="clear" w:color="auto" w:fill="E0E3F1"/>
          </w:tcPr>
          <w:p>
            <w:pPr>
              <w:spacing w:after="0"/>
              <w:rPr>
                <w:sz w:val="17"/>
                <w:szCs w:val="17"/>
                <w:color w:val="auto"/>
              </w:rPr>
            </w:pPr>
          </w:p>
        </w:tc>
        <w:tc>
          <w:tcPr>
            <w:tcW w:w="108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0.1</w:t>
            </w:r>
          </w:p>
        </w:tc>
        <w:tc>
          <w:tcPr>
            <w:tcW w:w="16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w w:val="96"/>
              </w:rPr>
              <w:t>%</w:t>
            </w:r>
          </w:p>
        </w:tc>
        <w:tc>
          <w:tcPr>
            <w:tcW w:w="360" w:type="dxa"/>
            <w:vAlign w:val="bottom"/>
            <w:tcBorders>
              <w:bottom w:val="single" w:sz="8" w:color="00539B"/>
            </w:tcBorders>
          </w:tcPr>
          <w:p>
            <w:pPr>
              <w:spacing w:after="0"/>
              <w:rPr>
                <w:sz w:val="17"/>
                <w:szCs w:val="17"/>
                <w:color w:val="auto"/>
              </w:rPr>
            </w:pPr>
          </w:p>
        </w:tc>
        <w:tc>
          <w:tcPr>
            <w:tcW w:w="126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 %</w:t>
            </w:r>
          </w:p>
        </w:tc>
        <w:tc>
          <w:tcPr>
            <w:tcW w:w="380" w:type="dxa"/>
            <w:vAlign w:val="bottom"/>
            <w:tcBorders>
              <w:bottom w:val="single" w:sz="8" w:color="00539B"/>
            </w:tcBorders>
          </w:tcPr>
          <w:p>
            <w:pPr>
              <w:spacing w:after="0"/>
              <w:rPr>
                <w:sz w:val="17"/>
                <w:szCs w:val="17"/>
                <w:color w:val="auto"/>
              </w:rPr>
            </w:pPr>
          </w:p>
        </w:tc>
        <w:tc>
          <w:tcPr>
            <w:tcW w:w="126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0.2 %</w:t>
            </w:r>
          </w:p>
        </w:tc>
      </w:tr>
      <w:tr>
        <w:trPr>
          <w:trHeight w:val="207"/>
        </w:trPr>
        <w:tc>
          <w:tcPr>
            <w:tcW w:w="632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Adjusted income tax rate</w:t>
            </w:r>
            <w:r>
              <w:rPr>
                <w:rFonts w:ascii="Arial" w:cs="Arial" w:eastAsia="Arial" w:hAnsi="Arial"/>
                <w:sz w:val="9"/>
                <w:szCs w:val="9"/>
                <w:color w:val="auto"/>
              </w:rPr>
              <w:t>(3)</w:t>
            </w:r>
          </w:p>
        </w:tc>
        <w:tc>
          <w:tcPr>
            <w:tcW w:w="380" w:type="dxa"/>
            <w:vAlign w:val="bottom"/>
            <w:tcBorders>
              <w:bottom w:val="single" w:sz="8" w:color="00539B"/>
            </w:tcBorders>
            <w:shd w:val="clear" w:color="auto" w:fill="E0E3F1"/>
          </w:tcPr>
          <w:p>
            <w:pPr>
              <w:spacing w:after="0"/>
              <w:rPr>
                <w:sz w:val="18"/>
                <w:szCs w:val="18"/>
                <w:color w:val="auto"/>
              </w:rPr>
            </w:pPr>
          </w:p>
        </w:tc>
        <w:tc>
          <w:tcPr>
            <w:tcW w:w="108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21.5</w:t>
            </w:r>
          </w:p>
        </w:tc>
        <w:tc>
          <w:tcPr>
            <w:tcW w:w="16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w w:val="96"/>
              </w:rPr>
              <w:t>%</w:t>
            </w:r>
          </w:p>
        </w:tc>
        <w:tc>
          <w:tcPr>
            <w:tcW w:w="360" w:type="dxa"/>
            <w:vAlign w:val="bottom"/>
            <w:tcBorders>
              <w:bottom w:val="single" w:sz="8" w:color="00539B"/>
            </w:tcBorders>
          </w:tcPr>
          <w:p>
            <w:pPr>
              <w:spacing w:after="0"/>
              <w:rPr>
                <w:sz w:val="18"/>
                <w:szCs w:val="18"/>
                <w:color w:val="auto"/>
              </w:rPr>
            </w:pPr>
          </w:p>
        </w:tc>
        <w:tc>
          <w:tcPr>
            <w:tcW w:w="126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20.5 %</w:t>
            </w:r>
          </w:p>
        </w:tc>
        <w:tc>
          <w:tcPr>
            <w:tcW w:w="380" w:type="dxa"/>
            <w:vAlign w:val="bottom"/>
            <w:tcBorders>
              <w:bottom w:val="single" w:sz="8" w:color="00539B"/>
            </w:tcBorders>
          </w:tcPr>
          <w:p>
            <w:pPr>
              <w:spacing w:after="0"/>
              <w:rPr>
                <w:sz w:val="18"/>
                <w:szCs w:val="18"/>
                <w:color w:val="auto"/>
              </w:rPr>
            </w:pPr>
          </w:p>
        </w:tc>
        <w:tc>
          <w:tcPr>
            <w:tcW w:w="126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22.0 %</w:t>
            </w:r>
          </w:p>
        </w:tc>
      </w:tr>
      <w:tr>
        <w:trPr>
          <w:trHeight w:val="397"/>
        </w:trPr>
        <w:tc>
          <w:tcPr>
            <w:tcW w:w="63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380" w:type="dxa"/>
            <w:vAlign w:val="bottom"/>
            <w:shd w:val="clear" w:color="auto" w:fill="E0E3F1"/>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0E3F1"/>
          </w:tcPr>
          <w:p>
            <w:pPr>
              <w:jc w:val="right"/>
              <w:spacing w:after="0"/>
              <w:rPr>
                <w:sz w:val="20"/>
                <w:szCs w:val="20"/>
                <w:color w:val="auto"/>
              </w:rPr>
            </w:pPr>
            <w:r>
              <w:rPr>
                <w:rFonts w:ascii="Arial" w:cs="Arial" w:eastAsia="Arial" w:hAnsi="Arial"/>
                <w:sz w:val="14"/>
                <w:szCs w:val="14"/>
                <w:color w:val="auto"/>
              </w:rPr>
              <w:t>789.4</w:t>
            </w:r>
          </w:p>
        </w:tc>
        <w:tc>
          <w:tcPr>
            <w:tcW w:w="160" w:type="dxa"/>
            <w:vAlign w:val="bottom"/>
            <w:shd w:val="clear" w:color="auto" w:fill="E0E3F1"/>
          </w:tcPr>
          <w:p>
            <w:pPr>
              <w:spacing w:after="0"/>
              <w:rPr>
                <w:sz w:val="24"/>
                <w:szCs w:val="24"/>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788.5</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680.6</w:t>
            </w:r>
          </w:p>
        </w:tc>
      </w:tr>
      <w:tr>
        <w:trPr>
          <w:trHeight w:val="207"/>
        </w:trPr>
        <w:tc>
          <w:tcPr>
            <w:tcW w:w="632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Impact of special charges</w:t>
            </w:r>
          </w:p>
        </w:tc>
        <w:tc>
          <w:tcPr>
            <w:tcW w:w="380" w:type="dxa"/>
            <w:vAlign w:val="bottom"/>
            <w:tcBorders>
              <w:bottom w:val="single" w:sz="8" w:color="00539B"/>
            </w:tcBorders>
            <w:shd w:val="clear" w:color="auto" w:fill="E0E3F1"/>
          </w:tcPr>
          <w:p>
            <w:pPr>
              <w:spacing w:after="0"/>
              <w:rPr>
                <w:sz w:val="17"/>
                <w:szCs w:val="17"/>
                <w:color w:val="auto"/>
              </w:rPr>
            </w:pPr>
          </w:p>
        </w:tc>
        <w:tc>
          <w:tcPr>
            <w:tcW w:w="108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17.7</w:t>
            </w:r>
          </w:p>
        </w:tc>
        <w:tc>
          <w:tcPr>
            <w:tcW w:w="160" w:type="dxa"/>
            <w:vAlign w:val="bottom"/>
            <w:tcBorders>
              <w:bottom w:val="single" w:sz="8" w:color="00539B"/>
            </w:tcBorders>
            <w:shd w:val="clear" w:color="auto" w:fill="E0E3F1"/>
          </w:tcPr>
          <w:p>
            <w:pPr>
              <w:spacing w:after="0"/>
              <w:rPr>
                <w:sz w:val="17"/>
                <w:szCs w:val="17"/>
                <w:color w:val="auto"/>
              </w:rPr>
            </w:pPr>
          </w:p>
        </w:tc>
        <w:tc>
          <w:tcPr>
            <w:tcW w:w="360" w:type="dxa"/>
            <w:vAlign w:val="bottom"/>
            <w:tcBorders>
              <w:bottom w:val="single" w:sz="8" w:color="00539B"/>
            </w:tcBorders>
          </w:tcPr>
          <w:p>
            <w:pPr>
              <w:spacing w:after="0"/>
              <w:rPr>
                <w:sz w:val="17"/>
                <w:szCs w:val="17"/>
                <w:color w:val="auto"/>
              </w:rPr>
            </w:pPr>
          </w:p>
        </w:tc>
        <w:tc>
          <w:tcPr>
            <w:tcW w:w="1260" w:type="dxa"/>
            <w:vAlign w:val="bottom"/>
            <w:tcBorders>
              <w:bottom w:val="single" w:sz="8" w:color="00539B"/>
            </w:tcBorders>
          </w:tcPr>
          <w:p>
            <w:pPr>
              <w:jc w:val="right"/>
              <w:ind w:right="128"/>
              <w:spacing w:after="0"/>
              <w:rPr>
                <w:sz w:val="20"/>
                <w:szCs w:val="20"/>
                <w:color w:val="auto"/>
              </w:rPr>
            </w:pPr>
            <w:r>
              <w:rPr>
                <w:rFonts w:ascii="Arial" w:cs="Arial" w:eastAsia="Arial" w:hAnsi="Arial"/>
                <w:sz w:val="14"/>
                <w:szCs w:val="14"/>
                <w:color w:val="auto"/>
              </w:rPr>
              <w:t>7.1</w:t>
            </w:r>
          </w:p>
        </w:tc>
        <w:tc>
          <w:tcPr>
            <w:tcW w:w="380" w:type="dxa"/>
            <w:vAlign w:val="bottom"/>
            <w:tcBorders>
              <w:bottom w:val="single" w:sz="8" w:color="00539B"/>
            </w:tcBorders>
          </w:tcPr>
          <w:p>
            <w:pPr>
              <w:spacing w:after="0"/>
              <w:rPr>
                <w:sz w:val="17"/>
                <w:szCs w:val="17"/>
                <w:color w:val="auto"/>
              </w:rPr>
            </w:pPr>
          </w:p>
        </w:tc>
        <w:tc>
          <w:tcPr>
            <w:tcW w:w="1260" w:type="dxa"/>
            <w:vAlign w:val="bottom"/>
            <w:tcBorders>
              <w:bottom w:val="single" w:sz="8" w:color="00539B"/>
            </w:tcBorders>
          </w:tcPr>
          <w:p>
            <w:pPr>
              <w:jc w:val="right"/>
              <w:ind w:right="108"/>
              <w:spacing w:after="0"/>
              <w:rPr>
                <w:sz w:val="20"/>
                <w:szCs w:val="20"/>
                <w:color w:val="auto"/>
              </w:rPr>
            </w:pPr>
            <w:r>
              <w:rPr>
                <w:rFonts w:ascii="Arial" w:cs="Arial" w:eastAsia="Arial" w:hAnsi="Arial"/>
                <w:sz w:val="14"/>
                <w:szCs w:val="14"/>
                <w:color w:val="auto"/>
              </w:rPr>
              <w:t>46.7</w:t>
            </w:r>
          </w:p>
        </w:tc>
      </w:tr>
      <w:tr>
        <w:trPr>
          <w:trHeight w:val="196"/>
        </w:trPr>
        <w:tc>
          <w:tcPr>
            <w:tcW w:w="632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Adjusted net income</w:t>
            </w:r>
          </w:p>
        </w:tc>
        <w:tc>
          <w:tcPr>
            <w:tcW w:w="380" w:type="dxa"/>
            <w:vAlign w:val="bottom"/>
            <w:tcBorders>
              <w:bottom w:val="single" w:sz="8" w:color="00539B"/>
            </w:tcBorders>
            <w:shd w:val="clear" w:color="auto" w:fill="E0E3F1"/>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807.1</w:t>
            </w:r>
          </w:p>
        </w:tc>
        <w:tc>
          <w:tcPr>
            <w:tcW w:w="160" w:type="dxa"/>
            <w:vAlign w:val="bottom"/>
            <w:tcBorders>
              <w:bottom w:val="single" w:sz="8" w:color="00539B"/>
            </w:tcBorders>
            <w:shd w:val="clear" w:color="auto" w:fill="E0E3F1"/>
          </w:tcPr>
          <w:p>
            <w:pPr>
              <w:spacing w:after="0"/>
              <w:rPr>
                <w:sz w:val="17"/>
                <w:szCs w:val="17"/>
                <w:color w:val="auto"/>
              </w:rPr>
            </w:pPr>
          </w:p>
        </w:tc>
        <w:tc>
          <w:tcPr>
            <w:tcW w:w="360" w:type="dxa"/>
            <w:vAlign w:val="bottom"/>
            <w:tcBorders>
              <w:bottom w:val="single" w:sz="8" w:color="00539B"/>
            </w:tcBorders>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00539B"/>
            </w:tcBorders>
          </w:tcPr>
          <w:p>
            <w:pPr>
              <w:jc w:val="right"/>
              <w:ind w:right="128"/>
              <w:spacing w:after="0"/>
              <w:rPr>
                <w:sz w:val="20"/>
                <w:szCs w:val="20"/>
                <w:color w:val="auto"/>
              </w:rPr>
            </w:pPr>
            <w:r>
              <w:rPr>
                <w:rFonts w:ascii="Arial" w:cs="Arial" w:eastAsia="Arial" w:hAnsi="Arial"/>
                <w:sz w:val="14"/>
                <w:szCs w:val="14"/>
                <w:color w:val="auto"/>
              </w:rPr>
              <w:t>795.6</w:t>
            </w:r>
          </w:p>
        </w:tc>
        <w:tc>
          <w:tcPr>
            <w:tcW w:w="380" w:type="dxa"/>
            <w:vAlign w:val="bottom"/>
            <w:tcBorders>
              <w:bottom w:val="single" w:sz="8" w:color="00539B"/>
            </w:tcBorders>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00539B"/>
            </w:tcBorders>
          </w:tcPr>
          <w:p>
            <w:pPr>
              <w:jc w:val="right"/>
              <w:ind w:right="108"/>
              <w:spacing w:after="0"/>
              <w:rPr>
                <w:sz w:val="20"/>
                <w:szCs w:val="20"/>
                <w:color w:val="auto"/>
              </w:rPr>
            </w:pPr>
            <w:r>
              <w:rPr>
                <w:rFonts w:ascii="Arial" w:cs="Arial" w:eastAsia="Arial" w:hAnsi="Arial"/>
                <w:sz w:val="14"/>
                <w:szCs w:val="14"/>
                <w:color w:val="auto"/>
              </w:rPr>
              <w:t>727.3</w:t>
            </w:r>
          </w:p>
        </w:tc>
      </w:tr>
      <w:tr>
        <w:trPr>
          <w:trHeight w:val="207"/>
        </w:trPr>
        <w:tc>
          <w:tcPr>
            <w:tcW w:w="632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 increase versus prior year</w:t>
            </w:r>
          </w:p>
        </w:tc>
        <w:tc>
          <w:tcPr>
            <w:tcW w:w="380" w:type="dxa"/>
            <w:vAlign w:val="bottom"/>
            <w:tcBorders>
              <w:bottom w:val="single" w:sz="8" w:color="00539B"/>
            </w:tcBorders>
            <w:shd w:val="clear" w:color="auto" w:fill="E0E3F1"/>
          </w:tcPr>
          <w:p>
            <w:pPr>
              <w:spacing w:after="0"/>
              <w:rPr>
                <w:sz w:val="18"/>
                <w:szCs w:val="18"/>
                <w:color w:val="auto"/>
              </w:rPr>
            </w:pPr>
          </w:p>
        </w:tc>
        <w:tc>
          <w:tcPr>
            <w:tcW w:w="108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1.4</w:t>
            </w:r>
          </w:p>
        </w:tc>
        <w:tc>
          <w:tcPr>
            <w:tcW w:w="16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w w:val="96"/>
              </w:rPr>
              <w:t>%</w:t>
            </w:r>
          </w:p>
        </w:tc>
        <w:tc>
          <w:tcPr>
            <w:tcW w:w="360" w:type="dxa"/>
            <w:vAlign w:val="bottom"/>
            <w:tcBorders>
              <w:bottom w:val="single" w:sz="8" w:color="00539B"/>
            </w:tcBorders>
          </w:tcPr>
          <w:p>
            <w:pPr>
              <w:spacing w:after="0"/>
              <w:rPr>
                <w:sz w:val="18"/>
                <w:szCs w:val="18"/>
                <w:color w:val="auto"/>
              </w:rPr>
            </w:pPr>
          </w:p>
        </w:tc>
        <w:tc>
          <w:tcPr>
            <w:tcW w:w="126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9.4 %</w:t>
            </w:r>
          </w:p>
        </w:tc>
        <w:tc>
          <w:tcPr>
            <w:tcW w:w="380" w:type="dxa"/>
            <w:vAlign w:val="bottom"/>
            <w:tcBorders>
              <w:bottom w:val="single" w:sz="8" w:color="00539B"/>
            </w:tcBorders>
          </w:tcPr>
          <w:p>
            <w:pPr>
              <w:spacing w:after="0"/>
              <w:rPr>
                <w:sz w:val="18"/>
                <w:szCs w:val="18"/>
                <w:color w:val="auto"/>
              </w:rPr>
            </w:pPr>
          </w:p>
        </w:tc>
        <w:tc>
          <w:tcPr>
            <w:tcW w:w="126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6.3 %</w:t>
            </w:r>
          </w:p>
        </w:tc>
      </w:tr>
      <w:tr>
        <w:trPr>
          <w:trHeight w:val="397"/>
        </w:trPr>
        <w:tc>
          <w:tcPr>
            <w:tcW w:w="6320" w:type="dxa"/>
            <w:vAlign w:val="bottom"/>
          </w:tcPr>
          <w:p>
            <w:pPr>
              <w:ind w:left="20"/>
              <w:spacing w:after="0"/>
              <w:rPr>
                <w:sz w:val="20"/>
                <w:szCs w:val="20"/>
                <w:color w:val="auto"/>
              </w:rPr>
            </w:pPr>
            <w:r>
              <w:rPr>
                <w:rFonts w:ascii="Arial" w:cs="Arial" w:eastAsia="Arial" w:hAnsi="Arial"/>
                <w:sz w:val="14"/>
                <w:szCs w:val="14"/>
                <w:color w:val="auto"/>
              </w:rPr>
              <w:t>Earnings per share—diluted</w:t>
            </w:r>
          </w:p>
        </w:tc>
        <w:tc>
          <w:tcPr>
            <w:tcW w:w="380" w:type="dxa"/>
            <w:vAlign w:val="bottom"/>
            <w:shd w:val="clear" w:color="auto" w:fill="E0E3F1"/>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0E3F1"/>
          </w:tcPr>
          <w:p>
            <w:pPr>
              <w:jc w:val="right"/>
              <w:spacing w:after="0"/>
              <w:rPr>
                <w:sz w:val="20"/>
                <w:szCs w:val="20"/>
                <w:color w:val="auto"/>
              </w:rPr>
            </w:pPr>
            <w:r>
              <w:rPr>
                <w:rFonts w:ascii="Arial" w:cs="Arial" w:eastAsia="Arial" w:hAnsi="Arial"/>
                <w:sz w:val="14"/>
                <w:szCs w:val="14"/>
                <w:color w:val="auto"/>
              </w:rPr>
              <w:t>2.93</w:t>
            </w:r>
          </w:p>
        </w:tc>
        <w:tc>
          <w:tcPr>
            <w:tcW w:w="160" w:type="dxa"/>
            <w:vAlign w:val="bottom"/>
            <w:shd w:val="clear" w:color="auto" w:fill="E0E3F1"/>
          </w:tcPr>
          <w:p>
            <w:pPr>
              <w:spacing w:after="0"/>
              <w:rPr>
                <w:sz w:val="24"/>
                <w:szCs w:val="24"/>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2.92</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2.52</w:t>
            </w:r>
          </w:p>
        </w:tc>
      </w:tr>
      <w:tr>
        <w:trPr>
          <w:trHeight w:val="207"/>
        </w:trPr>
        <w:tc>
          <w:tcPr>
            <w:tcW w:w="632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Impact of special charges</w:t>
            </w:r>
          </w:p>
        </w:tc>
        <w:tc>
          <w:tcPr>
            <w:tcW w:w="380" w:type="dxa"/>
            <w:vAlign w:val="bottom"/>
            <w:tcBorders>
              <w:bottom w:val="single" w:sz="8" w:color="00539B"/>
            </w:tcBorders>
            <w:shd w:val="clear" w:color="auto" w:fill="E0E3F1"/>
          </w:tcPr>
          <w:p>
            <w:pPr>
              <w:spacing w:after="0"/>
              <w:rPr>
                <w:sz w:val="17"/>
                <w:szCs w:val="17"/>
                <w:color w:val="auto"/>
              </w:rPr>
            </w:pPr>
          </w:p>
        </w:tc>
        <w:tc>
          <w:tcPr>
            <w:tcW w:w="108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0.07</w:t>
            </w:r>
          </w:p>
        </w:tc>
        <w:tc>
          <w:tcPr>
            <w:tcW w:w="160" w:type="dxa"/>
            <w:vAlign w:val="bottom"/>
            <w:tcBorders>
              <w:bottom w:val="single" w:sz="8" w:color="00539B"/>
            </w:tcBorders>
            <w:shd w:val="clear" w:color="auto" w:fill="E0E3F1"/>
          </w:tcPr>
          <w:p>
            <w:pPr>
              <w:spacing w:after="0"/>
              <w:rPr>
                <w:sz w:val="17"/>
                <w:szCs w:val="17"/>
                <w:color w:val="auto"/>
              </w:rPr>
            </w:pPr>
          </w:p>
        </w:tc>
        <w:tc>
          <w:tcPr>
            <w:tcW w:w="360" w:type="dxa"/>
            <w:vAlign w:val="bottom"/>
            <w:tcBorders>
              <w:bottom w:val="single" w:sz="8" w:color="00539B"/>
            </w:tcBorders>
          </w:tcPr>
          <w:p>
            <w:pPr>
              <w:spacing w:after="0"/>
              <w:rPr>
                <w:sz w:val="17"/>
                <w:szCs w:val="17"/>
                <w:color w:val="auto"/>
              </w:rPr>
            </w:pPr>
          </w:p>
        </w:tc>
        <w:tc>
          <w:tcPr>
            <w:tcW w:w="1260" w:type="dxa"/>
            <w:vAlign w:val="bottom"/>
            <w:tcBorders>
              <w:bottom w:val="single" w:sz="8" w:color="00539B"/>
            </w:tcBorders>
          </w:tcPr>
          <w:p>
            <w:pPr>
              <w:jc w:val="right"/>
              <w:ind w:right="128"/>
              <w:spacing w:after="0"/>
              <w:rPr>
                <w:sz w:val="20"/>
                <w:szCs w:val="20"/>
                <w:color w:val="auto"/>
              </w:rPr>
            </w:pPr>
            <w:r>
              <w:rPr>
                <w:rFonts w:ascii="Arial" w:cs="Arial" w:eastAsia="Arial" w:hAnsi="Arial"/>
                <w:sz w:val="14"/>
                <w:szCs w:val="14"/>
                <w:color w:val="auto"/>
              </w:rPr>
              <w:t>0.03</w:t>
            </w:r>
          </w:p>
        </w:tc>
        <w:tc>
          <w:tcPr>
            <w:tcW w:w="380" w:type="dxa"/>
            <w:vAlign w:val="bottom"/>
            <w:tcBorders>
              <w:bottom w:val="single" w:sz="8" w:color="00539B"/>
            </w:tcBorders>
          </w:tcPr>
          <w:p>
            <w:pPr>
              <w:spacing w:after="0"/>
              <w:rPr>
                <w:sz w:val="17"/>
                <w:szCs w:val="17"/>
                <w:color w:val="auto"/>
              </w:rPr>
            </w:pPr>
          </w:p>
        </w:tc>
        <w:tc>
          <w:tcPr>
            <w:tcW w:w="1260" w:type="dxa"/>
            <w:vAlign w:val="bottom"/>
            <w:tcBorders>
              <w:bottom w:val="single" w:sz="8" w:color="00539B"/>
            </w:tcBorders>
          </w:tcPr>
          <w:p>
            <w:pPr>
              <w:jc w:val="right"/>
              <w:ind w:right="108"/>
              <w:spacing w:after="0"/>
              <w:rPr>
                <w:sz w:val="20"/>
                <w:szCs w:val="20"/>
                <w:color w:val="auto"/>
              </w:rPr>
            </w:pPr>
            <w:r>
              <w:rPr>
                <w:rFonts w:ascii="Arial" w:cs="Arial" w:eastAsia="Arial" w:hAnsi="Arial"/>
                <w:sz w:val="14"/>
                <w:szCs w:val="14"/>
                <w:color w:val="auto"/>
              </w:rPr>
              <w:t>0.18</w:t>
            </w:r>
          </w:p>
        </w:tc>
      </w:tr>
      <w:tr>
        <w:trPr>
          <w:trHeight w:val="196"/>
        </w:trPr>
        <w:tc>
          <w:tcPr>
            <w:tcW w:w="632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Adjusted earnings per share—diluted</w:t>
            </w:r>
          </w:p>
        </w:tc>
        <w:tc>
          <w:tcPr>
            <w:tcW w:w="380" w:type="dxa"/>
            <w:vAlign w:val="bottom"/>
            <w:tcBorders>
              <w:bottom w:val="single" w:sz="8" w:color="00539B"/>
            </w:tcBorders>
            <w:shd w:val="clear" w:color="auto" w:fill="E0E3F1"/>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3.00</w:t>
            </w:r>
          </w:p>
        </w:tc>
        <w:tc>
          <w:tcPr>
            <w:tcW w:w="160" w:type="dxa"/>
            <w:vAlign w:val="bottom"/>
            <w:tcBorders>
              <w:bottom w:val="single" w:sz="8" w:color="00539B"/>
            </w:tcBorders>
            <w:shd w:val="clear" w:color="auto" w:fill="E0E3F1"/>
          </w:tcPr>
          <w:p>
            <w:pPr>
              <w:spacing w:after="0"/>
              <w:rPr>
                <w:sz w:val="17"/>
                <w:szCs w:val="17"/>
                <w:color w:val="auto"/>
              </w:rPr>
            </w:pPr>
          </w:p>
        </w:tc>
        <w:tc>
          <w:tcPr>
            <w:tcW w:w="360" w:type="dxa"/>
            <w:vAlign w:val="bottom"/>
            <w:tcBorders>
              <w:bottom w:val="single" w:sz="8" w:color="00539B"/>
            </w:tcBorders>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00539B"/>
            </w:tcBorders>
          </w:tcPr>
          <w:p>
            <w:pPr>
              <w:jc w:val="right"/>
              <w:ind w:right="128"/>
              <w:spacing w:after="0"/>
              <w:rPr>
                <w:sz w:val="20"/>
                <w:szCs w:val="20"/>
                <w:color w:val="auto"/>
              </w:rPr>
            </w:pPr>
            <w:r>
              <w:rPr>
                <w:rFonts w:ascii="Arial" w:cs="Arial" w:eastAsia="Arial" w:hAnsi="Arial"/>
                <w:sz w:val="14"/>
                <w:szCs w:val="14"/>
                <w:color w:val="auto"/>
              </w:rPr>
              <w:t>2.95</w:t>
            </w:r>
          </w:p>
        </w:tc>
        <w:tc>
          <w:tcPr>
            <w:tcW w:w="380" w:type="dxa"/>
            <w:vAlign w:val="bottom"/>
            <w:tcBorders>
              <w:bottom w:val="single" w:sz="8" w:color="00539B"/>
            </w:tcBorders>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00539B"/>
            </w:tcBorders>
          </w:tcPr>
          <w:p>
            <w:pPr>
              <w:jc w:val="right"/>
              <w:ind w:right="108"/>
              <w:spacing w:after="0"/>
              <w:rPr>
                <w:sz w:val="20"/>
                <w:szCs w:val="20"/>
                <w:color w:val="auto"/>
              </w:rPr>
            </w:pPr>
            <w:r>
              <w:rPr>
                <w:rFonts w:ascii="Arial" w:cs="Arial" w:eastAsia="Arial" w:hAnsi="Arial"/>
                <w:sz w:val="14"/>
                <w:szCs w:val="14"/>
                <w:color w:val="auto"/>
              </w:rPr>
              <w:t>2.70</w:t>
            </w:r>
          </w:p>
        </w:tc>
      </w:tr>
      <w:tr>
        <w:trPr>
          <w:trHeight w:val="207"/>
        </w:trPr>
        <w:tc>
          <w:tcPr>
            <w:tcW w:w="632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 increase versus prior year</w:t>
            </w:r>
          </w:p>
        </w:tc>
        <w:tc>
          <w:tcPr>
            <w:tcW w:w="380" w:type="dxa"/>
            <w:vAlign w:val="bottom"/>
            <w:tcBorders>
              <w:bottom w:val="single" w:sz="8" w:color="00539B"/>
            </w:tcBorders>
            <w:shd w:val="clear" w:color="auto" w:fill="E0E3F1"/>
          </w:tcPr>
          <w:p>
            <w:pPr>
              <w:spacing w:after="0"/>
              <w:rPr>
                <w:sz w:val="18"/>
                <w:szCs w:val="18"/>
                <w:color w:val="auto"/>
              </w:rPr>
            </w:pPr>
          </w:p>
        </w:tc>
        <w:tc>
          <w:tcPr>
            <w:tcW w:w="108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1.7</w:t>
            </w:r>
          </w:p>
        </w:tc>
        <w:tc>
          <w:tcPr>
            <w:tcW w:w="16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w w:val="96"/>
              </w:rPr>
              <w:t>%</w:t>
            </w:r>
          </w:p>
        </w:tc>
        <w:tc>
          <w:tcPr>
            <w:tcW w:w="360" w:type="dxa"/>
            <w:vAlign w:val="bottom"/>
            <w:tcBorders>
              <w:bottom w:val="single" w:sz="8" w:color="00539B"/>
            </w:tcBorders>
          </w:tcPr>
          <w:p>
            <w:pPr>
              <w:spacing w:after="0"/>
              <w:rPr>
                <w:sz w:val="18"/>
                <w:szCs w:val="18"/>
                <w:color w:val="auto"/>
              </w:rPr>
            </w:pPr>
          </w:p>
        </w:tc>
        <w:tc>
          <w:tcPr>
            <w:tcW w:w="126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9.3 %</w:t>
            </w:r>
          </w:p>
        </w:tc>
        <w:tc>
          <w:tcPr>
            <w:tcW w:w="380" w:type="dxa"/>
            <w:vAlign w:val="bottom"/>
            <w:tcBorders>
              <w:bottom w:val="single" w:sz="8" w:color="00539B"/>
            </w:tcBorders>
          </w:tcPr>
          <w:p>
            <w:pPr>
              <w:spacing w:after="0"/>
              <w:rPr>
                <w:sz w:val="18"/>
                <w:szCs w:val="18"/>
                <w:color w:val="auto"/>
              </w:rPr>
            </w:pPr>
          </w:p>
        </w:tc>
        <w:tc>
          <w:tcPr>
            <w:tcW w:w="126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6.7 %</w:t>
            </w:r>
          </w:p>
        </w:tc>
      </w:tr>
    </w:tbl>
    <w:p>
      <w:pPr>
        <w:spacing w:after="0" w:line="126" w:lineRule="exact"/>
        <w:rPr>
          <w:sz w:val="20"/>
          <w:szCs w:val="20"/>
          <w:color w:val="auto"/>
        </w:rPr>
      </w:pPr>
    </w:p>
    <w:p>
      <w:pPr>
        <w:ind w:left="560" w:right="380" w:hanging="363"/>
        <w:spacing w:after="0" w:line="252" w:lineRule="auto"/>
        <w:tabs>
          <w:tab w:leader="none" w:pos="560" w:val="left"/>
        </w:tabs>
        <w:numPr>
          <w:ilvl w:val="0"/>
          <w:numId w:val="9"/>
        </w:numPr>
        <w:rPr>
          <w:rFonts w:ascii="Arial" w:cs="Arial" w:eastAsia="Arial" w:hAnsi="Arial"/>
          <w:sz w:val="14"/>
          <w:szCs w:val="14"/>
          <w:color w:val="auto"/>
        </w:rPr>
      </w:pPr>
      <w:r>
        <w:rPr>
          <w:rFonts w:ascii="Arial" w:cs="Arial" w:eastAsia="Arial" w:hAnsi="Arial"/>
          <w:sz w:val="14"/>
          <w:szCs w:val="14"/>
          <w:color w:val="auto"/>
        </w:rPr>
        <w:t>Gross margin, impact of special charges, and adjusted gross profit margin are calculated as gross profit, impact of special charges, and adjusted gross profit as a percentage of net sales for each period presented.</w:t>
      </w:r>
    </w:p>
    <w:p>
      <w:pPr>
        <w:ind w:left="560" w:right="500" w:hanging="363"/>
        <w:spacing w:after="0" w:line="251" w:lineRule="auto"/>
        <w:tabs>
          <w:tab w:leader="none" w:pos="560" w:val="left"/>
        </w:tabs>
        <w:numPr>
          <w:ilvl w:val="0"/>
          <w:numId w:val="9"/>
        </w:numPr>
        <w:rPr>
          <w:rFonts w:ascii="Arial" w:cs="Arial" w:eastAsia="Arial" w:hAnsi="Arial"/>
          <w:sz w:val="14"/>
          <w:szCs w:val="14"/>
          <w:color w:val="auto"/>
        </w:rPr>
      </w:pPr>
      <w:r>
        <w:rPr>
          <w:rFonts w:ascii="Arial" w:cs="Arial" w:eastAsia="Arial" w:hAnsi="Arial"/>
          <w:sz w:val="14"/>
          <w:szCs w:val="14"/>
          <w:color w:val="auto"/>
        </w:rPr>
        <w:t>Operating income margin, impact of special charges, and adjusted operating income margin are calculated as operating income, impact of special charges, and adjusted operating income as a percentage of net sales for each period presented.</w:t>
      </w:r>
    </w:p>
    <w:p>
      <w:pPr>
        <w:ind w:left="560" w:right="120" w:hanging="363"/>
        <w:spacing w:after="0" w:line="234" w:lineRule="auto"/>
        <w:tabs>
          <w:tab w:leader="none" w:pos="56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Income tax rate is calculated as income tax expense as a percentage of income from consolidated operations before income taxes. Adjusted income tax rate is calculated as adjusted income tax expense as a percentage of income from consolidated operations before income taxes excluding special charges of $936.2 million, $907.8 million, and $859.9 million for the years ended November 30, 2025,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30" w:name="page31"/>
    <w:bookmarkEnd w:id="30"/>
    <w:p>
      <w:pPr>
        <w:ind w:right="220"/>
        <w:spacing w:after="0" w:line="259" w:lineRule="auto"/>
        <w:rPr>
          <w:sz w:val="20"/>
          <w:szCs w:val="20"/>
          <w:color w:val="auto"/>
        </w:rPr>
      </w:pPr>
      <w:r>
        <w:rPr>
          <w:rFonts w:ascii="Arial" w:cs="Arial" w:eastAsia="Arial" w:hAnsi="Arial"/>
          <w:sz w:val="18"/>
          <w:szCs w:val="18"/>
          <w:color w:val="auto"/>
        </w:rPr>
        <w:t>We are unable to reconcile projected adjusted earnings per share to projected reported earnings per share because our 2026 adjusted earnings per share is a non-GAAP measure that excludes certain elements that will be included in fiscal 2026 GAAP results that cannot be reasonably predicted. Given the recent acquisition date of an additional 25% ownership in McCormick de Mexico on January 2, 2026, we cannot reasonably predict the amount of special charges, including transaction and integration expenses, or the expected non-cash gain associated with remeasuring our previously held equity interest in McCormick de Mexico to fair value.</w:t>
      </w:r>
    </w:p>
    <w:p>
      <w:pPr>
        <w:spacing w:after="0" w:line="1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Because we are a multi-national company, we are subject to variability of our reported U.S. dollar results due to changes in foreign currency exchange rates. Those changes can be volatile. The exclusion of the effects of foreign currency exchange, or what we refer to as amounts expressed “on a constant currency basis,” is a non-GAAP measure. We believe that this non-GAAP measure provides additional information that enables enhanced comparison to prior periods excluding the translation effects of changes in rates of foreign currency exchange and provides additional insight into the underlying performance of our operations located outside the U.S. It should be noted that our presentation herein of amounts and percentage changes on a constant currency basis does not exclude the impact of foreign currency transaction gains and losses (that is, the impact of transactions denominated in other than the local currency of any of our subsidiaries in their local currency reported results).</w:t>
      </w:r>
    </w:p>
    <w:p>
      <w:pPr>
        <w:spacing w:after="0" w:line="13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provide organic net sales growth rates for our consolidated net sales and segment net sales. We believe that organic net sales growth rates provide useful information to investors because they provide transparency to underlying performance in our net sales by excluding the effect that foreign currency exchange rate fluctuations, acquisitions, and divestitures, as applicable, have on year-to-year comparability. A reconciliation of these measures from reported net sales growth rates, the relevant GAAP measures, are included in the tables set forth below.</w:t>
      </w:r>
    </w:p>
    <w:p>
      <w:pPr>
        <w:spacing w:after="0" w:line="1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Percentage changes in organic sales and adjusted operating income expressed on a constant currency basis are presented excluding the impact of foreign currency exchange. To present this information for historical periods, current year results for entities reporting in currencies other than the U.S. dollar are translated into U.S. dollars at the average exchange rates in effect during the prior fiscal year, rather than at the actual average exchange rates in effect during the current fiscal year. As a result, the foreign currency impact is equal to the current year results in local currencies multiplied by the change in the average foreign currency exchange rate between the current year and the prior fiscal year.</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Rates of constant currency and organic growth (decline) follow:</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20" w:type="dxa"/>
            <w:vAlign w:val="bottom"/>
            <w:tcBorders>
              <w:bottom w:val="single" w:sz="8" w:color="E0E3F1"/>
            </w:tcBorders>
            <w:shd w:val="clear" w:color="auto" w:fill="E0E3F1"/>
          </w:tcPr>
          <w:p>
            <w:pPr>
              <w:spacing w:after="0"/>
              <w:rPr>
                <w:sz w:val="17"/>
                <w:szCs w:val="17"/>
                <w:color w:val="auto"/>
              </w:rPr>
            </w:pPr>
          </w:p>
        </w:tc>
        <w:tc>
          <w:tcPr>
            <w:tcW w:w="6080" w:type="dxa"/>
            <w:vAlign w:val="bottom"/>
            <w:tcBorders>
              <w:bottom w:val="single" w:sz="8" w:color="auto"/>
            </w:tcBorders>
            <w:gridSpan w:val="5"/>
            <w:shd w:val="clear" w:color="auto" w:fill="E0E3F1"/>
          </w:tcPr>
          <w:p>
            <w:pPr>
              <w:jc w:val="center"/>
              <w:spacing w:after="0"/>
              <w:rPr>
                <w:sz w:val="20"/>
                <w:szCs w:val="20"/>
                <w:color w:val="auto"/>
              </w:rPr>
            </w:pPr>
            <w:r>
              <w:rPr>
                <w:rFonts w:ascii="Arial" w:cs="Arial" w:eastAsia="Arial" w:hAnsi="Arial"/>
                <w:sz w:val="14"/>
                <w:szCs w:val="14"/>
                <w:color w:val="auto"/>
              </w:rPr>
              <w:t>For the year ended November 30, 2025</w:t>
            </w:r>
          </w:p>
        </w:tc>
        <w:tc>
          <w:tcPr>
            <w:tcW w:w="0" w:type="dxa"/>
            <w:vAlign w:val="bottom"/>
          </w:tcPr>
          <w:p>
            <w:pPr>
              <w:spacing w:after="0"/>
              <w:rPr>
                <w:sz w:val="1"/>
                <w:szCs w:val="1"/>
                <w:color w:val="auto"/>
              </w:rPr>
            </w:pPr>
          </w:p>
        </w:tc>
      </w:tr>
      <w:tr>
        <w:trPr>
          <w:trHeight w:val="146"/>
        </w:trPr>
        <w:tc>
          <w:tcPr>
            <w:tcW w:w="5020" w:type="dxa"/>
            <w:vAlign w:val="bottom"/>
            <w:shd w:val="clear" w:color="auto" w:fill="E0E3F1"/>
          </w:tcPr>
          <w:p>
            <w:pPr>
              <w:spacing w:after="0"/>
              <w:rPr>
                <w:sz w:val="12"/>
                <w:szCs w:val="12"/>
                <w:color w:val="auto"/>
              </w:rPr>
            </w:pPr>
          </w:p>
        </w:tc>
        <w:tc>
          <w:tcPr>
            <w:tcW w:w="2020" w:type="dxa"/>
            <w:vAlign w:val="bottom"/>
            <w:gridSpan w:val="2"/>
            <w:vMerge w:val="restart"/>
            <w:shd w:val="clear" w:color="auto" w:fill="E0E3F1"/>
          </w:tcPr>
          <w:p>
            <w:pPr>
              <w:jc w:val="right"/>
              <w:ind w:right="328"/>
              <w:spacing w:after="0"/>
              <w:rPr>
                <w:sz w:val="20"/>
                <w:szCs w:val="20"/>
                <w:color w:val="auto"/>
              </w:rPr>
            </w:pPr>
            <w:r>
              <w:rPr>
                <w:rFonts w:ascii="Arial" w:cs="Arial" w:eastAsia="Arial" w:hAnsi="Arial"/>
                <w:sz w:val="14"/>
                <w:szCs w:val="14"/>
                <w:color w:val="auto"/>
              </w:rPr>
              <w:t>Percentage change</w:t>
            </w:r>
          </w:p>
        </w:tc>
        <w:tc>
          <w:tcPr>
            <w:tcW w:w="2020" w:type="dxa"/>
            <w:vAlign w:val="bottom"/>
            <w:gridSpan w:val="2"/>
            <w:vMerge w:val="restart"/>
            <w:shd w:val="clear" w:color="auto" w:fill="E0E3F1"/>
          </w:tcPr>
          <w:p>
            <w:pPr>
              <w:jc w:val="center"/>
              <w:spacing w:after="0"/>
              <w:rPr>
                <w:sz w:val="20"/>
                <w:szCs w:val="20"/>
                <w:color w:val="auto"/>
              </w:rPr>
            </w:pPr>
            <w:r>
              <w:rPr>
                <w:rFonts w:ascii="Arial" w:cs="Arial" w:eastAsia="Arial" w:hAnsi="Arial"/>
                <w:sz w:val="14"/>
                <w:szCs w:val="14"/>
                <w:color w:val="auto"/>
              </w:rPr>
              <w:t>Impact of foreign currency</w:t>
            </w:r>
          </w:p>
        </w:tc>
        <w:tc>
          <w:tcPr>
            <w:tcW w:w="2040" w:type="dxa"/>
            <w:vAlign w:val="bottom"/>
            <w:shd w:val="clear" w:color="auto" w:fill="E0E3F1"/>
          </w:tcPr>
          <w:p>
            <w:pPr>
              <w:jc w:val="center"/>
              <w:spacing w:after="0" w:line="147" w:lineRule="exact"/>
              <w:rPr>
                <w:sz w:val="20"/>
                <w:szCs w:val="20"/>
                <w:color w:val="auto"/>
              </w:rPr>
            </w:pPr>
            <w:r>
              <w:rPr>
                <w:rFonts w:ascii="Arial" w:cs="Arial" w:eastAsia="Arial" w:hAnsi="Arial"/>
                <w:sz w:val="14"/>
                <w:szCs w:val="14"/>
                <w:color w:val="auto"/>
              </w:rPr>
              <w:t>Percentage change on both a</w:t>
            </w:r>
          </w:p>
        </w:tc>
        <w:tc>
          <w:tcPr>
            <w:tcW w:w="0" w:type="dxa"/>
            <w:vAlign w:val="bottom"/>
          </w:tcPr>
          <w:p>
            <w:pPr>
              <w:spacing w:after="0"/>
              <w:rPr>
                <w:sz w:val="1"/>
                <w:szCs w:val="1"/>
                <w:color w:val="auto"/>
              </w:rPr>
            </w:pPr>
          </w:p>
        </w:tc>
      </w:tr>
      <w:tr>
        <w:trPr>
          <w:trHeight w:val="144"/>
        </w:trPr>
        <w:tc>
          <w:tcPr>
            <w:tcW w:w="5020" w:type="dxa"/>
            <w:vAlign w:val="bottom"/>
            <w:shd w:val="clear" w:color="auto" w:fill="E0E3F1"/>
          </w:tcPr>
          <w:p>
            <w:pPr>
              <w:spacing w:after="0"/>
              <w:rPr>
                <w:sz w:val="12"/>
                <w:szCs w:val="12"/>
                <w:color w:val="auto"/>
              </w:rPr>
            </w:pPr>
          </w:p>
        </w:tc>
        <w:tc>
          <w:tcPr>
            <w:tcW w:w="2020" w:type="dxa"/>
            <w:vAlign w:val="bottom"/>
            <w:gridSpan w:val="2"/>
            <w:vMerge w:val="continue"/>
            <w:shd w:val="clear" w:color="auto" w:fill="E0E3F1"/>
          </w:tcPr>
          <w:p>
            <w:pPr>
              <w:spacing w:after="0"/>
              <w:rPr>
                <w:sz w:val="12"/>
                <w:szCs w:val="12"/>
                <w:color w:val="auto"/>
              </w:rPr>
            </w:pPr>
          </w:p>
        </w:tc>
        <w:tc>
          <w:tcPr>
            <w:tcW w:w="2020" w:type="dxa"/>
            <w:vAlign w:val="bottom"/>
            <w:gridSpan w:val="2"/>
            <w:vMerge w:val="continue"/>
            <w:shd w:val="clear" w:color="auto" w:fill="E0E3F1"/>
          </w:tcPr>
          <w:p>
            <w:pPr>
              <w:spacing w:after="0"/>
              <w:rPr>
                <w:sz w:val="12"/>
                <w:szCs w:val="12"/>
                <w:color w:val="auto"/>
              </w:rPr>
            </w:pPr>
          </w:p>
        </w:tc>
        <w:tc>
          <w:tcPr>
            <w:tcW w:w="2040" w:type="dxa"/>
            <w:vAlign w:val="bottom"/>
            <w:shd w:val="clear" w:color="auto" w:fill="E0E3F1"/>
          </w:tcPr>
          <w:p>
            <w:pPr>
              <w:jc w:val="center"/>
              <w:spacing w:after="0" w:line="145" w:lineRule="exact"/>
              <w:rPr>
                <w:sz w:val="20"/>
                <w:szCs w:val="20"/>
                <w:color w:val="auto"/>
              </w:rPr>
            </w:pPr>
            <w:r>
              <w:rPr>
                <w:rFonts w:ascii="Arial" w:cs="Arial" w:eastAsia="Arial" w:hAnsi="Arial"/>
                <w:sz w:val="14"/>
                <w:szCs w:val="14"/>
                <w:color w:val="auto"/>
              </w:rPr>
              <w:t>constant currency and organic</w:t>
            </w:r>
          </w:p>
        </w:tc>
        <w:tc>
          <w:tcPr>
            <w:tcW w:w="0" w:type="dxa"/>
            <w:vAlign w:val="bottom"/>
          </w:tcPr>
          <w:p>
            <w:pPr>
              <w:spacing w:after="0"/>
              <w:rPr>
                <w:sz w:val="1"/>
                <w:szCs w:val="1"/>
                <w:color w:val="auto"/>
              </w:rPr>
            </w:pPr>
          </w:p>
        </w:tc>
      </w:tr>
      <w:tr>
        <w:trPr>
          <w:trHeight w:val="189"/>
        </w:trPr>
        <w:tc>
          <w:tcPr>
            <w:tcW w:w="5020" w:type="dxa"/>
            <w:vAlign w:val="bottom"/>
            <w:tcBorders>
              <w:bottom w:val="single" w:sz="8" w:color="E0E3F1"/>
            </w:tcBorders>
            <w:vMerge w:val="restart"/>
            <w:shd w:val="clear" w:color="auto" w:fill="E0E3F1"/>
          </w:tcPr>
          <w:p>
            <w:pPr>
              <w:ind w:left="20"/>
              <w:spacing w:after="0"/>
              <w:rPr>
                <w:sz w:val="20"/>
                <w:szCs w:val="20"/>
                <w:color w:val="auto"/>
              </w:rPr>
            </w:pPr>
            <w:r>
              <w:rPr>
                <w:rFonts w:ascii="Arial" w:cs="Arial" w:eastAsia="Arial" w:hAnsi="Arial"/>
                <w:sz w:val="14"/>
                <w:szCs w:val="14"/>
                <w:b w:val="1"/>
                <w:bCs w:val="1"/>
                <w:color w:val="auto"/>
              </w:rPr>
              <w:t>Net sales:</w:t>
            </w:r>
          </w:p>
        </w:tc>
        <w:tc>
          <w:tcPr>
            <w:tcW w:w="2020" w:type="dxa"/>
            <w:vAlign w:val="bottom"/>
            <w:tcBorders>
              <w:bottom w:val="single" w:sz="8" w:color="auto"/>
            </w:tcBorders>
            <w:gridSpan w:val="2"/>
            <w:shd w:val="clear" w:color="auto" w:fill="E0E3F1"/>
          </w:tcPr>
          <w:p>
            <w:pPr>
              <w:jc w:val="right"/>
              <w:ind w:right="568"/>
              <w:spacing w:after="0"/>
              <w:rPr>
                <w:sz w:val="20"/>
                <w:szCs w:val="20"/>
                <w:color w:val="auto"/>
              </w:rPr>
            </w:pPr>
            <w:r>
              <w:rPr>
                <w:rFonts w:ascii="Arial" w:cs="Arial" w:eastAsia="Arial" w:hAnsi="Arial"/>
                <w:sz w:val="14"/>
                <w:szCs w:val="14"/>
                <w:color w:val="auto"/>
              </w:rPr>
              <w:t>as reported</w:t>
            </w:r>
          </w:p>
        </w:tc>
        <w:tc>
          <w:tcPr>
            <w:tcW w:w="2020" w:type="dxa"/>
            <w:vAlign w:val="bottom"/>
            <w:tcBorders>
              <w:bottom w:val="single" w:sz="8" w:color="auto"/>
            </w:tcBorders>
            <w:gridSpan w:val="2"/>
            <w:shd w:val="clear" w:color="auto" w:fill="E0E3F1"/>
          </w:tcPr>
          <w:p>
            <w:pPr>
              <w:jc w:val="center"/>
              <w:spacing w:after="0"/>
              <w:rPr>
                <w:sz w:val="20"/>
                <w:szCs w:val="20"/>
                <w:color w:val="auto"/>
              </w:rPr>
            </w:pPr>
            <w:r>
              <w:rPr>
                <w:rFonts w:ascii="Arial" w:cs="Arial" w:eastAsia="Arial" w:hAnsi="Arial"/>
                <w:sz w:val="14"/>
                <w:szCs w:val="14"/>
                <w:color w:val="auto"/>
              </w:rPr>
              <w:t>exchange</w:t>
            </w:r>
          </w:p>
        </w:tc>
        <w:tc>
          <w:tcPr>
            <w:tcW w:w="2040" w:type="dxa"/>
            <w:vAlign w:val="bottom"/>
            <w:tcBorders>
              <w:bottom w:val="single" w:sz="8" w:color="auto"/>
            </w:tcBorders>
            <w:shd w:val="clear" w:color="auto" w:fill="E0E3F1"/>
          </w:tcPr>
          <w:p>
            <w:pPr>
              <w:jc w:val="center"/>
              <w:spacing w:after="0"/>
              <w:rPr>
                <w:sz w:val="20"/>
                <w:szCs w:val="20"/>
                <w:color w:val="auto"/>
              </w:rPr>
            </w:pPr>
            <w:r>
              <w:rPr>
                <w:rFonts w:ascii="Arial" w:cs="Arial" w:eastAsia="Arial" w:hAnsi="Arial"/>
                <w:sz w:val="14"/>
                <w:szCs w:val="14"/>
                <w:color w:val="auto"/>
              </w:rPr>
              <w:t>basis</w:t>
            </w:r>
          </w:p>
        </w:tc>
        <w:tc>
          <w:tcPr>
            <w:tcW w:w="0" w:type="dxa"/>
            <w:vAlign w:val="bottom"/>
          </w:tcPr>
          <w:p>
            <w:pPr>
              <w:spacing w:after="0"/>
              <w:rPr>
                <w:sz w:val="1"/>
                <w:szCs w:val="1"/>
                <w:color w:val="auto"/>
              </w:rPr>
            </w:pPr>
          </w:p>
        </w:tc>
      </w:tr>
      <w:tr>
        <w:trPr>
          <w:trHeight w:val="180"/>
        </w:trPr>
        <w:tc>
          <w:tcPr>
            <w:tcW w:w="5020" w:type="dxa"/>
            <w:vAlign w:val="bottom"/>
            <w:vMerge w:val="continue"/>
            <w:shd w:val="clear" w:color="auto" w:fill="E0E3F1"/>
          </w:tcPr>
          <w:p>
            <w:pPr>
              <w:spacing w:after="0"/>
              <w:rPr>
                <w:sz w:val="15"/>
                <w:szCs w:val="15"/>
                <w:color w:val="auto"/>
              </w:rPr>
            </w:pPr>
          </w:p>
        </w:tc>
        <w:tc>
          <w:tcPr>
            <w:tcW w:w="1880" w:type="dxa"/>
            <w:vAlign w:val="bottom"/>
            <w:shd w:val="clear" w:color="auto" w:fill="E0E3F1"/>
          </w:tcPr>
          <w:p>
            <w:pPr>
              <w:spacing w:after="0"/>
              <w:rPr>
                <w:sz w:val="15"/>
                <w:szCs w:val="15"/>
                <w:color w:val="auto"/>
              </w:rPr>
            </w:pPr>
          </w:p>
        </w:tc>
        <w:tc>
          <w:tcPr>
            <w:tcW w:w="140" w:type="dxa"/>
            <w:vAlign w:val="bottom"/>
            <w:shd w:val="clear" w:color="auto" w:fill="E0E3F1"/>
          </w:tcPr>
          <w:p>
            <w:pPr>
              <w:spacing w:after="0"/>
              <w:rPr>
                <w:sz w:val="15"/>
                <w:szCs w:val="15"/>
                <w:color w:val="auto"/>
              </w:rPr>
            </w:pPr>
          </w:p>
        </w:tc>
        <w:tc>
          <w:tcPr>
            <w:tcW w:w="1880" w:type="dxa"/>
            <w:vAlign w:val="bottom"/>
            <w:shd w:val="clear" w:color="auto" w:fill="E0E3F1"/>
          </w:tcPr>
          <w:p>
            <w:pPr>
              <w:spacing w:after="0"/>
              <w:rPr>
                <w:sz w:val="15"/>
                <w:szCs w:val="15"/>
                <w:color w:val="auto"/>
              </w:rPr>
            </w:pPr>
          </w:p>
        </w:tc>
        <w:tc>
          <w:tcPr>
            <w:tcW w:w="140" w:type="dxa"/>
            <w:vAlign w:val="bottom"/>
            <w:shd w:val="clear" w:color="auto" w:fill="E0E3F1"/>
          </w:tcPr>
          <w:p>
            <w:pPr>
              <w:spacing w:after="0"/>
              <w:rPr>
                <w:sz w:val="15"/>
                <w:szCs w:val="15"/>
                <w:color w:val="auto"/>
              </w:rPr>
            </w:pPr>
          </w:p>
        </w:tc>
        <w:tc>
          <w:tcPr>
            <w:tcW w:w="2040" w:type="dxa"/>
            <w:vAlign w:val="bottom"/>
            <w:shd w:val="clear" w:color="auto" w:fill="E0E3F1"/>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020" w:type="dxa"/>
            <w:vAlign w:val="bottom"/>
            <w:shd w:val="clear" w:color="auto" w:fill="E0E3F1"/>
          </w:tcPr>
          <w:p>
            <w:pPr>
              <w:ind w:left="140"/>
              <w:spacing w:after="0"/>
              <w:rPr>
                <w:sz w:val="20"/>
                <w:szCs w:val="20"/>
                <w:color w:val="auto"/>
              </w:rPr>
            </w:pPr>
            <w:r>
              <w:rPr>
                <w:rFonts w:ascii="Arial" w:cs="Arial" w:eastAsia="Arial" w:hAnsi="Arial"/>
                <w:sz w:val="14"/>
                <w:szCs w:val="14"/>
                <w:color w:val="auto"/>
              </w:rPr>
              <w:t>Consumer segment:</w:t>
            </w:r>
          </w:p>
        </w:tc>
        <w:tc>
          <w:tcPr>
            <w:tcW w:w="1880" w:type="dxa"/>
            <w:vAlign w:val="bottom"/>
            <w:shd w:val="clear" w:color="auto" w:fill="E0E3F1"/>
          </w:tcPr>
          <w:p>
            <w:pPr>
              <w:spacing w:after="0"/>
              <w:rPr>
                <w:sz w:val="17"/>
                <w:szCs w:val="17"/>
                <w:color w:val="auto"/>
              </w:rPr>
            </w:pPr>
          </w:p>
        </w:tc>
        <w:tc>
          <w:tcPr>
            <w:tcW w:w="140" w:type="dxa"/>
            <w:vAlign w:val="bottom"/>
            <w:shd w:val="clear" w:color="auto" w:fill="E0E3F1"/>
          </w:tcPr>
          <w:p>
            <w:pPr>
              <w:spacing w:after="0"/>
              <w:rPr>
                <w:sz w:val="17"/>
                <w:szCs w:val="17"/>
                <w:color w:val="auto"/>
              </w:rPr>
            </w:pPr>
          </w:p>
        </w:tc>
        <w:tc>
          <w:tcPr>
            <w:tcW w:w="1880" w:type="dxa"/>
            <w:vAlign w:val="bottom"/>
            <w:shd w:val="clear" w:color="auto" w:fill="E0E3F1"/>
          </w:tcPr>
          <w:p>
            <w:pPr>
              <w:spacing w:after="0"/>
              <w:rPr>
                <w:sz w:val="17"/>
                <w:szCs w:val="17"/>
                <w:color w:val="auto"/>
              </w:rPr>
            </w:pPr>
          </w:p>
        </w:tc>
        <w:tc>
          <w:tcPr>
            <w:tcW w:w="140" w:type="dxa"/>
            <w:vAlign w:val="bottom"/>
            <w:shd w:val="clear" w:color="auto" w:fill="E0E3F1"/>
          </w:tcPr>
          <w:p>
            <w:pPr>
              <w:spacing w:after="0"/>
              <w:rPr>
                <w:sz w:val="17"/>
                <w:szCs w:val="17"/>
                <w:color w:val="auto"/>
              </w:rPr>
            </w:pPr>
          </w:p>
        </w:tc>
        <w:tc>
          <w:tcPr>
            <w:tcW w:w="2040" w:type="dxa"/>
            <w:vAlign w:val="bottom"/>
            <w:shd w:val="clear" w:color="auto" w:fill="E0E3F1"/>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shd w:val="clear" w:color="auto" w:fill="E0E3F1"/>
          </w:tcPr>
          <w:p>
            <w:pPr>
              <w:ind w:left="360"/>
              <w:spacing w:after="0"/>
              <w:rPr>
                <w:sz w:val="20"/>
                <w:szCs w:val="20"/>
                <w:color w:val="auto"/>
              </w:rPr>
            </w:pPr>
            <w:r>
              <w:rPr>
                <w:rFonts w:ascii="Arial" w:cs="Arial" w:eastAsia="Arial" w:hAnsi="Arial"/>
                <w:sz w:val="14"/>
                <w:szCs w:val="14"/>
                <w:color w:val="auto"/>
              </w:rPr>
              <w:t>Americas</w:t>
            </w:r>
          </w:p>
        </w:tc>
        <w:tc>
          <w:tcPr>
            <w:tcW w:w="1880" w:type="dxa"/>
            <w:vAlign w:val="bottom"/>
            <w:shd w:val="clear" w:color="auto" w:fill="E0E3F1"/>
          </w:tcPr>
          <w:p>
            <w:pPr>
              <w:jc w:val="right"/>
              <w:spacing w:after="0"/>
              <w:rPr>
                <w:sz w:val="20"/>
                <w:szCs w:val="20"/>
                <w:color w:val="auto"/>
              </w:rPr>
            </w:pPr>
            <w:r>
              <w:rPr>
                <w:rFonts w:ascii="Arial" w:cs="Arial" w:eastAsia="Arial" w:hAnsi="Arial"/>
                <w:sz w:val="14"/>
                <w:szCs w:val="14"/>
                <w:color w:val="auto"/>
              </w:rPr>
              <w:t>2.0</w:t>
            </w:r>
          </w:p>
        </w:tc>
        <w:tc>
          <w:tcPr>
            <w:tcW w:w="140" w:type="dxa"/>
            <w:vAlign w:val="bottom"/>
            <w:shd w:val="clear" w:color="auto" w:fill="E0E3F1"/>
          </w:tcPr>
          <w:p>
            <w:pPr>
              <w:jc w:val="right"/>
              <w:spacing w:after="0"/>
              <w:rPr>
                <w:sz w:val="20"/>
                <w:szCs w:val="20"/>
                <w:color w:val="auto"/>
              </w:rPr>
            </w:pPr>
            <w:r>
              <w:rPr>
                <w:rFonts w:ascii="Arial" w:cs="Arial" w:eastAsia="Arial" w:hAnsi="Arial"/>
                <w:sz w:val="14"/>
                <w:szCs w:val="14"/>
                <w:color w:val="auto"/>
                <w:w w:val="79"/>
              </w:rPr>
              <w:t>%</w:t>
            </w:r>
          </w:p>
        </w:tc>
        <w:tc>
          <w:tcPr>
            <w:tcW w:w="2020" w:type="dxa"/>
            <w:vAlign w:val="bottom"/>
            <w:gridSpan w:val="2"/>
            <w:shd w:val="clear" w:color="auto" w:fill="E0E3F1"/>
          </w:tcPr>
          <w:p>
            <w:pPr>
              <w:jc w:val="right"/>
              <w:spacing w:after="0"/>
              <w:rPr>
                <w:sz w:val="20"/>
                <w:szCs w:val="20"/>
                <w:color w:val="auto"/>
              </w:rPr>
            </w:pPr>
            <w:r>
              <w:rPr>
                <w:rFonts w:ascii="Arial" w:cs="Arial" w:eastAsia="Arial" w:hAnsi="Arial"/>
                <w:sz w:val="14"/>
                <w:szCs w:val="14"/>
                <w:color w:val="auto"/>
              </w:rPr>
              <w:t>(0.3)%</w:t>
            </w:r>
          </w:p>
        </w:tc>
        <w:tc>
          <w:tcPr>
            <w:tcW w:w="2040" w:type="dxa"/>
            <w:vAlign w:val="bottom"/>
            <w:shd w:val="clear" w:color="auto" w:fill="E0E3F1"/>
          </w:tcPr>
          <w:p>
            <w:pPr>
              <w:jc w:val="right"/>
              <w:spacing w:after="0"/>
              <w:rPr>
                <w:sz w:val="20"/>
                <w:szCs w:val="20"/>
                <w:color w:val="auto"/>
              </w:rPr>
            </w:pPr>
            <w:r>
              <w:rPr>
                <w:rFonts w:ascii="Arial" w:cs="Arial" w:eastAsia="Arial" w:hAnsi="Arial"/>
                <w:sz w:val="14"/>
                <w:szCs w:val="14"/>
                <w:color w:val="auto"/>
              </w:rPr>
              <w:t>2.3 %</w:t>
            </w:r>
          </w:p>
        </w:tc>
        <w:tc>
          <w:tcPr>
            <w:tcW w:w="0" w:type="dxa"/>
            <w:vAlign w:val="bottom"/>
          </w:tcPr>
          <w:p>
            <w:pPr>
              <w:spacing w:after="0"/>
              <w:rPr>
                <w:sz w:val="1"/>
                <w:szCs w:val="1"/>
                <w:color w:val="auto"/>
              </w:rPr>
            </w:pPr>
          </w:p>
        </w:tc>
      </w:tr>
      <w:tr>
        <w:trPr>
          <w:trHeight w:val="203"/>
        </w:trPr>
        <w:tc>
          <w:tcPr>
            <w:tcW w:w="5020" w:type="dxa"/>
            <w:vAlign w:val="bottom"/>
            <w:shd w:val="clear" w:color="auto" w:fill="E0E3F1"/>
          </w:tcPr>
          <w:p>
            <w:pPr>
              <w:ind w:left="360"/>
              <w:spacing w:after="0"/>
              <w:rPr>
                <w:sz w:val="20"/>
                <w:szCs w:val="20"/>
                <w:color w:val="auto"/>
              </w:rPr>
            </w:pPr>
            <w:r>
              <w:rPr>
                <w:rFonts w:ascii="Arial" w:cs="Arial" w:eastAsia="Arial" w:hAnsi="Arial"/>
                <w:sz w:val="14"/>
                <w:szCs w:val="14"/>
                <w:color w:val="auto"/>
              </w:rPr>
              <w:t>EMEA</w:t>
            </w:r>
          </w:p>
        </w:tc>
        <w:tc>
          <w:tcPr>
            <w:tcW w:w="1880" w:type="dxa"/>
            <w:vAlign w:val="bottom"/>
            <w:shd w:val="clear" w:color="auto" w:fill="E0E3F1"/>
          </w:tcPr>
          <w:p>
            <w:pPr>
              <w:jc w:val="right"/>
              <w:spacing w:after="0"/>
              <w:rPr>
                <w:sz w:val="20"/>
                <w:szCs w:val="20"/>
                <w:color w:val="auto"/>
              </w:rPr>
            </w:pPr>
            <w:r>
              <w:rPr>
                <w:rFonts w:ascii="Arial" w:cs="Arial" w:eastAsia="Arial" w:hAnsi="Arial"/>
                <w:sz w:val="14"/>
                <w:szCs w:val="14"/>
                <w:color w:val="auto"/>
              </w:rPr>
              <w:t>6.0</w:t>
            </w:r>
          </w:p>
        </w:tc>
        <w:tc>
          <w:tcPr>
            <w:tcW w:w="140" w:type="dxa"/>
            <w:vAlign w:val="bottom"/>
            <w:shd w:val="clear" w:color="auto" w:fill="E0E3F1"/>
          </w:tcPr>
          <w:p>
            <w:pPr>
              <w:jc w:val="right"/>
              <w:spacing w:after="0"/>
              <w:rPr>
                <w:sz w:val="20"/>
                <w:szCs w:val="20"/>
                <w:color w:val="auto"/>
              </w:rPr>
            </w:pPr>
            <w:r>
              <w:rPr>
                <w:rFonts w:ascii="Arial" w:cs="Arial" w:eastAsia="Arial" w:hAnsi="Arial"/>
                <w:sz w:val="14"/>
                <w:szCs w:val="14"/>
                <w:color w:val="auto"/>
                <w:w w:val="79"/>
              </w:rPr>
              <w:t>%</w:t>
            </w:r>
          </w:p>
        </w:tc>
        <w:tc>
          <w:tcPr>
            <w:tcW w:w="2020" w:type="dxa"/>
            <w:vAlign w:val="bottom"/>
            <w:gridSpan w:val="2"/>
            <w:shd w:val="clear" w:color="auto" w:fill="E0E3F1"/>
          </w:tcPr>
          <w:p>
            <w:pPr>
              <w:jc w:val="right"/>
              <w:spacing w:after="0"/>
              <w:rPr>
                <w:sz w:val="20"/>
                <w:szCs w:val="20"/>
                <w:color w:val="auto"/>
              </w:rPr>
            </w:pPr>
            <w:r>
              <w:rPr>
                <w:rFonts w:ascii="Arial" w:cs="Arial" w:eastAsia="Arial" w:hAnsi="Arial"/>
                <w:sz w:val="14"/>
                <w:szCs w:val="14"/>
                <w:color w:val="auto"/>
              </w:rPr>
              <w:t>2.5 %</w:t>
            </w:r>
          </w:p>
        </w:tc>
        <w:tc>
          <w:tcPr>
            <w:tcW w:w="2040" w:type="dxa"/>
            <w:vAlign w:val="bottom"/>
            <w:shd w:val="clear" w:color="auto" w:fill="E0E3F1"/>
          </w:tcPr>
          <w:p>
            <w:pPr>
              <w:jc w:val="right"/>
              <w:spacing w:after="0"/>
              <w:rPr>
                <w:sz w:val="20"/>
                <w:szCs w:val="20"/>
                <w:color w:val="auto"/>
              </w:rPr>
            </w:pPr>
            <w:r>
              <w:rPr>
                <w:rFonts w:ascii="Arial" w:cs="Arial" w:eastAsia="Arial" w:hAnsi="Arial"/>
                <w:sz w:val="14"/>
                <w:szCs w:val="14"/>
                <w:color w:val="auto"/>
              </w:rPr>
              <w:t>3.5 %</w:t>
            </w:r>
          </w:p>
        </w:tc>
        <w:tc>
          <w:tcPr>
            <w:tcW w:w="0" w:type="dxa"/>
            <w:vAlign w:val="bottom"/>
          </w:tcPr>
          <w:p>
            <w:pPr>
              <w:spacing w:after="0"/>
              <w:rPr>
                <w:sz w:val="1"/>
                <w:szCs w:val="1"/>
                <w:color w:val="auto"/>
              </w:rPr>
            </w:pPr>
          </w:p>
        </w:tc>
      </w:tr>
      <w:tr>
        <w:trPr>
          <w:trHeight w:val="204"/>
        </w:trPr>
        <w:tc>
          <w:tcPr>
            <w:tcW w:w="5020" w:type="dxa"/>
            <w:vAlign w:val="bottom"/>
            <w:tcBorders>
              <w:bottom w:val="single" w:sz="8" w:color="E0E3F1"/>
            </w:tcBorders>
            <w:shd w:val="clear" w:color="auto" w:fill="E0E3F1"/>
          </w:tcPr>
          <w:p>
            <w:pPr>
              <w:ind w:left="360"/>
              <w:spacing w:after="0"/>
              <w:rPr>
                <w:sz w:val="20"/>
                <w:szCs w:val="20"/>
                <w:color w:val="auto"/>
              </w:rPr>
            </w:pPr>
            <w:r>
              <w:rPr>
                <w:rFonts w:ascii="Arial" w:cs="Arial" w:eastAsia="Arial" w:hAnsi="Arial"/>
                <w:sz w:val="14"/>
                <w:szCs w:val="14"/>
                <w:color w:val="auto"/>
              </w:rPr>
              <w:t>APAC</w:t>
            </w:r>
          </w:p>
        </w:tc>
        <w:tc>
          <w:tcPr>
            <w:tcW w:w="1880" w:type="dxa"/>
            <w:vAlign w:val="bottom"/>
            <w:tcBorders>
              <w:bottom w:val="single" w:sz="8" w:color="auto"/>
            </w:tcBorders>
            <w:shd w:val="clear" w:color="auto" w:fill="E0E3F1"/>
          </w:tcPr>
          <w:p>
            <w:pPr>
              <w:jc w:val="right"/>
              <w:spacing w:after="0"/>
              <w:rPr>
                <w:sz w:val="20"/>
                <w:szCs w:val="20"/>
                <w:color w:val="auto"/>
              </w:rPr>
            </w:pPr>
            <w:r>
              <w:rPr>
                <w:rFonts w:ascii="Arial" w:cs="Arial" w:eastAsia="Arial" w:hAnsi="Arial"/>
                <w:sz w:val="14"/>
                <w:szCs w:val="14"/>
                <w:color w:val="auto"/>
              </w:rPr>
              <w:t>1.0</w:t>
            </w:r>
          </w:p>
        </w:tc>
        <w:tc>
          <w:tcPr>
            <w:tcW w:w="140" w:type="dxa"/>
            <w:vAlign w:val="bottom"/>
            <w:tcBorders>
              <w:bottom w:val="single" w:sz="8" w:color="auto"/>
            </w:tcBorders>
            <w:shd w:val="clear" w:color="auto" w:fill="E0E3F1"/>
          </w:tcPr>
          <w:p>
            <w:pPr>
              <w:jc w:val="right"/>
              <w:spacing w:after="0"/>
              <w:rPr>
                <w:sz w:val="20"/>
                <w:szCs w:val="20"/>
                <w:color w:val="auto"/>
              </w:rPr>
            </w:pPr>
            <w:r>
              <w:rPr>
                <w:rFonts w:ascii="Arial" w:cs="Arial" w:eastAsia="Arial" w:hAnsi="Arial"/>
                <w:sz w:val="14"/>
                <w:szCs w:val="14"/>
                <w:color w:val="auto"/>
                <w:w w:val="79"/>
              </w:rPr>
              <w:t>%</w:t>
            </w:r>
          </w:p>
        </w:tc>
        <w:tc>
          <w:tcPr>
            <w:tcW w:w="2020" w:type="dxa"/>
            <w:vAlign w:val="bottom"/>
            <w:tcBorders>
              <w:bottom w:val="single" w:sz="8" w:color="auto"/>
            </w:tcBorders>
            <w:gridSpan w:val="2"/>
            <w:shd w:val="clear" w:color="auto" w:fill="E0E3F1"/>
          </w:tcPr>
          <w:p>
            <w:pPr>
              <w:jc w:val="right"/>
              <w:spacing w:after="0"/>
              <w:rPr>
                <w:sz w:val="20"/>
                <w:szCs w:val="20"/>
                <w:color w:val="auto"/>
              </w:rPr>
            </w:pPr>
            <w:r>
              <w:rPr>
                <w:rFonts w:ascii="Arial" w:cs="Arial" w:eastAsia="Arial" w:hAnsi="Arial"/>
                <w:sz w:val="14"/>
                <w:szCs w:val="14"/>
                <w:color w:val="auto"/>
              </w:rPr>
              <w:t>(0.9)%</w:t>
            </w:r>
          </w:p>
        </w:tc>
        <w:tc>
          <w:tcPr>
            <w:tcW w:w="2040" w:type="dxa"/>
            <w:vAlign w:val="bottom"/>
            <w:tcBorders>
              <w:bottom w:val="single" w:sz="8" w:color="auto"/>
            </w:tcBorders>
            <w:shd w:val="clear" w:color="auto" w:fill="E0E3F1"/>
          </w:tcPr>
          <w:p>
            <w:pPr>
              <w:jc w:val="right"/>
              <w:spacing w:after="0"/>
              <w:rPr>
                <w:sz w:val="20"/>
                <w:szCs w:val="20"/>
                <w:color w:val="auto"/>
              </w:rPr>
            </w:pPr>
            <w:r>
              <w:rPr>
                <w:rFonts w:ascii="Arial" w:cs="Arial" w:eastAsia="Arial" w:hAnsi="Arial"/>
                <w:sz w:val="14"/>
                <w:szCs w:val="14"/>
                <w:color w:val="auto"/>
              </w:rPr>
              <w:t>1.9 %</w:t>
            </w:r>
          </w:p>
        </w:tc>
        <w:tc>
          <w:tcPr>
            <w:tcW w:w="0" w:type="dxa"/>
            <w:vAlign w:val="bottom"/>
          </w:tcPr>
          <w:p>
            <w:pPr>
              <w:spacing w:after="0"/>
              <w:rPr>
                <w:sz w:val="1"/>
                <w:szCs w:val="1"/>
                <w:color w:val="auto"/>
              </w:rPr>
            </w:pPr>
          </w:p>
        </w:tc>
      </w:tr>
      <w:tr>
        <w:trPr>
          <w:trHeight w:val="196"/>
        </w:trPr>
        <w:tc>
          <w:tcPr>
            <w:tcW w:w="5020" w:type="dxa"/>
            <w:vAlign w:val="bottom"/>
            <w:tcBorders>
              <w:bottom w:val="single" w:sz="8" w:color="E0E3F1"/>
            </w:tcBorders>
            <w:shd w:val="clear" w:color="auto" w:fill="E0E3F1"/>
          </w:tcPr>
          <w:p>
            <w:pPr>
              <w:ind w:left="140"/>
              <w:spacing w:after="0"/>
              <w:rPr>
                <w:sz w:val="20"/>
                <w:szCs w:val="20"/>
                <w:color w:val="auto"/>
              </w:rPr>
            </w:pPr>
            <w:r>
              <w:rPr>
                <w:rFonts w:ascii="Arial" w:cs="Arial" w:eastAsia="Arial" w:hAnsi="Arial"/>
                <w:sz w:val="14"/>
                <w:szCs w:val="14"/>
                <w:color w:val="auto"/>
              </w:rPr>
              <w:t>Total Consumer</w:t>
            </w:r>
          </w:p>
        </w:tc>
        <w:tc>
          <w:tcPr>
            <w:tcW w:w="1880" w:type="dxa"/>
            <w:vAlign w:val="bottom"/>
            <w:tcBorders>
              <w:bottom w:val="single" w:sz="8" w:color="auto"/>
            </w:tcBorders>
            <w:shd w:val="clear" w:color="auto" w:fill="E0E3F1"/>
          </w:tcPr>
          <w:p>
            <w:pPr>
              <w:jc w:val="right"/>
              <w:spacing w:after="0"/>
              <w:rPr>
                <w:sz w:val="20"/>
                <w:szCs w:val="20"/>
                <w:color w:val="auto"/>
              </w:rPr>
            </w:pPr>
            <w:r>
              <w:rPr>
                <w:rFonts w:ascii="Arial" w:cs="Arial" w:eastAsia="Arial" w:hAnsi="Arial"/>
                <w:sz w:val="14"/>
                <w:szCs w:val="14"/>
                <w:color w:val="auto"/>
              </w:rPr>
              <w:t>2.6</w:t>
            </w:r>
          </w:p>
        </w:tc>
        <w:tc>
          <w:tcPr>
            <w:tcW w:w="140" w:type="dxa"/>
            <w:vAlign w:val="bottom"/>
            <w:tcBorders>
              <w:bottom w:val="single" w:sz="8" w:color="auto"/>
            </w:tcBorders>
            <w:shd w:val="clear" w:color="auto" w:fill="E0E3F1"/>
          </w:tcPr>
          <w:p>
            <w:pPr>
              <w:jc w:val="right"/>
              <w:spacing w:after="0"/>
              <w:rPr>
                <w:sz w:val="20"/>
                <w:szCs w:val="20"/>
                <w:color w:val="auto"/>
              </w:rPr>
            </w:pPr>
            <w:r>
              <w:rPr>
                <w:rFonts w:ascii="Arial" w:cs="Arial" w:eastAsia="Arial" w:hAnsi="Arial"/>
                <w:sz w:val="14"/>
                <w:szCs w:val="14"/>
                <w:color w:val="auto"/>
                <w:w w:val="7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140" w:type="dxa"/>
            <w:vAlign w:val="bottom"/>
            <w:tcBorders>
              <w:bottom w:val="single" w:sz="8" w:color="auto"/>
            </w:tcBorders>
            <w:shd w:val="clear" w:color="auto" w:fill="E0E3F1"/>
          </w:tcPr>
          <w:p>
            <w:pPr>
              <w:jc w:val="right"/>
              <w:spacing w:after="0"/>
              <w:rPr>
                <w:sz w:val="20"/>
                <w:szCs w:val="20"/>
                <w:color w:val="auto"/>
              </w:rPr>
            </w:pPr>
            <w:r>
              <w:rPr>
                <w:rFonts w:ascii="Arial" w:cs="Arial" w:eastAsia="Arial" w:hAnsi="Arial"/>
                <w:sz w:val="14"/>
                <w:szCs w:val="14"/>
                <w:color w:val="auto"/>
                <w:w w:val="79"/>
              </w:rPr>
              <w:t>%</w:t>
            </w:r>
          </w:p>
        </w:tc>
        <w:tc>
          <w:tcPr>
            <w:tcW w:w="2040" w:type="dxa"/>
            <w:vAlign w:val="bottom"/>
            <w:tcBorders>
              <w:bottom w:val="single" w:sz="8" w:color="auto"/>
            </w:tcBorders>
            <w:shd w:val="clear" w:color="auto" w:fill="E0E3F1"/>
          </w:tcPr>
          <w:p>
            <w:pPr>
              <w:jc w:val="right"/>
              <w:spacing w:after="0"/>
              <w:rPr>
                <w:sz w:val="20"/>
                <w:szCs w:val="20"/>
                <w:color w:val="auto"/>
              </w:rPr>
            </w:pPr>
            <w:r>
              <w:rPr>
                <w:rFonts w:ascii="Arial" w:cs="Arial" w:eastAsia="Arial" w:hAnsi="Arial"/>
                <w:sz w:val="14"/>
                <w:szCs w:val="14"/>
                <w:color w:val="auto"/>
              </w:rPr>
              <w:t>2.4 %</w:t>
            </w:r>
          </w:p>
        </w:tc>
        <w:tc>
          <w:tcPr>
            <w:tcW w:w="0" w:type="dxa"/>
            <w:vAlign w:val="bottom"/>
          </w:tcPr>
          <w:p>
            <w:pPr>
              <w:spacing w:after="0"/>
              <w:rPr>
                <w:sz w:val="1"/>
                <w:szCs w:val="1"/>
                <w:color w:val="auto"/>
              </w:rPr>
            </w:pPr>
          </w:p>
        </w:tc>
      </w:tr>
      <w:tr>
        <w:trPr>
          <w:trHeight w:val="181"/>
        </w:trPr>
        <w:tc>
          <w:tcPr>
            <w:tcW w:w="5020" w:type="dxa"/>
            <w:vAlign w:val="bottom"/>
            <w:shd w:val="clear" w:color="auto" w:fill="E0E3F1"/>
          </w:tcPr>
          <w:p>
            <w:pPr>
              <w:ind w:left="140"/>
              <w:spacing w:after="0"/>
              <w:rPr>
                <w:sz w:val="20"/>
                <w:szCs w:val="20"/>
                <w:color w:val="auto"/>
              </w:rPr>
            </w:pPr>
            <w:r>
              <w:rPr>
                <w:rFonts w:ascii="Arial" w:cs="Arial" w:eastAsia="Arial" w:hAnsi="Arial"/>
                <w:sz w:val="14"/>
                <w:szCs w:val="14"/>
                <w:color w:val="auto"/>
              </w:rPr>
              <w:t>Flavor Solutions segment:</w:t>
            </w:r>
          </w:p>
        </w:tc>
        <w:tc>
          <w:tcPr>
            <w:tcW w:w="1880" w:type="dxa"/>
            <w:vAlign w:val="bottom"/>
            <w:shd w:val="clear" w:color="auto" w:fill="E0E3F1"/>
          </w:tcPr>
          <w:p>
            <w:pPr>
              <w:spacing w:after="0"/>
              <w:rPr>
                <w:sz w:val="15"/>
                <w:szCs w:val="15"/>
                <w:color w:val="auto"/>
              </w:rPr>
            </w:pPr>
          </w:p>
        </w:tc>
        <w:tc>
          <w:tcPr>
            <w:tcW w:w="140" w:type="dxa"/>
            <w:vAlign w:val="bottom"/>
            <w:shd w:val="clear" w:color="auto" w:fill="E0E3F1"/>
          </w:tcPr>
          <w:p>
            <w:pPr>
              <w:spacing w:after="0"/>
              <w:rPr>
                <w:sz w:val="15"/>
                <w:szCs w:val="15"/>
                <w:color w:val="auto"/>
              </w:rPr>
            </w:pPr>
          </w:p>
        </w:tc>
        <w:tc>
          <w:tcPr>
            <w:tcW w:w="1880" w:type="dxa"/>
            <w:vAlign w:val="bottom"/>
            <w:shd w:val="clear" w:color="auto" w:fill="E0E3F1"/>
          </w:tcPr>
          <w:p>
            <w:pPr>
              <w:spacing w:after="0"/>
              <w:rPr>
                <w:sz w:val="15"/>
                <w:szCs w:val="15"/>
                <w:color w:val="auto"/>
              </w:rPr>
            </w:pPr>
          </w:p>
        </w:tc>
        <w:tc>
          <w:tcPr>
            <w:tcW w:w="140" w:type="dxa"/>
            <w:vAlign w:val="bottom"/>
            <w:shd w:val="clear" w:color="auto" w:fill="E0E3F1"/>
          </w:tcPr>
          <w:p>
            <w:pPr>
              <w:spacing w:after="0"/>
              <w:rPr>
                <w:sz w:val="15"/>
                <w:szCs w:val="15"/>
                <w:color w:val="auto"/>
              </w:rPr>
            </w:pPr>
          </w:p>
        </w:tc>
        <w:tc>
          <w:tcPr>
            <w:tcW w:w="2040" w:type="dxa"/>
            <w:vAlign w:val="bottom"/>
            <w:shd w:val="clear" w:color="auto" w:fill="E0E3F1"/>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020" w:type="dxa"/>
            <w:vAlign w:val="bottom"/>
            <w:shd w:val="clear" w:color="auto" w:fill="E0E3F1"/>
          </w:tcPr>
          <w:p>
            <w:pPr>
              <w:ind w:left="360"/>
              <w:spacing w:after="0"/>
              <w:rPr>
                <w:sz w:val="20"/>
                <w:szCs w:val="20"/>
                <w:color w:val="auto"/>
              </w:rPr>
            </w:pPr>
            <w:r>
              <w:rPr>
                <w:rFonts w:ascii="Arial" w:cs="Arial" w:eastAsia="Arial" w:hAnsi="Arial"/>
                <w:sz w:val="14"/>
                <w:szCs w:val="14"/>
                <w:color w:val="auto"/>
              </w:rPr>
              <w:t>Americas</w:t>
            </w:r>
          </w:p>
        </w:tc>
        <w:tc>
          <w:tcPr>
            <w:tcW w:w="1880" w:type="dxa"/>
            <w:vAlign w:val="bottom"/>
            <w:shd w:val="clear" w:color="auto" w:fill="E0E3F1"/>
          </w:tcPr>
          <w:p>
            <w:pPr>
              <w:jc w:val="right"/>
              <w:spacing w:after="0"/>
              <w:rPr>
                <w:sz w:val="20"/>
                <w:szCs w:val="20"/>
                <w:color w:val="auto"/>
              </w:rPr>
            </w:pPr>
            <w:r>
              <w:rPr>
                <w:rFonts w:ascii="Arial" w:cs="Arial" w:eastAsia="Arial" w:hAnsi="Arial"/>
                <w:sz w:val="14"/>
                <w:szCs w:val="14"/>
                <w:color w:val="auto"/>
              </w:rPr>
              <w:t>0.5</w:t>
            </w:r>
          </w:p>
        </w:tc>
        <w:tc>
          <w:tcPr>
            <w:tcW w:w="140" w:type="dxa"/>
            <w:vAlign w:val="bottom"/>
            <w:shd w:val="clear" w:color="auto" w:fill="E0E3F1"/>
          </w:tcPr>
          <w:p>
            <w:pPr>
              <w:jc w:val="right"/>
              <w:spacing w:after="0"/>
              <w:rPr>
                <w:sz w:val="20"/>
                <w:szCs w:val="20"/>
                <w:color w:val="auto"/>
              </w:rPr>
            </w:pPr>
            <w:r>
              <w:rPr>
                <w:rFonts w:ascii="Arial" w:cs="Arial" w:eastAsia="Arial" w:hAnsi="Arial"/>
                <w:sz w:val="14"/>
                <w:szCs w:val="14"/>
                <w:color w:val="auto"/>
                <w:w w:val="79"/>
              </w:rPr>
              <w:t>%</w:t>
            </w:r>
          </w:p>
        </w:tc>
        <w:tc>
          <w:tcPr>
            <w:tcW w:w="2020" w:type="dxa"/>
            <w:vAlign w:val="bottom"/>
            <w:gridSpan w:val="2"/>
            <w:shd w:val="clear" w:color="auto" w:fill="E0E3F1"/>
          </w:tcPr>
          <w:p>
            <w:pPr>
              <w:jc w:val="right"/>
              <w:spacing w:after="0"/>
              <w:rPr>
                <w:sz w:val="20"/>
                <w:szCs w:val="20"/>
                <w:color w:val="auto"/>
              </w:rPr>
            </w:pPr>
            <w:r>
              <w:rPr>
                <w:rFonts w:ascii="Arial" w:cs="Arial" w:eastAsia="Arial" w:hAnsi="Arial"/>
                <w:sz w:val="14"/>
                <w:szCs w:val="14"/>
                <w:color w:val="auto"/>
              </w:rPr>
              <w:t>(1.4)%</w:t>
            </w:r>
          </w:p>
        </w:tc>
        <w:tc>
          <w:tcPr>
            <w:tcW w:w="2040" w:type="dxa"/>
            <w:vAlign w:val="bottom"/>
            <w:shd w:val="clear" w:color="auto" w:fill="E0E3F1"/>
          </w:tcPr>
          <w:p>
            <w:pPr>
              <w:jc w:val="right"/>
              <w:spacing w:after="0"/>
              <w:rPr>
                <w:sz w:val="20"/>
                <w:szCs w:val="20"/>
                <w:color w:val="auto"/>
              </w:rPr>
            </w:pPr>
            <w:r>
              <w:rPr>
                <w:rFonts w:ascii="Arial" w:cs="Arial" w:eastAsia="Arial" w:hAnsi="Arial"/>
                <w:sz w:val="14"/>
                <w:szCs w:val="14"/>
                <w:color w:val="auto"/>
              </w:rPr>
              <w:t>1.9 %</w:t>
            </w:r>
          </w:p>
        </w:tc>
        <w:tc>
          <w:tcPr>
            <w:tcW w:w="0" w:type="dxa"/>
            <w:vAlign w:val="bottom"/>
          </w:tcPr>
          <w:p>
            <w:pPr>
              <w:spacing w:after="0"/>
              <w:rPr>
                <w:sz w:val="1"/>
                <w:szCs w:val="1"/>
                <w:color w:val="auto"/>
              </w:rPr>
            </w:pPr>
          </w:p>
        </w:tc>
      </w:tr>
      <w:tr>
        <w:trPr>
          <w:trHeight w:val="195"/>
        </w:trPr>
        <w:tc>
          <w:tcPr>
            <w:tcW w:w="5020" w:type="dxa"/>
            <w:vAlign w:val="bottom"/>
            <w:shd w:val="clear" w:color="auto" w:fill="E0E3F1"/>
          </w:tcPr>
          <w:p>
            <w:pPr>
              <w:ind w:left="360"/>
              <w:spacing w:after="0"/>
              <w:rPr>
                <w:sz w:val="20"/>
                <w:szCs w:val="20"/>
                <w:color w:val="auto"/>
              </w:rPr>
            </w:pPr>
            <w:r>
              <w:rPr>
                <w:rFonts w:ascii="Arial" w:cs="Arial" w:eastAsia="Arial" w:hAnsi="Arial"/>
                <w:sz w:val="14"/>
                <w:szCs w:val="14"/>
                <w:color w:val="auto"/>
              </w:rPr>
              <w:t>EMEA</w:t>
            </w:r>
          </w:p>
        </w:tc>
        <w:tc>
          <w:tcPr>
            <w:tcW w:w="2020" w:type="dxa"/>
            <w:vAlign w:val="bottom"/>
            <w:gridSpan w:val="2"/>
          </w:tcPr>
          <w:p>
            <w:pPr>
              <w:jc w:val="right"/>
              <w:spacing w:after="0"/>
              <w:rPr>
                <w:sz w:val="20"/>
                <w:szCs w:val="20"/>
                <w:color w:val="auto"/>
              </w:rPr>
            </w:pPr>
            <w:r>
              <w:rPr>
                <w:rFonts w:ascii="Arial" w:cs="Arial" w:eastAsia="Arial" w:hAnsi="Arial"/>
                <w:sz w:val="14"/>
                <w:szCs w:val="14"/>
                <w:color w:val="auto"/>
              </w:rPr>
              <w:t>(2.2)%</w:t>
            </w:r>
          </w:p>
        </w:tc>
        <w:tc>
          <w:tcPr>
            <w:tcW w:w="2020" w:type="dxa"/>
            <w:vAlign w:val="bottom"/>
            <w:gridSpan w:val="2"/>
          </w:tcPr>
          <w:p>
            <w:pPr>
              <w:jc w:val="right"/>
              <w:spacing w:after="0"/>
              <w:rPr>
                <w:sz w:val="20"/>
                <w:szCs w:val="20"/>
                <w:color w:val="auto"/>
              </w:rPr>
            </w:pPr>
            <w:r>
              <w:rPr>
                <w:rFonts w:ascii="Arial" w:cs="Arial" w:eastAsia="Arial" w:hAnsi="Arial"/>
                <w:sz w:val="14"/>
                <w:szCs w:val="14"/>
                <w:color w:val="auto"/>
              </w:rPr>
              <w:t>2.1 %</w:t>
            </w:r>
          </w:p>
        </w:tc>
        <w:tc>
          <w:tcPr>
            <w:tcW w:w="2040" w:type="dxa"/>
            <w:vAlign w:val="bottom"/>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04"/>
        </w:trPr>
        <w:tc>
          <w:tcPr>
            <w:tcW w:w="5020" w:type="dxa"/>
            <w:vAlign w:val="bottom"/>
            <w:tcBorders>
              <w:bottom w:val="single" w:sz="8" w:color="E0E3F1"/>
            </w:tcBorders>
            <w:shd w:val="clear" w:color="auto" w:fill="E0E3F1"/>
          </w:tcPr>
          <w:p>
            <w:pPr>
              <w:ind w:left="360"/>
              <w:spacing w:after="0"/>
              <w:rPr>
                <w:sz w:val="20"/>
                <w:szCs w:val="20"/>
                <w:color w:val="auto"/>
              </w:rPr>
            </w:pPr>
            <w:r>
              <w:rPr>
                <w:rFonts w:ascii="Arial" w:cs="Arial" w:eastAsia="Arial" w:hAnsi="Arial"/>
                <w:sz w:val="14"/>
                <w:szCs w:val="14"/>
                <w:color w:val="auto"/>
              </w:rPr>
              <w:t>APAC</w:t>
            </w:r>
          </w:p>
        </w:tc>
        <w:tc>
          <w:tcPr>
            <w:tcW w:w="2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6.2 %</w:t>
            </w:r>
          </w:p>
        </w:tc>
        <w:tc>
          <w:tcPr>
            <w:tcW w:w="2020" w:type="dxa"/>
            <w:vAlign w:val="bottom"/>
            <w:tcBorders>
              <w:bottom w:val="single" w:sz="8" w:color="auto"/>
            </w:tcBorders>
            <w:gridSpan w:val="2"/>
            <w:shd w:val="clear" w:color="auto" w:fill="E0E3F1"/>
          </w:tcPr>
          <w:p>
            <w:pPr>
              <w:jc w:val="right"/>
              <w:spacing w:after="0"/>
              <w:rPr>
                <w:sz w:val="20"/>
                <w:szCs w:val="20"/>
                <w:color w:val="auto"/>
              </w:rPr>
            </w:pPr>
            <w:r>
              <w:rPr>
                <w:rFonts w:ascii="Arial" w:cs="Arial" w:eastAsia="Arial" w:hAnsi="Arial"/>
                <w:sz w:val="14"/>
                <w:szCs w:val="14"/>
                <w:color w:val="auto"/>
              </w:rPr>
              <w:t>(0.5)%</w:t>
            </w:r>
          </w:p>
        </w:tc>
        <w:tc>
          <w:tcPr>
            <w:tcW w:w="2040" w:type="dxa"/>
            <w:vAlign w:val="bottom"/>
            <w:tcBorders>
              <w:bottom w:val="single" w:sz="8" w:color="auto"/>
            </w:tcBorders>
            <w:shd w:val="clear" w:color="auto" w:fill="E0E3F1"/>
          </w:tcPr>
          <w:p>
            <w:pPr>
              <w:jc w:val="right"/>
              <w:spacing w:after="0"/>
              <w:rPr>
                <w:sz w:val="20"/>
                <w:szCs w:val="20"/>
                <w:color w:val="auto"/>
              </w:rPr>
            </w:pPr>
            <w:r>
              <w:rPr>
                <w:rFonts w:ascii="Arial" w:cs="Arial" w:eastAsia="Arial" w:hAnsi="Arial"/>
                <w:sz w:val="14"/>
                <w:szCs w:val="14"/>
                <w:color w:val="auto"/>
              </w:rPr>
              <w:t>6.7 %</w:t>
            </w:r>
          </w:p>
        </w:tc>
        <w:tc>
          <w:tcPr>
            <w:tcW w:w="0" w:type="dxa"/>
            <w:vAlign w:val="bottom"/>
          </w:tcPr>
          <w:p>
            <w:pPr>
              <w:spacing w:after="0"/>
              <w:rPr>
                <w:sz w:val="1"/>
                <w:szCs w:val="1"/>
                <w:color w:val="auto"/>
              </w:rPr>
            </w:pPr>
          </w:p>
        </w:tc>
      </w:tr>
      <w:tr>
        <w:trPr>
          <w:trHeight w:val="196"/>
        </w:trPr>
        <w:tc>
          <w:tcPr>
            <w:tcW w:w="5020" w:type="dxa"/>
            <w:vAlign w:val="bottom"/>
            <w:tcBorders>
              <w:bottom w:val="single" w:sz="8" w:color="E0E3F1"/>
            </w:tcBorders>
            <w:shd w:val="clear" w:color="auto" w:fill="E0E3F1"/>
          </w:tcPr>
          <w:p>
            <w:pPr>
              <w:ind w:left="140"/>
              <w:spacing w:after="0"/>
              <w:rPr>
                <w:sz w:val="20"/>
                <w:szCs w:val="20"/>
                <w:color w:val="auto"/>
              </w:rPr>
            </w:pPr>
            <w:r>
              <w:rPr>
                <w:rFonts w:ascii="Arial" w:cs="Arial" w:eastAsia="Arial" w:hAnsi="Arial"/>
                <w:sz w:val="14"/>
                <w:szCs w:val="14"/>
                <w:color w:val="auto"/>
              </w:rPr>
              <w:t>Total Flavor Solutions</w:t>
            </w:r>
          </w:p>
        </w:tc>
        <w:tc>
          <w:tcPr>
            <w:tcW w:w="2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0.5 %</w:t>
            </w:r>
          </w:p>
        </w:tc>
        <w:tc>
          <w:tcPr>
            <w:tcW w:w="2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(0.6)%</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1.1 %</w:t>
            </w:r>
          </w:p>
        </w:tc>
        <w:tc>
          <w:tcPr>
            <w:tcW w:w="0" w:type="dxa"/>
            <w:vAlign w:val="bottom"/>
          </w:tcPr>
          <w:p>
            <w:pPr>
              <w:spacing w:after="0"/>
              <w:rPr>
                <w:sz w:val="1"/>
                <w:szCs w:val="1"/>
                <w:color w:val="auto"/>
              </w:rPr>
            </w:pPr>
          </w:p>
        </w:tc>
      </w:tr>
      <w:tr>
        <w:trPr>
          <w:trHeight w:val="218"/>
        </w:trPr>
        <w:tc>
          <w:tcPr>
            <w:tcW w:w="5020" w:type="dxa"/>
            <w:vAlign w:val="bottom"/>
            <w:tcBorders>
              <w:bottom w:val="single" w:sz="8" w:color="E0E3F1"/>
            </w:tcBorders>
            <w:shd w:val="clear" w:color="auto" w:fill="E0E3F1"/>
          </w:tcPr>
          <w:p>
            <w:pPr>
              <w:ind w:left="220"/>
              <w:spacing w:after="0"/>
              <w:rPr>
                <w:sz w:val="20"/>
                <w:szCs w:val="20"/>
                <w:color w:val="auto"/>
              </w:rPr>
            </w:pPr>
            <w:r>
              <w:rPr>
                <w:rFonts w:ascii="Arial" w:cs="Arial" w:eastAsia="Arial" w:hAnsi="Arial"/>
                <w:sz w:val="14"/>
                <w:szCs w:val="14"/>
                <w:b w:val="1"/>
                <w:bCs w:val="1"/>
                <w:color w:val="auto"/>
              </w:rPr>
              <w:t>Total net sales</w:t>
            </w:r>
          </w:p>
        </w:tc>
        <w:tc>
          <w:tcPr>
            <w:tcW w:w="2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1.7 %</w:t>
            </w:r>
          </w:p>
        </w:tc>
        <w:tc>
          <w:tcPr>
            <w:tcW w:w="2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(0.2)%</w:t>
            </w:r>
          </w:p>
        </w:tc>
        <w:tc>
          <w:tcPr>
            <w:tcW w:w="2040" w:type="dxa"/>
            <w:vAlign w:val="bottom"/>
            <w:tcBorders>
              <w:bottom w:val="single" w:sz="8" w:color="auto"/>
            </w:tcBorders>
            <w:shd w:val="clear" w:color="auto" w:fill="E0E3F1"/>
          </w:tcPr>
          <w:p>
            <w:pPr>
              <w:jc w:val="right"/>
              <w:spacing w:after="0"/>
              <w:rPr>
                <w:sz w:val="20"/>
                <w:szCs w:val="20"/>
                <w:color w:val="auto"/>
              </w:rPr>
            </w:pPr>
            <w:r>
              <w:rPr>
                <w:rFonts w:ascii="Arial" w:cs="Arial" w:eastAsia="Arial" w:hAnsi="Arial"/>
                <w:sz w:val="14"/>
                <w:szCs w:val="14"/>
                <w:color w:val="auto"/>
              </w:rPr>
              <w:t>1.9 %</w:t>
            </w:r>
          </w:p>
        </w:tc>
        <w:tc>
          <w:tcPr>
            <w:tcW w:w="0" w:type="dxa"/>
            <w:vAlign w:val="bottom"/>
          </w:tcPr>
          <w:p>
            <w:pPr>
              <w:spacing w:after="0"/>
              <w:rPr>
                <w:sz w:val="1"/>
                <w:szCs w:val="1"/>
                <w:color w:val="auto"/>
              </w:rPr>
            </w:pPr>
          </w:p>
        </w:tc>
      </w:tr>
      <w:tr>
        <w:trPr>
          <w:trHeight w:val="20"/>
        </w:trPr>
        <w:tc>
          <w:tcPr>
            <w:tcW w:w="5020" w:type="dxa"/>
            <w:vAlign w:val="bottom"/>
            <w:tcBorders>
              <w:top w:val="single" w:sz="8" w:color="E0E3F1"/>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40" w:type="dxa"/>
            <w:vAlign w:val="bottom"/>
            <w:tcBorders>
              <w:top w:val="single" w:sz="8" w:color="E0E3F1"/>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-1087755</wp:posOffset>
            </wp:positionV>
            <wp:extent cx="1191895" cy="2654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91895" cy="265430"/>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-693420</wp:posOffset>
            </wp:positionV>
            <wp:extent cx="3865880" cy="677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65880" cy="677545"/>
                    </a:xfrm>
                    <a:prstGeom prst="rect">
                      <a:avLst/>
                    </a:prstGeom>
                    <a:noFill/>
                  </pic:spPr>
                </pic:pic>
              </a:graphicData>
            </a:graphic>
          </wp:anchor>
        </w:drawing>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00" w:type="dxa"/>
            <w:vAlign w:val="bottom"/>
            <w:tcBorders>
              <w:bottom w:val="single" w:sz="8" w:color="E0E3F1"/>
            </w:tcBorders>
            <w:shd w:val="clear" w:color="auto" w:fill="E0E3F1"/>
          </w:tcPr>
          <w:p>
            <w:pPr>
              <w:spacing w:after="0"/>
              <w:rPr>
                <w:sz w:val="17"/>
                <w:szCs w:val="17"/>
                <w:color w:val="auto"/>
              </w:rPr>
            </w:pPr>
          </w:p>
        </w:tc>
        <w:tc>
          <w:tcPr>
            <w:tcW w:w="4340" w:type="dxa"/>
            <w:vAlign w:val="bottom"/>
            <w:tcBorders>
              <w:bottom w:val="single" w:sz="8" w:color="auto"/>
            </w:tcBorders>
            <w:gridSpan w:val="3"/>
            <w:shd w:val="clear" w:color="auto" w:fill="E0E3F1"/>
          </w:tcPr>
          <w:p>
            <w:pPr>
              <w:jc w:val="center"/>
              <w:ind w:left="1708"/>
              <w:spacing w:after="0"/>
              <w:rPr>
                <w:sz w:val="20"/>
                <w:szCs w:val="20"/>
                <w:color w:val="auto"/>
              </w:rPr>
            </w:pPr>
            <w:r>
              <w:rPr>
                <w:rFonts w:ascii="Arial" w:cs="Arial" w:eastAsia="Arial" w:hAnsi="Arial"/>
                <w:sz w:val="14"/>
                <w:szCs w:val="14"/>
                <w:color w:val="auto"/>
              </w:rPr>
              <w:t>For the year ended November 30, 2025</w:t>
            </w:r>
          </w:p>
        </w:tc>
        <w:tc>
          <w:tcPr>
            <w:tcW w:w="1800" w:type="dxa"/>
            <w:vAlign w:val="bottom"/>
            <w:tcBorders>
              <w:bottom w:val="single" w:sz="8" w:color="auto"/>
            </w:tcBorders>
            <w:shd w:val="clear" w:color="auto" w:fill="E0E3F1"/>
          </w:tcPr>
          <w:p>
            <w:pPr>
              <w:spacing w:after="0"/>
              <w:rPr>
                <w:sz w:val="17"/>
                <w:szCs w:val="17"/>
                <w:color w:val="auto"/>
              </w:rPr>
            </w:pPr>
          </w:p>
        </w:tc>
      </w:tr>
      <w:tr>
        <w:trPr>
          <w:trHeight w:val="142"/>
        </w:trPr>
        <w:tc>
          <w:tcPr>
            <w:tcW w:w="5100" w:type="dxa"/>
            <w:vAlign w:val="bottom"/>
            <w:shd w:val="clear" w:color="auto" w:fill="E0E3F1"/>
          </w:tcPr>
          <w:p>
            <w:pPr>
              <w:spacing w:after="0"/>
              <w:rPr>
                <w:sz w:val="12"/>
                <w:szCs w:val="12"/>
                <w:color w:val="auto"/>
              </w:rPr>
            </w:pPr>
          </w:p>
        </w:tc>
        <w:tc>
          <w:tcPr>
            <w:tcW w:w="2040" w:type="dxa"/>
            <w:vAlign w:val="bottom"/>
            <w:gridSpan w:val="2"/>
            <w:shd w:val="clear" w:color="auto" w:fill="E0E3F1"/>
          </w:tcPr>
          <w:p>
            <w:pPr>
              <w:jc w:val="right"/>
              <w:ind w:right="348"/>
              <w:spacing w:after="0" w:line="142" w:lineRule="exact"/>
              <w:rPr>
                <w:sz w:val="20"/>
                <w:szCs w:val="20"/>
                <w:color w:val="auto"/>
              </w:rPr>
            </w:pPr>
            <w:r>
              <w:rPr>
                <w:rFonts w:ascii="Arial" w:cs="Arial" w:eastAsia="Arial" w:hAnsi="Arial"/>
                <w:sz w:val="14"/>
                <w:szCs w:val="14"/>
                <w:color w:val="auto"/>
              </w:rPr>
              <w:t>Percentage change</w:t>
            </w:r>
          </w:p>
        </w:tc>
        <w:tc>
          <w:tcPr>
            <w:tcW w:w="2300" w:type="dxa"/>
            <w:vAlign w:val="bottom"/>
            <w:shd w:val="clear" w:color="auto" w:fill="E0E3F1"/>
          </w:tcPr>
          <w:p>
            <w:pPr>
              <w:jc w:val="center"/>
              <w:ind w:right="168"/>
              <w:spacing w:after="0" w:line="142" w:lineRule="exact"/>
              <w:rPr>
                <w:sz w:val="20"/>
                <w:szCs w:val="20"/>
                <w:color w:val="auto"/>
              </w:rPr>
            </w:pPr>
            <w:r>
              <w:rPr>
                <w:rFonts w:ascii="Arial" w:cs="Arial" w:eastAsia="Arial" w:hAnsi="Arial"/>
                <w:sz w:val="14"/>
                <w:szCs w:val="14"/>
                <w:color w:val="auto"/>
              </w:rPr>
              <w:t>Impact of foreign currency</w:t>
            </w:r>
          </w:p>
        </w:tc>
        <w:tc>
          <w:tcPr>
            <w:tcW w:w="1800" w:type="dxa"/>
            <w:vAlign w:val="bottom"/>
            <w:shd w:val="clear" w:color="auto" w:fill="E0E3F1"/>
          </w:tcPr>
          <w:p>
            <w:pPr>
              <w:jc w:val="right"/>
              <w:ind w:right="228"/>
              <w:spacing w:after="0" w:line="142" w:lineRule="exact"/>
              <w:rPr>
                <w:sz w:val="20"/>
                <w:szCs w:val="20"/>
                <w:color w:val="auto"/>
              </w:rPr>
            </w:pPr>
            <w:r>
              <w:rPr>
                <w:rFonts w:ascii="Arial" w:cs="Arial" w:eastAsia="Arial" w:hAnsi="Arial"/>
                <w:sz w:val="14"/>
                <w:szCs w:val="14"/>
                <w:color w:val="auto"/>
              </w:rPr>
              <w:t>Percentage change on</w:t>
            </w:r>
          </w:p>
        </w:tc>
      </w:tr>
      <w:tr>
        <w:trPr>
          <w:trHeight w:val="189"/>
        </w:trPr>
        <w:tc>
          <w:tcPr>
            <w:tcW w:w="5100" w:type="dxa"/>
            <w:vAlign w:val="bottom"/>
            <w:tcBorders>
              <w:bottom w:val="single" w:sz="8" w:color="E0E3F1"/>
            </w:tcBorders>
            <w:shd w:val="clear" w:color="auto" w:fill="E0E3F1"/>
          </w:tcPr>
          <w:p>
            <w:pPr>
              <w:spacing w:after="0"/>
              <w:rPr>
                <w:sz w:val="16"/>
                <w:szCs w:val="16"/>
                <w:color w:val="auto"/>
              </w:rPr>
            </w:pPr>
          </w:p>
        </w:tc>
        <w:tc>
          <w:tcPr>
            <w:tcW w:w="2040" w:type="dxa"/>
            <w:vAlign w:val="bottom"/>
            <w:tcBorders>
              <w:bottom w:val="single" w:sz="8" w:color="auto"/>
            </w:tcBorders>
            <w:gridSpan w:val="2"/>
            <w:shd w:val="clear" w:color="auto" w:fill="E0E3F1"/>
          </w:tcPr>
          <w:p>
            <w:pPr>
              <w:jc w:val="right"/>
              <w:ind w:right="588"/>
              <w:spacing w:after="0"/>
              <w:rPr>
                <w:sz w:val="20"/>
                <w:szCs w:val="20"/>
                <w:color w:val="auto"/>
              </w:rPr>
            </w:pPr>
            <w:r>
              <w:rPr>
                <w:rFonts w:ascii="Arial" w:cs="Arial" w:eastAsia="Arial" w:hAnsi="Arial"/>
                <w:sz w:val="14"/>
                <w:szCs w:val="14"/>
                <w:color w:val="auto"/>
              </w:rPr>
              <w:t>as reported</w:t>
            </w:r>
          </w:p>
        </w:tc>
        <w:tc>
          <w:tcPr>
            <w:tcW w:w="2300" w:type="dxa"/>
            <w:vAlign w:val="bottom"/>
            <w:tcBorders>
              <w:bottom w:val="single" w:sz="8" w:color="auto"/>
            </w:tcBorders>
            <w:shd w:val="clear" w:color="auto" w:fill="E0E3F1"/>
          </w:tcPr>
          <w:p>
            <w:pPr>
              <w:jc w:val="center"/>
              <w:ind w:right="168"/>
              <w:spacing w:after="0"/>
              <w:rPr>
                <w:sz w:val="20"/>
                <w:szCs w:val="20"/>
                <w:color w:val="auto"/>
              </w:rPr>
            </w:pPr>
            <w:r>
              <w:rPr>
                <w:rFonts w:ascii="Arial" w:cs="Arial" w:eastAsia="Arial" w:hAnsi="Arial"/>
                <w:sz w:val="14"/>
                <w:szCs w:val="14"/>
                <w:color w:val="auto"/>
              </w:rPr>
              <w:t>exchange</w:t>
            </w:r>
          </w:p>
        </w:tc>
        <w:tc>
          <w:tcPr>
            <w:tcW w:w="1800" w:type="dxa"/>
            <w:vAlign w:val="bottom"/>
            <w:tcBorders>
              <w:bottom w:val="single" w:sz="8" w:color="auto"/>
            </w:tcBorders>
            <w:shd w:val="clear" w:color="auto" w:fill="E0E3F1"/>
          </w:tcPr>
          <w:p>
            <w:pPr>
              <w:jc w:val="right"/>
              <w:ind w:right="208"/>
              <w:spacing w:after="0"/>
              <w:rPr>
                <w:sz w:val="20"/>
                <w:szCs w:val="20"/>
                <w:color w:val="auto"/>
              </w:rPr>
            </w:pPr>
            <w:r>
              <w:rPr>
                <w:rFonts w:ascii="Arial" w:cs="Arial" w:eastAsia="Arial" w:hAnsi="Arial"/>
                <w:sz w:val="14"/>
                <w:szCs w:val="14"/>
                <w:color w:val="auto"/>
              </w:rPr>
              <w:t>constant currency basis</w:t>
            </w:r>
          </w:p>
        </w:tc>
      </w:tr>
      <w:tr>
        <w:trPr>
          <w:trHeight w:val="181"/>
        </w:trPr>
        <w:tc>
          <w:tcPr>
            <w:tcW w:w="5100" w:type="dxa"/>
            <w:vAlign w:val="bottom"/>
            <w:shd w:val="clear" w:color="auto" w:fill="E0E3F1"/>
          </w:tcPr>
          <w:p>
            <w:pPr>
              <w:ind w:left="20"/>
              <w:spacing w:after="0"/>
              <w:rPr>
                <w:sz w:val="20"/>
                <w:szCs w:val="20"/>
                <w:color w:val="auto"/>
              </w:rPr>
            </w:pPr>
            <w:r>
              <w:rPr>
                <w:rFonts w:ascii="Arial" w:cs="Arial" w:eastAsia="Arial" w:hAnsi="Arial"/>
                <w:sz w:val="14"/>
                <w:szCs w:val="14"/>
                <w:b w:val="1"/>
                <w:bCs w:val="1"/>
                <w:color w:val="auto"/>
              </w:rPr>
              <w:t>Adjusted operating income:</w:t>
            </w:r>
          </w:p>
        </w:tc>
        <w:tc>
          <w:tcPr>
            <w:tcW w:w="1900" w:type="dxa"/>
            <w:vAlign w:val="bottom"/>
            <w:shd w:val="clear" w:color="auto" w:fill="E0E3F1"/>
          </w:tcPr>
          <w:p>
            <w:pPr>
              <w:spacing w:after="0"/>
              <w:rPr>
                <w:sz w:val="15"/>
                <w:szCs w:val="15"/>
                <w:color w:val="auto"/>
              </w:rPr>
            </w:pPr>
          </w:p>
        </w:tc>
        <w:tc>
          <w:tcPr>
            <w:tcW w:w="140" w:type="dxa"/>
            <w:vAlign w:val="bottom"/>
            <w:shd w:val="clear" w:color="auto" w:fill="E0E3F1"/>
          </w:tcPr>
          <w:p>
            <w:pPr>
              <w:spacing w:after="0"/>
              <w:rPr>
                <w:sz w:val="15"/>
                <w:szCs w:val="15"/>
                <w:color w:val="auto"/>
              </w:rPr>
            </w:pPr>
          </w:p>
        </w:tc>
        <w:tc>
          <w:tcPr>
            <w:tcW w:w="2300" w:type="dxa"/>
            <w:vAlign w:val="bottom"/>
            <w:shd w:val="clear" w:color="auto" w:fill="E0E3F1"/>
          </w:tcPr>
          <w:p>
            <w:pPr>
              <w:spacing w:after="0"/>
              <w:rPr>
                <w:sz w:val="15"/>
                <w:szCs w:val="15"/>
                <w:color w:val="auto"/>
              </w:rPr>
            </w:pPr>
          </w:p>
        </w:tc>
        <w:tc>
          <w:tcPr>
            <w:tcW w:w="1800" w:type="dxa"/>
            <w:vAlign w:val="bottom"/>
            <w:shd w:val="clear" w:color="auto" w:fill="E0E3F1"/>
          </w:tcPr>
          <w:p>
            <w:pPr>
              <w:spacing w:after="0"/>
              <w:rPr>
                <w:sz w:val="15"/>
                <w:szCs w:val="15"/>
                <w:color w:val="auto"/>
              </w:rPr>
            </w:pPr>
          </w:p>
        </w:tc>
      </w:tr>
      <w:tr>
        <w:trPr>
          <w:trHeight w:val="204"/>
        </w:trPr>
        <w:tc>
          <w:tcPr>
            <w:tcW w:w="5100" w:type="dxa"/>
            <w:vAlign w:val="bottom"/>
            <w:shd w:val="clear" w:color="auto" w:fill="E0E3F1"/>
          </w:tcPr>
          <w:p>
            <w:pPr>
              <w:ind w:left="140"/>
              <w:spacing w:after="0"/>
              <w:rPr>
                <w:sz w:val="20"/>
                <w:szCs w:val="20"/>
                <w:color w:val="auto"/>
              </w:rPr>
            </w:pPr>
            <w:r>
              <w:rPr>
                <w:rFonts w:ascii="Arial" w:cs="Arial" w:eastAsia="Arial" w:hAnsi="Arial"/>
                <w:sz w:val="14"/>
                <w:szCs w:val="14"/>
                <w:color w:val="auto"/>
              </w:rPr>
              <w:t>Consumer segment</w:t>
            </w:r>
          </w:p>
        </w:tc>
        <w:tc>
          <w:tcPr>
            <w:tcW w:w="2040" w:type="dxa"/>
            <w:vAlign w:val="bottom"/>
            <w:gridSpan w:val="2"/>
            <w:shd w:val="clear" w:color="auto" w:fill="E0E3F1"/>
          </w:tcPr>
          <w:p>
            <w:pPr>
              <w:jc w:val="right"/>
              <w:spacing w:after="0"/>
              <w:rPr>
                <w:sz w:val="20"/>
                <w:szCs w:val="20"/>
                <w:color w:val="auto"/>
              </w:rPr>
            </w:pPr>
            <w:r>
              <w:rPr>
                <w:rFonts w:ascii="Arial" w:cs="Arial" w:eastAsia="Arial" w:hAnsi="Arial"/>
                <w:sz w:val="14"/>
                <w:szCs w:val="14"/>
                <w:color w:val="auto"/>
              </w:rPr>
              <w:t>(0.7)%</w:t>
            </w:r>
          </w:p>
        </w:tc>
        <w:tc>
          <w:tcPr>
            <w:tcW w:w="2300" w:type="dxa"/>
            <w:vAlign w:val="bottom"/>
            <w:shd w:val="clear" w:color="auto" w:fill="E0E3F1"/>
          </w:tcPr>
          <w:p>
            <w:pPr>
              <w:jc w:val="right"/>
              <w:ind w:right="188"/>
              <w:spacing w:after="0"/>
              <w:rPr>
                <w:sz w:val="20"/>
                <w:szCs w:val="20"/>
                <w:color w:val="auto"/>
              </w:rPr>
            </w:pPr>
            <w:r>
              <w:rPr>
                <w:rFonts w:ascii="Arial" w:cs="Arial" w:eastAsia="Arial" w:hAnsi="Arial"/>
                <w:sz w:val="14"/>
                <w:szCs w:val="14"/>
                <w:color w:val="auto"/>
              </w:rPr>
              <w:t>(0.1)%</w:t>
            </w:r>
          </w:p>
        </w:tc>
        <w:tc>
          <w:tcPr>
            <w:tcW w:w="1800" w:type="dxa"/>
            <w:vAlign w:val="bottom"/>
            <w:shd w:val="clear" w:color="auto" w:fill="E0E3F1"/>
          </w:tcPr>
          <w:p>
            <w:pPr>
              <w:jc w:val="right"/>
              <w:spacing w:after="0"/>
              <w:rPr>
                <w:sz w:val="20"/>
                <w:szCs w:val="20"/>
                <w:color w:val="auto"/>
              </w:rPr>
            </w:pPr>
            <w:r>
              <w:rPr>
                <w:rFonts w:ascii="Arial" w:cs="Arial" w:eastAsia="Arial" w:hAnsi="Arial"/>
                <w:sz w:val="14"/>
                <w:szCs w:val="14"/>
                <w:color w:val="auto"/>
              </w:rPr>
              <w:t>(0.6)%</w:t>
            </w:r>
          </w:p>
        </w:tc>
      </w:tr>
      <w:tr>
        <w:trPr>
          <w:trHeight w:val="196"/>
        </w:trPr>
        <w:tc>
          <w:tcPr>
            <w:tcW w:w="5100" w:type="dxa"/>
            <w:vAlign w:val="bottom"/>
            <w:tcBorders>
              <w:bottom w:val="single" w:sz="8" w:color="E0E3F1"/>
            </w:tcBorders>
            <w:shd w:val="clear" w:color="auto" w:fill="E0E3F1"/>
          </w:tcPr>
          <w:p>
            <w:pPr>
              <w:ind w:left="140"/>
              <w:spacing w:after="0"/>
              <w:rPr>
                <w:sz w:val="20"/>
                <w:szCs w:val="20"/>
                <w:color w:val="auto"/>
              </w:rPr>
            </w:pPr>
            <w:r>
              <w:rPr>
                <w:rFonts w:ascii="Arial" w:cs="Arial" w:eastAsia="Arial" w:hAnsi="Arial"/>
                <w:sz w:val="14"/>
                <w:szCs w:val="14"/>
                <w:color w:val="auto"/>
              </w:rPr>
              <w:t>Flavor Solutions segment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w:t>
            </w:r>
          </w:p>
        </w:tc>
        <w:tc>
          <w:tcPr>
            <w:tcW w:w="140" w:type="dxa"/>
            <w:vAlign w:val="bottom"/>
            <w:tcBorders>
              <w:bottom w:val="single" w:sz="8" w:color="auto"/>
            </w:tcBorders>
            <w:shd w:val="clear" w:color="auto" w:fill="E0E3F1"/>
          </w:tcPr>
          <w:p>
            <w:pPr>
              <w:jc w:val="right"/>
              <w:spacing w:after="0"/>
              <w:rPr>
                <w:sz w:val="20"/>
                <w:szCs w:val="20"/>
                <w:color w:val="auto"/>
              </w:rPr>
            </w:pPr>
            <w:r>
              <w:rPr>
                <w:rFonts w:ascii="Arial" w:cs="Arial" w:eastAsia="Arial" w:hAnsi="Arial"/>
                <w:sz w:val="14"/>
                <w:szCs w:val="14"/>
                <w:color w:val="auto"/>
                <w:w w:val="96"/>
              </w:rPr>
              <w:t>%</w:t>
            </w:r>
          </w:p>
        </w:tc>
        <w:tc>
          <w:tcPr>
            <w:tcW w:w="2300" w:type="dxa"/>
            <w:vAlign w:val="bottom"/>
            <w:tcBorders>
              <w:bottom w:val="single" w:sz="8" w:color="auto"/>
            </w:tcBorders>
            <w:shd w:val="clear" w:color="auto" w:fill="E0E3F1"/>
          </w:tcPr>
          <w:p>
            <w:pPr>
              <w:jc w:val="right"/>
              <w:ind w:right="188"/>
              <w:spacing w:after="0"/>
              <w:rPr>
                <w:sz w:val="20"/>
                <w:szCs w:val="20"/>
                <w:color w:val="auto"/>
              </w:rPr>
            </w:pPr>
            <w:r>
              <w:rPr>
                <w:rFonts w:ascii="Arial" w:cs="Arial" w:eastAsia="Arial" w:hAnsi="Arial"/>
                <w:sz w:val="14"/>
                <w:szCs w:val="14"/>
                <w:color w:val="auto"/>
              </w:rPr>
              <w:t>(1.7)%</w:t>
            </w:r>
          </w:p>
        </w:tc>
        <w:tc>
          <w:tcPr>
            <w:tcW w:w="1800" w:type="dxa"/>
            <w:vAlign w:val="bottom"/>
            <w:tcBorders>
              <w:bottom w:val="single" w:sz="8" w:color="auto"/>
            </w:tcBorders>
            <w:shd w:val="clear" w:color="auto" w:fill="E0E3F1"/>
          </w:tcPr>
          <w:p>
            <w:pPr>
              <w:jc w:val="right"/>
              <w:spacing w:after="0"/>
              <w:rPr>
                <w:sz w:val="20"/>
                <w:szCs w:val="20"/>
                <w:color w:val="auto"/>
              </w:rPr>
            </w:pPr>
            <w:r>
              <w:rPr>
                <w:rFonts w:ascii="Arial" w:cs="Arial" w:eastAsia="Arial" w:hAnsi="Arial"/>
                <w:sz w:val="14"/>
                <w:szCs w:val="14"/>
                <w:color w:val="auto"/>
              </w:rPr>
              <w:t>10.7 %</w:t>
            </w:r>
          </w:p>
        </w:tc>
      </w:tr>
      <w:tr>
        <w:trPr>
          <w:trHeight w:val="218"/>
        </w:trPr>
        <w:tc>
          <w:tcPr>
            <w:tcW w:w="5100" w:type="dxa"/>
            <w:vAlign w:val="bottom"/>
            <w:tcBorders>
              <w:bottom w:val="single" w:sz="8" w:color="E0E3F1"/>
            </w:tcBorders>
            <w:shd w:val="clear" w:color="auto" w:fill="E0E3F1"/>
          </w:tcPr>
          <w:p>
            <w:pPr>
              <w:ind w:left="220"/>
              <w:spacing w:after="0"/>
              <w:rPr>
                <w:sz w:val="20"/>
                <w:szCs w:val="20"/>
                <w:color w:val="auto"/>
              </w:rPr>
            </w:pPr>
            <w:r>
              <w:rPr>
                <w:rFonts w:ascii="Arial" w:cs="Arial" w:eastAsia="Arial" w:hAnsi="Arial"/>
                <w:sz w:val="14"/>
                <w:szCs w:val="14"/>
                <w:b w:val="1"/>
                <w:bCs w:val="1"/>
                <w:color w:val="auto"/>
              </w:rPr>
              <w:t>Total adjusted operating income</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40" w:type="dxa"/>
            <w:vAlign w:val="bottom"/>
            <w:tcBorders>
              <w:bottom w:val="single" w:sz="8" w:color="auto"/>
            </w:tcBorders>
            <w:shd w:val="clear" w:color="auto" w:fill="E0E3F1"/>
          </w:tcPr>
          <w:p>
            <w:pPr>
              <w:jc w:val="right"/>
              <w:spacing w:after="0"/>
              <w:rPr>
                <w:sz w:val="20"/>
                <w:szCs w:val="20"/>
                <w:color w:val="auto"/>
              </w:rPr>
            </w:pPr>
            <w:r>
              <w:rPr>
                <w:rFonts w:ascii="Arial" w:cs="Arial" w:eastAsia="Arial" w:hAnsi="Arial"/>
                <w:sz w:val="14"/>
                <w:szCs w:val="14"/>
                <w:color w:val="auto"/>
                <w:w w:val="96"/>
              </w:rPr>
              <w:t>%</w:t>
            </w:r>
          </w:p>
        </w:tc>
        <w:tc>
          <w:tcPr>
            <w:tcW w:w="2300" w:type="dxa"/>
            <w:vAlign w:val="bottom"/>
            <w:tcBorders>
              <w:bottom w:val="single" w:sz="8" w:color="auto"/>
            </w:tcBorders>
            <w:shd w:val="clear" w:color="auto" w:fill="E0E3F1"/>
          </w:tcPr>
          <w:p>
            <w:pPr>
              <w:jc w:val="right"/>
              <w:ind w:right="188"/>
              <w:spacing w:after="0"/>
              <w:rPr>
                <w:sz w:val="20"/>
                <w:szCs w:val="20"/>
                <w:color w:val="auto"/>
              </w:rPr>
            </w:pPr>
            <w:r>
              <w:rPr>
                <w:rFonts w:ascii="Arial" w:cs="Arial" w:eastAsia="Arial" w:hAnsi="Arial"/>
                <w:sz w:val="14"/>
                <w:szCs w:val="14"/>
                <w:color w:val="auto"/>
              </w:rPr>
              <w:t>(0.5)%</w:t>
            </w:r>
          </w:p>
        </w:tc>
        <w:tc>
          <w:tcPr>
            <w:tcW w:w="1800" w:type="dxa"/>
            <w:vAlign w:val="bottom"/>
            <w:tcBorders>
              <w:bottom w:val="single" w:sz="8" w:color="auto"/>
            </w:tcBorders>
            <w:shd w:val="clear" w:color="auto" w:fill="E0E3F1"/>
          </w:tcPr>
          <w:p>
            <w:pPr>
              <w:jc w:val="right"/>
              <w:spacing w:after="0"/>
              <w:rPr>
                <w:sz w:val="20"/>
                <w:szCs w:val="20"/>
                <w:color w:val="auto"/>
              </w:rPr>
            </w:pPr>
            <w:r>
              <w:rPr>
                <w:rFonts w:ascii="Arial" w:cs="Arial" w:eastAsia="Arial" w:hAnsi="Arial"/>
                <w:sz w:val="14"/>
                <w:szCs w:val="14"/>
                <w:color w:val="auto"/>
              </w:rPr>
              <w:t>2.8 %</w:t>
            </w:r>
          </w:p>
        </w:tc>
      </w:tr>
      <w:tr>
        <w:trPr>
          <w:trHeight w:val="20"/>
        </w:trPr>
        <w:tc>
          <w:tcPr>
            <w:tcW w:w="5100" w:type="dxa"/>
            <w:vAlign w:val="bottom"/>
            <w:tcBorders>
              <w:top w:val="single" w:sz="8" w:color="E0E3F1"/>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40" w:type="dxa"/>
            <w:vAlign w:val="bottom"/>
            <w:tcBorders>
              <w:top w:val="single" w:sz="8" w:color="E0E3F1"/>
              <w:bottom w:val="single" w:sz="8" w:color="auto"/>
            </w:tcBorders>
          </w:tcPr>
          <w:p>
            <w:pPr>
              <w:spacing w:after="0" w:line="20" w:lineRule="exact"/>
              <w:rPr>
                <w:sz w:val="1"/>
                <w:szCs w:val="1"/>
                <w:color w:val="auto"/>
              </w:rPr>
            </w:pPr>
          </w:p>
        </w:tc>
        <w:tc>
          <w:tcPr>
            <w:tcW w:w="2300" w:type="dxa"/>
            <w:vAlign w:val="bottom"/>
            <w:tcBorders>
              <w:top w:val="single" w:sz="8" w:color="E0E3F1"/>
              <w:bottom w:val="single" w:sz="8" w:color="auto"/>
            </w:tcBorders>
          </w:tcPr>
          <w:p>
            <w:pPr>
              <w:spacing w:after="0" w:line="20" w:lineRule="exact"/>
              <w:rPr>
                <w:sz w:val="1"/>
                <w:szCs w:val="1"/>
                <w:color w:val="auto"/>
              </w:rPr>
            </w:pPr>
          </w:p>
        </w:tc>
        <w:tc>
          <w:tcPr>
            <w:tcW w:w="1800" w:type="dxa"/>
            <w:vAlign w:val="bottom"/>
            <w:tcBorders>
              <w:top w:val="single" w:sz="8" w:color="E0E3F1"/>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-427990</wp:posOffset>
            </wp:positionV>
            <wp:extent cx="1208405" cy="4114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0840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31" w:name="page32"/>
    <w:bookmarkEnd w:id="31"/>
    <w:tbl>
      <w:tblPr>
        <w:tblLayout w:type="fixed"/>
        <w:tblInd w:w="160" w:type="dxa"/>
        <w:tblCellMar>
          <w:top w:w="0" w:type="dxa"/>
          <w:left w:w="0" w:type="dxa"/>
          <w:bottom w:w="0" w:type="dxa"/>
          <w:right w:w="0" w:type="dxa"/>
        </w:tblCellMar>
      </w:tblPr>
      <w:tr>
        <w:trPr>
          <w:trHeight w:val="194"/>
        </w:trPr>
        <w:tc>
          <w:tcPr>
            <w:tcW w:w="3480" w:type="dxa"/>
            <w:vAlign w:val="bottom"/>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4580" w:type="dxa"/>
            <w:vAlign w:val="bottom"/>
            <w:tcBorders>
              <w:bottom w:val="single" w:sz="8" w:color="auto"/>
            </w:tcBorders>
            <w:gridSpan w:val="3"/>
          </w:tcPr>
          <w:p>
            <w:pPr>
              <w:jc w:val="center"/>
              <w:ind w:right="148"/>
              <w:spacing w:after="0"/>
              <w:rPr>
                <w:sz w:val="20"/>
                <w:szCs w:val="20"/>
                <w:color w:val="auto"/>
              </w:rPr>
            </w:pPr>
            <w:r>
              <w:rPr>
                <w:rFonts w:ascii="Arial" w:cs="Arial" w:eastAsia="Arial" w:hAnsi="Arial"/>
                <w:sz w:val="14"/>
                <w:szCs w:val="14"/>
                <w:color w:val="auto"/>
              </w:rPr>
              <w:t>For the year ended November 30, 2024</w:t>
            </w: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3480" w:type="dxa"/>
            <w:vAlign w:val="bottom"/>
          </w:tcPr>
          <w:p>
            <w:pPr>
              <w:spacing w:after="0"/>
              <w:rPr>
                <w:sz w:val="13"/>
                <w:szCs w:val="13"/>
                <w:color w:val="auto"/>
              </w:rPr>
            </w:pPr>
          </w:p>
        </w:tc>
        <w:tc>
          <w:tcPr>
            <w:tcW w:w="1540" w:type="dxa"/>
            <w:vAlign w:val="bottom"/>
            <w:vMerge w:val="restart"/>
          </w:tcPr>
          <w:p>
            <w:pPr>
              <w:jc w:val="right"/>
              <w:ind w:right="108"/>
              <w:spacing w:after="0"/>
              <w:rPr>
                <w:sz w:val="20"/>
                <w:szCs w:val="20"/>
                <w:color w:val="auto"/>
              </w:rPr>
            </w:pPr>
            <w:r>
              <w:rPr>
                <w:rFonts w:ascii="Arial" w:cs="Arial" w:eastAsia="Arial" w:hAnsi="Arial"/>
                <w:sz w:val="14"/>
                <w:szCs w:val="14"/>
                <w:color w:val="auto"/>
              </w:rPr>
              <w:t>Percentage change</w:t>
            </w:r>
          </w:p>
        </w:tc>
        <w:tc>
          <w:tcPr>
            <w:tcW w:w="1420" w:type="dxa"/>
            <w:vAlign w:val="bottom"/>
            <w:vMerge w:val="restart"/>
          </w:tcPr>
          <w:p>
            <w:pPr>
              <w:jc w:val="right"/>
              <w:ind w:right="128"/>
              <w:spacing w:after="0"/>
              <w:rPr>
                <w:sz w:val="20"/>
                <w:szCs w:val="20"/>
                <w:color w:val="auto"/>
              </w:rPr>
            </w:pPr>
            <w:r>
              <w:rPr>
                <w:rFonts w:ascii="Arial" w:cs="Arial" w:eastAsia="Arial" w:hAnsi="Arial"/>
                <w:sz w:val="14"/>
                <w:szCs w:val="14"/>
                <w:color w:val="auto"/>
              </w:rPr>
              <w:t>Impact of foreign</w:t>
            </w:r>
          </w:p>
        </w:tc>
        <w:tc>
          <w:tcPr>
            <w:tcW w:w="1520" w:type="dxa"/>
            <w:vAlign w:val="bottom"/>
          </w:tcPr>
          <w:p>
            <w:pPr>
              <w:jc w:val="center"/>
              <w:spacing w:after="0" w:line="151" w:lineRule="exact"/>
              <w:rPr>
                <w:sz w:val="20"/>
                <w:szCs w:val="20"/>
                <w:color w:val="auto"/>
              </w:rPr>
            </w:pPr>
            <w:r>
              <w:rPr>
                <w:rFonts w:ascii="Arial" w:cs="Arial" w:eastAsia="Arial" w:hAnsi="Arial"/>
                <w:sz w:val="14"/>
                <w:szCs w:val="14"/>
                <w:color w:val="auto"/>
              </w:rPr>
              <w:t>Percentage change on</w:t>
            </w:r>
          </w:p>
        </w:tc>
        <w:tc>
          <w:tcPr>
            <w:tcW w:w="2980" w:type="dxa"/>
            <w:vAlign w:val="bottom"/>
            <w:gridSpan w:val="2"/>
            <w:vMerge w:val="restart"/>
          </w:tcPr>
          <w:p>
            <w:pPr>
              <w:jc w:val="right"/>
              <w:spacing w:after="0"/>
              <w:rPr>
                <w:sz w:val="20"/>
                <w:szCs w:val="20"/>
                <w:color w:val="auto"/>
              </w:rPr>
            </w:pPr>
            <w:r>
              <w:rPr>
                <w:rFonts w:ascii="Arial" w:cs="Arial" w:eastAsia="Arial" w:hAnsi="Arial"/>
                <w:sz w:val="14"/>
                <w:szCs w:val="14"/>
                <w:color w:val="auto"/>
              </w:rPr>
              <w:t>Impact of Acquisitions Percentage change on</w:t>
            </w:r>
          </w:p>
        </w:tc>
        <w:tc>
          <w:tcPr>
            <w:tcW w:w="0" w:type="dxa"/>
            <w:vAlign w:val="bottom"/>
          </w:tcPr>
          <w:p>
            <w:pPr>
              <w:spacing w:after="0"/>
              <w:rPr>
                <w:sz w:val="1"/>
                <w:szCs w:val="1"/>
                <w:color w:val="auto"/>
              </w:rPr>
            </w:pPr>
          </w:p>
        </w:tc>
      </w:tr>
      <w:tr>
        <w:trPr>
          <w:trHeight w:val="144"/>
        </w:trPr>
        <w:tc>
          <w:tcPr>
            <w:tcW w:w="348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1520" w:type="dxa"/>
            <w:vAlign w:val="bottom"/>
          </w:tcPr>
          <w:p>
            <w:pPr>
              <w:jc w:val="center"/>
              <w:spacing w:after="0" w:line="145" w:lineRule="exact"/>
              <w:rPr>
                <w:sz w:val="20"/>
                <w:szCs w:val="20"/>
                <w:color w:val="auto"/>
              </w:rPr>
            </w:pPr>
            <w:r>
              <w:rPr>
                <w:rFonts w:ascii="Arial" w:cs="Arial" w:eastAsia="Arial" w:hAnsi="Arial"/>
                <w:sz w:val="14"/>
                <w:szCs w:val="14"/>
                <w:color w:val="auto"/>
              </w:rPr>
              <w:t>constant currency</w:t>
            </w:r>
          </w:p>
        </w:tc>
        <w:tc>
          <w:tcPr>
            <w:tcW w:w="2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480" w:type="dxa"/>
            <w:vAlign w:val="bottom"/>
            <w:vMerge w:val="restart"/>
          </w:tcPr>
          <w:p>
            <w:pPr>
              <w:spacing w:after="0"/>
              <w:rPr>
                <w:sz w:val="20"/>
                <w:szCs w:val="20"/>
                <w:color w:val="auto"/>
              </w:rPr>
            </w:pPr>
            <w:r>
              <w:rPr>
                <w:rFonts w:ascii="Arial" w:cs="Arial" w:eastAsia="Arial" w:hAnsi="Arial"/>
                <w:sz w:val="14"/>
                <w:szCs w:val="14"/>
                <w:b w:val="1"/>
                <w:bCs w:val="1"/>
                <w:color w:val="auto"/>
              </w:rPr>
              <w:t>Net sales:</w:t>
            </w:r>
          </w:p>
        </w:tc>
        <w:tc>
          <w:tcPr>
            <w:tcW w:w="1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as reported</w:t>
            </w:r>
          </w:p>
        </w:tc>
        <w:tc>
          <w:tcPr>
            <w:tcW w:w="14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currency exchange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basis</w:t>
            </w:r>
          </w:p>
        </w:tc>
        <w:tc>
          <w:tcPr>
            <w:tcW w:w="16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&amp; Divestitures</w:t>
            </w:r>
          </w:p>
        </w:tc>
        <w:tc>
          <w:tcPr>
            <w:tcW w:w="13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organic basis</w:t>
            </w:r>
          </w:p>
        </w:tc>
        <w:tc>
          <w:tcPr>
            <w:tcW w:w="0" w:type="dxa"/>
            <w:vAlign w:val="bottom"/>
          </w:tcPr>
          <w:p>
            <w:pPr>
              <w:spacing w:after="0"/>
              <w:rPr>
                <w:sz w:val="1"/>
                <w:szCs w:val="1"/>
                <w:color w:val="auto"/>
              </w:rPr>
            </w:pPr>
          </w:p>
        </w:tc>
      </w:tr>
      <w:tr>
        <w:trPr>
          <w:trHeight w:val="180"/>
        </w:trPr>
        <w:tc>
          <w:tcPr>
            <w:tcW w:w="3480" w:type="dxa"/>
            <w:vAlign w:val="bottom"/>
            <w:vMerge w:val="continue"/>
          </w:tcPr>
          <w:p>
            <w:pPr>
              <w:spacing w:after="0"/>
              <w:rPr>
                <w:sz w:val="15"/>
                <w:szCs w:val="15"/>
                <w:color w:val="auto"/>
              </w:rPr>
            </w:pPr>
          </w:p>
        </w:tc>
        <w:tc>
          <w:tcPr>
            <w:tcW w:w="15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480" w:type="dxa"/>
            <w:vAlign w:val="bottom"/>
          </w:tcPr>
          <w:p>
            <w:pPr>
              <w:ind w:left="120"/>
              <w:spacing w:after="0"/>
              <w:rPr>
                <w:sz w:val="20"/>
                <w:szCs w:val="20"/>
                <w:color w:val="auto"/>
              </w:rPr>
            </w:pPr>
            <w:r>
              <w:rPr>
                <w:rFonts w:ascii="Arial" w:cs="Arial" w:eastAsia="Arial" w:hAnsi="Arial"/>
                <w:sz w:val="14"/>
                <w:szCs w:val="14"/>
                <w:color w:val="auto"/>
              </w:rPr>
              <w:t>Consumer segment:</w:t>
            </w: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tcPr>
          <w:p>
            <w:pPr>
              <w:ind w:left="340"/>
              <w:spacing w:after="0"/>
              <w:rPr>
                <w:sz w:val="20"/>
                <w:szCs w:val="20"/>
                <w:color w:val="auto"/>
              </w:rPr>
            </w:pPr>
            <w:r>
              <w:rPr>
                <w:rFonts w:ascii="Arial" w:cs="Arial" w:eastAsia="Arial" w:hAnsi="Arial"/>
                <w:sz w:val="14"/>
                <w:szCs w:val="14"/>
                <w:color w:val="auto"/>
              </w:rPr>
              <w:t>Americas</w:t>
            </w: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0.6 %</w:t>
            </w:r>
          </w:p>
        </w:tc>
        <w:tc>
          <w:tcPr>
            <w:tcW w:w="1420" w:type="dxa"/>
            <w:vAlign w:val="bottom"/>
          </w:tcPr>
          <w:p>
            <w:pPr>
              <w:jc w:val="right"/>
              <w:spacing w:after="0"/>
              <w:rPr>
                <w:sz w:val="20"/>
                <w:szCs w:val="20"/>
                <w:color w:val="auto"/>
              </w:rPr>
            </w:pPr>
            <w:r>
              <w:rPr>
                <w:rFonts w:ascii="Arial" w:cs="Arial" w:eastAsia="Arial" w:hAnsi="Arial"/>
                <w:sz w:val="14"/>
                <w:szCs w:val="14"/>
                <w:color w:val="auto"/>
              </w:rPr>
              <w:t>(0.1)%</w:t>
            </w:r>
          </w:p>
        </w:tc>
        <w:tc>
          <w:tcPr>
            <w:tcW w:w="1520" w:type="dxa"/>
            <w:vAlign w:val="bottom"/>
          </w:tcPr>
          <w:p>
            <w:pPr>
              <w:jc w:val="right"/>
              <w:spacing w:after="0"/>
              <w:rPr>
                <w:sz w:val="20"/>
                <w:szCs w:val="20"/>
                <w:color w:val="auto"/>
              </w:rPr>
            </w:pPr>
            <w:r>
              <w:rPr>
                <w:rFonts w:ascii="Arial" w:cs="Arial" w:eastAsia="Arial" w:hAnsi="Arial"/>
                <w:sz w:val="14"/>
                <w:szCs w:val="14"/>
                <w:color w:val="auto"/>
              </w:rPr>
              <w:t>0.7 %</w:t>
            </w:r>
          </w:p>
        </w:tc>
        <w:tc>
          <w:tcPr>
            <w:tcW w:w="1640" w:type="dxa"/>
            <w:vAlign w:val="bottom"/>
          </w:tcPr>
          <w:p>
            <w:pPr>
              <w:jc w:val="right"/>
              <w:ind w:right="108"/>
              <w:spacing w:after="0"/>
              <w:rPr>
                <w:sz w:val="20"/>
                <w:szCs w:val="20"/>
                <w:color w:val="auto"/>
              </w:rPr>
            </w:pPr>
            <w:r>
              <w:rPr>
                <w:rFonts w:ascii="Arial" w:cs="Arial" w:eastAsia="Arial" w:hAnsi="Arial"/>
                <w:sz w:val="14"/>
                <w:szCs w:val="14"/>
                <w:color w:val="auto"/>
              </w:rPr>
              <w:t>— %</w:t>
            </w:r>
          </w:p>
        </w:tc>
        <w:tc>
          <w:tcPr>
            <w:tcW w:w="1340" w:type="dxa"/>
            <w:vAlign w:val="bottom"/>
          </w:tcPr>
          <w:p>
            <w:pPr>
              <w:jc w:val="right"/>
              <w:spacing w:after="0"/>
              <w:rPr>
                <w:sz w:val="20"/>
                <w:szCs w:val="20"/>
                <w:color w:val="auto"/>
              </w:rPr>
            </w:pPr>
            <w:r>
              <w:rPr>
                <w:rFonts w:ascii="Arial" w:cs="Arial" w:eastAsia="Arial" w:hAnsi="Arial"/>
                <w:sz w:val="14"/>
                <w:szCs w:val="14"/>
                <w:color w:val="auto"/>
              </w:rPr>
              <w:t>0.7 %</w:t>
            </w:r>
          </w:p>
        </w:tc>
        <w:tc>
          <w:tcPr>
            <w:tcW w:w="0" w:type="dxa"/>
            <w:vAlign w:val="bottom"/>
          </w:tcPr>
          <w:p>
            <w:pPr>
              <w:spacing w:after="0"/>
              <w:rPr>
                <w:sz w:val="1"/>
                <w:szCs w:val="1"/>
                <w:color w:val="auto"/>
              </w:rPr>
            </w:pPr>
          </w:p>
        </w:tc>
      </w:tr>
      <w:tr>
        <w:trPr>
          <w:trHeight w:val="203"/>
        </w:trPr>
        <w:tc>
          <w:tcPr>
            <w:tcW w:w="3480" w:type="dxa"/>
            <w:vAlign w:val="bottom"/>
          </w:tcPr>
          <w:p>
            <w:pPr>
              <w:ind w:left="340"/>
              <w:spacing w:after="0"/>
              <w:rPr>
                <w:sz w:val="20"/>
                <w:szCs w:val="20"/>
                <w:color w:val="auto"/>
              </w:rPr>
            </w:pPr>
            <w:r>
              <w:rPr>
                <w:rFonts w:ascii="Arial" w:cs="Arial" w:eastAsia="Arial" w:hAnsi="Arial"/>
                <w:sz w:val="14"/>
                <w:szCs w:val="14"/>
                <w:color w:val="auto"/>
              </w:rPr>
              <w:t>EMEA</w:t>
            </w: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7.3 %</w:t>
            </w:r>
          </w:p>
        </w:tc>
        <w:tc>
          <w:tcPr>
            <w:tcW w:w="1420" w:type="dxa"/>
            <w:vAlign w:val="bottom"/>
          </w:tcPr>
          <w:p>
            <w:pPr>
              <w:jc w:val="right"/>
              <w:spacing w:after="0"/>
              <w:rPr>
                <w:sz w:val="20"/>
                <w:szCs w:val="20"/>
                <w:color w:val="auto"/>
              </w:rPr>
            </w:pPr>
            <w:r>
              <w:rPr>
                <w:rFonts w:ascii="Arial" w:cs="Arial" w:eastAsia="Arial" w:hAnsi="Arial"/>
                <w:sz w:val="14"/>
                <w:szCs w:val="14"/>
                <w:color w:val="auto"/>
              </w:rPr>
              <w:t>3.0 %</w:t>
            </w:r>
          </w:p>
        </w:tc>
        <w:tc>
          <w:tcPr>
            <w:tcW w:w="1520" w:type="dxa"/>
            <w:vAlign w:val="bottom"/>
          </w:tcPr>
          <w:p>
            <w:pPr>
              <w:jc w:val="right"/>
              <w:spacing w:after="0"/>
              <w:rPr>
                <w:sz w:val="20"/>
                <w:szCs w:val="20"/>
                <w:color w:val="auto"/>
              </w:rPr>
            </w:pPr>
            <w:r>
              <w:rPr>
                <w:rFonts w:ascii="Arial" w:cs="Arial" w:eastAsia="Arial" w:hAnsi="Arial"/>
                <w:sz w:val="14"/>
                <w:szCs w:val="14"/>
                <w:color w:val="auto"/>
              </w:rPr>
              <w:t>4.3 %</w:t>
            </w:r>
          </w:p>
        </w:tc>
        <w:tc>
          <w:tcPr>
            <w:tcW w:w="1640" w:type="dxa"/>
            <w:vAlign w:val="bottom"/>
          </w:tcPr>
          <w:p>
            <w:pPr>
              <w:jc w:val="right"/>
              <w:ind w:right="108"/>
              <w:spacing w:after="0"/>
              <w:rPr>
                <w:sz w:val="20"/>
                <w:szCs w:val="20"/>
                <w:color w:val="auto"/>
              </w:rPr>
            </w:pPr>
            <w:r>
              <w:rPr>
                <w:rFonts w:ascii="Arial" w:cs="Arial" w:eastAsia="Arial" w:hAnsi="Arial"/>
                <w:sz w:val="14"/>
                <w:szCs w:val="14"/>
                <w:color w:val="auto"/>
              </w:rPr>
              <w:t>— %</w:t>
            </w:r>
          </w:p>
        </w:tc>
        <w:tc>
          <w:tcPr>
            <w:tcW w:w="1340" w:type="dxa"/>
            <w:vAlign w:val="bottom"/>
          </w:tcPr>
          <w:p>
            <w:pPr>
              <w:jc w:val="right"/>
              <w:spacing w:after="0"/>
              <w:rPr>
                <w:sz w:val="20"/>
                <w:szCs w:val="20"/>
                <w:color w:val="auto"/>
              </w:rPr>
            </w:pPr>
            <w:r>
              <w:rPr>
                <w:rFonts w:ascii="Arial" w:cs="Arial" w:eastAsia="Arial" w:hAnsi="Arial"/>
                <w:sz w:val="14"/>
                <w:szCs w:val="14"/>
                <w:color w:val="auto"/>
              </w:rPr>
              <w:t>4.3 %</w:t>
            </w:r>
          </w:p>
        </w:tc>
        <w:tc>
          <w:tcPr>
            <w:tcW w:w="0" w:type="dxa"/>
            <w:vAlign w:val="bottom"/>
          </w:tcPr>
          <w:p>
            <w:pPr>
              <w:spacing w:after="0"/>
              <w:rPr>
                <w:sz w:val="1"/>
                <w:szCs w:val="1"/>
                <w:color w:val="auto"/>
              </w:rPr>
            </w:pPr>
          </w:p>
        </w:tc>
      </w:tr>
      <w:tr>
        <w:trPr>
          <w:trHeight w:val="204"/>
        </w:trPr>
        <w:tc>
          <w:tcPr>
            <w:tcW w:w="3480" w:type="dxa"/>
            <w:vAlign w:val="bottom"/>
          </w:tcPr>
          <w:p>
            <w:pPr>
              <w:ind w:left="340"/>
              <w:spacing w:after="0"/>
              <w:rPr>
                <w:sz w:val="20"/>
                <w:szCs w:val="20"/>
                <w:color w:val="auto"/>
              </w:rPr>
            </w:pPr>
            <w:r>
              <w:rPr>
                <w:rFonts w:ascii="Arial" w:cs="Arial" w:eastAsia="Arial" w:hAnsi="Arial"/>
                <w:sz w:val="14"/>
                <w:szCs w:val="14"/>
                <w:color w:val="auto"/>
              </w:rPr>
              <w:t>APAC</w:t>
            </w:r>
          </w:p>
        </w:tc>
        <w:tc>
          <w:tcPr>
            <w:tcW w:w="1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16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 %</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96"/>
        </w:trPr>
        <w:tc>
          <w:tcPr>
            <w:tcW w:w="3480" w:type="dxa"/>
            <w:vAlign w:val="bottom"/>
          </w:tcPr>
          <w:p>
            <w:pPr>
              <w:ind w:left="120"/>
              <w:spacing w:after="0"/>
              <w:rPr>
                <w:sz w:val="20"/>
                <w:szCs w:val="20"/>
                <w:color w:val="auto"/>
              </w:rPr>
            </w:pPr>
            <w:r>
              <w:rPr>
                <w:rFonts w:ascii="Arial" w:cs="Arial" w:eastAsia="Arial" w:hAnsi="Arial"/>
                <w:sz w:val="14"/>
                <w:szCs w:val="14"/>
                <w:color w:val="auto"/>
              </w:rPr>
              <w:t>Total Consumer</w:t>
            </w:r>
          </w:p>
        </w:tc>
        <w:tc>
          <w:tcPr>
            <w:tcW w:w="1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1.1 %</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0.3 %</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0.8 %</w:t>
            </w:r>
          </w:p>
        </w:tc>
        <w:tc>
          <w:tcPr>
            <w:tcW w:w="16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 %</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0.8 %</w:t>
            </w:r>
          </w:p>
        </w:tc>
        <w:tc>
          <w:tcPr>
            <w:tcW w:w="0" w:type="dxa"/>
            <w:vAlign w:val="bottom"/>
          </w:tcPr>
          <w:p>
            <w:pPr>
              <w:spacing w:after="0"/>
              <w:rPr>
                <w:sz w:val="1"/>
                <w:szCs w:val="1"/>
                <w:color w:val="auto"/>
              </w:rPr>
            </w:pPr>
          </w:p>
        </w:tc>
      </w:tr>
      <w:tr>
        <w:trPr>
          <w:trHeight w:val="181"/>
        </w:trPr>
        <w:tc>
          <w:tcPr>
            <w:tcW w:w="3480" w:type="dxa"/>
            <w:vAlign w:val="bottom"/>
          </w:tcPr>
          <w:p>
            <w:pPr>
              <w:ind w:left="120"/>
              <w:spacing w:after="0"/>
              <w:rPr>
                <w:sz w:val="20"/>
                <w:szCs w:val="20"/>
                <w:color w:val="auto"/>
              </w:rPr>
            </w:pPr>
            <w:r>
              <w:rPr>
                <w:rFonts w:ascii="Arial" w:cs="Arial" w:eastAsia="Arial" w:hAnsi="Arial"/>
                <w:sz w:val="14"/>
                <w:szCs w:val="14"/>
                <w:color w:val="auto"/>
              </w:rPr>
              <w:t>Flavor Solutions segment:</w:t>
            </w:r>
          </w:p>
        </w:tc>
        <w:tc>
          <w:tcPr>
            <w:tcW w:w="15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80" w:type="dxa"/>
            <w:vAlign w:val="bottom"/>
          </w:tcPr>
          <w:p>
            <w:pPr>
              <w:ind w:left="340"/>
              <w:spacing w:after="0"/>
              <w:rPr>
                <w:sz w:val="20"/>
                <w:szCs w:val="20"/>
                <w:color w:val="auto"/>
              </w:rPr>
            </w:pPr>
            <w:r>
              <w:rPr>
                <w:rFonts w:ascii="Arial" w:cs="Arial" w:eastAsia="Arial" w:hAnsi="Arial"/>
                <w:sz w:val="14"/>
                <w:szCs w:val="14"/>
                <w:color w:val="auto"/>
              </w:rPr>
              <w:t>Americas</w:t>
            </w: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1.4 %</w:t>
            </w:r>
          </w:p>
        </w:tc>
        <w:tc>
          <w:tcPr>
            <w:tcW w:w="1420" w:type="dxa"/>
            <w:vAlign w:val="bottom"/>
          </w:tcPr>
          <w:p>
            <w:pPr>
              <w:jc w:val="right"/>
              <w:spacing w:after="0"/>
              <w:rPr>
                <w:sz w:val="20"/>
                <w:szCs w:val="20"/>
                <w:color w:val="auto"/>
              </w:rPr>
            </w:pPr>
            <w:r>
              <w:rPr>
                <w:rFonts w:ascii="Arial" w:cs="Arial" w:eastAsia="Arial" w:hAnsi="Arial"/>
                <w:sz w:val="14"/>
                <w:szCs w:val="14"/>
                <w:color w:val="auto"/>
              </w:rPr>
              <w:t>(0.1)%</w:t>
            </w:r>
          </w:p>
        </w:tc>
        <w:tc>
          <w:tcPr>
            <w:tcW w:w="1520" w:type="dxa"/>
            <w:vAlign w:val="bottom"/>
          </w:tcPr>
          <w:p>
            <w:pPr>
              <w:jc w:val="right"/>
              <w:spacing w:after="0"/>
              <w:rPr>
                <w:sz w:val="20"/>
                <w:szCs w:val="20"/>
                <w:color w:val="auto"/>
              </w:rPr>
            </w:pPr>
            <w:r>
              <w:rPr>
                <w:rFonts w:ascii="Arial" w:cs="Arial" w:eastAsia="Arial" w:hAnsi="Arial"/>
                <w:sz w:val="14"/>
                <w:szCs w:val="14"/>
                <w:color w:val="auto"/>
              </w:rPr>
              <w:t>1.5 %</w:t>
            </w:r>
          </w:p>
        </w:tc>
        <w:tc>
          <w:tcPr>
            <w:tcW w:w="1640" w:type="dxa"/>
            <w:vAlign w:val="bottom"/>
          </w:tcPr>
          <w:p>
            <w:pPr>
              <w:jc w:val="right"/>
              <w:ind w:right="108"/>
              <w:spacing w:after="0"/>
              <w:rPr>
                <w:sz w:val="20"/>
                <w:szCs w:val="20"/>
                <w:color w:val="auto"/>
              </w:rPr>
            </w:pPr>
            <w:r>
              <w:rPr>
                <w:rFonts w:ascii="Arial" w:cs="Arial" w:eastAsia="Arial" w:hAnsi="Arial"/>
                <w:sz w:val="14"/>
                <w:szCs w:val="14"/>
                <w:color w:val="auto"/>
              </w:rPr>
              <w:t>— %</w:t>
            </w:r>
          </w:p>
        </w:tc>
        <w:tc>
          <w:tcPr>
            <w:tcW w:w="1340" w:type="dxa"/>
            <w:vAlign w:val="bottom"/>
          </w:tcPr>
          <w:p>
            <w:pPr>
              <w:jc w:val="right"/>
              <w:spacing w:after="0"/>
              <w:rPr>
                <w:sz w:val="20"/>
                <w:szCs w:val="20"/>
                <w:color w:val="auto"/>
              </w:rPr>
            </w:pPr>
            <w:r>
              <w:rPr>
                <w:rFonts w:ascii="Arial" w:cs="Arial" w:eastAsia="Arial" w:hAnsi="Arial"/>
                <w:sz w:val="14"/>
                <w:szCs w:val="14"/>
                <w:color w:val="auto"/>
              </w:rPr>
              <w:t>1.5 %</w:t>
            </w:r>
          </w:p>
        </w:tc>
        <w:tc>
          <w:tcPr>
            <w:tcW w:w="0" w:type="dxa"/>
            <w:vAlign w:val="bottom"/>
          </w:tcPr>
          <w:p>
            <w:pPr>
              <w:spacing w:after="0"/>
              <w:rPr>
                <w:sz w:val="1"/>
                <w:szCs w:val="1"/>
                <w:color w:val="auto"/>
              </w:rPr>
            </w:pPr>
          </w:p>
        </w:tc>
      </w:tr>
      <w:tr>
        <w:trPr>
          <w:trHeight w:val="203"/>
        </w:trPr>
        <w:tc>
          <w:tcPr>
            <w:tcW w:w="3480" w:type="dxa"/>
            <w:vAlign w:val="bottom"/>
          </w:tcPr>
          <w:p>
            <w:pPr>
              <w:ind w:left="340"/>
              <w:spacing w:after="0"/>
              <w:rPr>
                <w:sz w:val="20"/>
                <w:szCs w:val="20"/>
                <w:color w:val="auto"/>
              </w:rPr>
            </w:pPr>
            <w:r>
              <w:rPr>
                <w:rFonts w:ascii="Arial" w:cs="Arial" w:eastAsia="Arial" w:hAnsi="Arial"/>
                <w:sz w:val="14"/>
                <w:szCs w:val="14"/>
                <w:color w:val="auto"/>
              </w:rPr>
              <w:t>EMEA</w:t>
            </w: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(3.5)%</w:t>
            </w:r>
          </w:p>
        </w:tc>
        <w:tc>
          <w:tcPr>
            <w:tcW w:w="1420" w:type="dxa"/>
            <w:vAlign w:val="bottom"/>
          </w:tcPr>
          <w:p>
            <w:pPr>
              <w:jc w:val="right"/>
              <w:spacing w:after="0"/>
              <w:rPr>
                <w:sz w:val="20"/>
                <w:szCs w:val="20"/>
                <w:color w:val="auto"/>
              </w:rPr>
            </w:pPr>
            <w:r>
              <w:rPr>
                <w:rFonts w:ascii="Arial" w:cs="Arial" w:eastAsia="Arial" w:hAnsi="Arial"/>
                <w:sz w:val="14"/>
                <w:szCs w:val="14"/>
                <w:color w:val="auto"/>
              </w:rPr>
              <w:t>2.4 %</w:t>
            </w:r>
          </w:p>
        </w:tc>
        <w:tc>
          <w:tcPr>
            <w:tcW w:w="1520" w:type="dxa"/>
            <w:vAlign w:val="bottom"/>
          </w:tcPr>
          <w:p>
            <w:pPr>
              <w:jc w:val="right"/>
              <w:spacing w:after="0"/>
              <w:rPr>
                <w:sz w:val="20"/>
                <w:szCs w:val="20"/>
                <w:color w:val="auto"/>
              </w:rPr>
            </w:pPr>
            <w:r>
              <w:rPr>
                <w:rFonts w:ascii="Arial" w:cs="Arial" w:eastAsia="Arial" w:hAnsi="Arial"/>
                <w:sz w:val="14"/>
                <w:szCs w:val="14"/>
                <w:color w:val="auto"/>
              </w:rPr>
              <w:t>(5.9)%</w:t>
            </w:r>
          </w:p>
        </w:tc>
        <w:tc>
          <w:tcPr>
            <w:tcW w:w="1640" w:type="dxa"/>
            <w:vAlign w:val="bottom"/>
          </w:tcPr>
          <w:p>
            <w:pPr>
              <w:jc w:val="right"/>
              <w:ind w:right="108"/>
              <w:spacing w:after="0"/>
              <w:rPr>
                <w:sz w:val="20"/>
                <w:szCs w:val="20"/>
                <w:color w:val="auto"/>
              </w:rPr>
            </w:pPr>
            <w:r>
              <w:rPr>
                <w:rFonts w:ascii="Arial" w:cs="Arial" w:eastAsia="Arial" w:hAnsi="Arial"/>
                <w:sz w:val="14"/>
                <w:szCs w:val="14"/>
                <w:color w:val="auto"/>
              </w:rPr>
              <w:t>(2.3)%</w:t>
            </w:r>
          </w:p>
        </w:tc>
        <w:tc>
          <w:tcPr>
            <w:tcW w:w="1340" w:type="dxa"/>
            <w:vAlign w:val="bottom"/>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04"/>
        </w:trPr>
        <w:tc>
          <w:tcPr>
            <w:tcW w:w="3480" w:type="dxa"/>
            <w:vAlign w:val="bottom"/>
          </w:tcPr>
          <w:p>
            <w:pPr>
              <w:ind w:left="340"/>
              <w:spacing w:after="0"/>
              <w:rPr>
                <w:sz w:val="20"/>
                <w:szCs w:val="20"/>
                <w:color w:val="auto"/>
              </w:rPr>
            </w:pPr>
            <w:r>
              <w:rPr>
                <w:rFonts w:ascii="Arial" w:cs="Arial" w:eastAsia="Arial" w:hAnsi="Arial"/>
                <w:sz w:val="14"/>
                <w:szCs w:val="14"/>
                <w:color w:val="auto"/>
              </w:rPr>
              <w:t>APAC</w:t>
            </w:r>
          </w:p>
        </w:tc>
        <w:tc>
          <w:tcPr>
            <w:tcW w:w="1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4.1 %</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5.1 %</w:t>
            </w:r>
          </w:p>
        </w:tc>
        <w:tc>
          <w:tcPr>
            <w:tcW w:w="16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 %</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5.1 %</w:t>
            </w:r>
          </w:p>
        </w:tc>
        <w:tc>
          <w:tcPr>
            <w:tcW w:w="0" w:type="dxa"/>
            <w:vAlign w:val="bottom"/>
          </w:tcPr>
          <w:p>
            <w:pPr>
              <w:spacing w:after="0"/>
              <w:rPr>
                <w:sz w:val="1"/>
                <w:szCs w:val="1"/>
                <w:color w:val="auto"/>
              </w:rPr>
            </w:pPr>
          </w:p>
        </w:tc>
      </w:tr>
      <w:tr>
        <w:trPr>
          <w:trHeight w:val="196"/>
        </w:trPr>
        <w:tc>
          <w:tcPr>
            <w:tcW w:w="3480" w:type="dxa"/>
            <w:vAlign w:val="bottom"/>
          </w:tcPr>
          <w:p>
            <w:pPr>
              <w:ind w:left="120"/>
              <w:spacing w:after="0"/>
              <w:rPr>
                <w:sz w:val="20"/>
                <w:szCs w:val="20"/>
                <w:color w:val="auto"/>
              </w:rPr>
            </w:pPr>
            <w:r>
              <w:rPr>
                <w:rFonts w:ascii="Arial" w:cs="Arial" w:eastAsia="Arial" w:hAnsi="Arial"/>
                <w:sz w:val="14"/>
                <w:szCs w:val="14"/>
                <w:color w:val="auto"/>
              </w:rPr>
              <w:t>Total Flavor Solutions</w:t>
            </w:r>
          </w:p>
        </w:tc>
        <w:tc>
          <w:tcPr>
            <w:tcW w:w="1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0.7 %</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0.3 %</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0.4 %</w:t>
            </w:r>
          </w:p>
        </w:tc>
        <w:tc>
          <w:tcPr>
            <w:tcW w:w="16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(0.5)%</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0.9 %</w:t>
            </w:r>
          </w:p>
        </w:tc>
        <w:tc>
          <w:tcPr>
            <w:tcW w:w="0" w:type="dxa"/>
            <w:vAlign w:val="bottom"/>
          </w:tcPr>
          <w:p>
            <w:pPr>
              <w:spacing w:after="0"/>
              <w:rPr>
                <w:sz w:val="1"/>
                <w:szCs w:val="1"/>
                <w:color w:val="auto"/>
              </w:rPr>
            </w:pPr>
          </w:p>
        </w:tc>
      </w:tr>
      <w:tr>
        <w:trPr>
          <w:trHeight w:val="198"/>
        </w:trPr>
        <w:tc>
          <w:tcPr>
            <w:tcW w:w="3480" w:type="dxa"/>
            <w:vAlign w:val="bottom"/>
          </w:tcPr>
          <w:p>
            <w:pPr>
              <w:ind w:left="220"/>
              <w:spacing w:after="0"/>
              <w:rPr>
                <w:sz w:val="20"/>
                <w:szCs w:val="20"/>
                <w:color w:val="auto"/>
              </w:rPr>
            </w:pPr>
            <w:r>
              <w:rPr>
                <w:rFonts w:ascii="Arial" w:cs="Arial" w:eastAsia="Arial" w:hAnsi="Arial"/>
                <w:sz w:val="14"/>
                <w:szCs w:val="14"/>
                <w:b w:val="1"/>
                <w:bCs w:val="1"/>
                <w:color w:val="auto"/>
              </w:rPr>
              <w:t>Total net sales</w:t>
            </w:r>
          </w:p>
        </w:tc>
        <w:tc>
          <w:tcPr>
            <w:tcW w:w="1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0.9 %</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0.3 %</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0.6 %</w:t>
            </w:r>
          </w:p>
        </w:tc>
        <w:tc>
          <w:tcPr>
            <w:tcW w:w="16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(0.2)%</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0.8 %</w:t>
            </w:r>
          </w:p>
        </w:tc>
        <w:tc>
          <w:tcPr>
            <w:tcW w:w="0" w:type="dxa"/>
            <w:vAlign w:val="bottom"/>
          </w:tcPr>
          <w:p>
            <w:pPr>
              <w:spacing w:after="0"/>
              <w:rPr>
                <w:sz w:val="1"/>
                <w:szCs w:val="1"/>
                <w:color w:val="auto"/>
              </w:rPr>
            </w:pPr>
          </w:p>
        </w:tc>
      </w:tr>
      <w:tr>
        <w:trPr>
          <w:trHeight w:val="24"/>
        </w:trPr>
        <w:tc>
          <w:tcPr>
            <w:tcW w:w="34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tbl>
      <w:tblPr>
        <w:tblLayout w:type="fixed"/>
        <w:tblInd w:w="60" w:type="dxa"/>
        <w:tblCellMar>
          <w:top w:w="0" w:type="dxa"/>
          <w:left w:w="0" w:type="dxa"/>
          <w:bottom w:w="0" w:type="dxa"/>
          <w:right w:w="0" w:type="dxa"/>
        </w:tblCellMar>
      </w:tblPr>
      <w:tr>
        <w:trPr>
          <w:trHeight w:val="194"/>
        </w:trPr>
        <w:tc>
          <w:tcPr>
            <w:tcW w:w="5020" w:type="dxa"/>
            <w:vAlign w:val="bottom"/>
          </w:tcPr>
          <w:p>
            <w:pPr>
              <w:spacing w:after="0"/>
              <w:rPr>
                <w:sz w:val="16"/>
                <w:szCs w:val="16"/>
                <w:color w:val="auto"/>
              </w:rPr>
            </w:pPr>
          </w:p>
        </w:tc>
        <w:tc>
          <w:tcPr>
            <w:tcW w:w="4340" w:type="dxa"/>
            <w:vAlign w:val="bottom"/>
            <w:tcBorders>
              <w:bottom w:val="single" w:sz="8" w:color="auto"/>
            </w:tcBorders>
            <w:gridSpan w:val="2"/>
          </w:tcPr>
          <w:p>
            <w:pPr>
              <w:jc w:val="center"/>
              <w:ind w:left="1708"/>
              <w:spacing w:after="0"/>
              <w:rPr>
                <w:sz w:val="20"/>
                <w:szCs w:val="20"/>
                <w:color w:val="auto"/>
              </w:rPr>
            </w:pPr>
            <w:r>
              <w:rPr>
                <w:rFonts w:ascii="Arial" w:cs="Arial" w:eastAsia="Arial" w:hAnsi="Arial"/>
                <w:sz w:val="14"/>
                <w:szCs w:val="14"/>
                <w:color w:val="auto"/>
              </w:rPr>
              <w:t>For the year ended November 30, 2024</w:t>
            </w:r>
          </w:p>
        </w:tc>
        <w:tc>
          <w:tcPr>
            <w:tcW w:w="1800" w:type="dxa"/>
            <w:vAlign w:val="bottom"/>
            <w:tcBorders>
              <w:bottom w:val="single" w:sz="8" w:color="auto"/>
            </w:tcBorders>
          </w:tcPr>
          <w:p>
            <w:pPr>
              <w:spacing w:after="0"/>
              <w:rPr>
                <w:sz w:val="16"/>
                <w:szCs w:val="16"/>
                <w:color w:val="auto"/>
              </w:rPr>
            </w:pPr>
          </w:p>
        </w:tc>
      </w:tr>
      <w:tr>
        <w:trPr>
          <w:trHeight w:val="146"/>
        </w:trPr>
        <w:tc>
          <w:tcPr>
            <w:tcW w:w="5020" w:type="dxa"/>
            <w:vAlign w:val="bottom"/>
          </w:tcPr>
          <w:p>
            <w:pPr>
              <w:spacing w:after="0"/>
              <w:rPr>
                <w:sz w:val="12"/>
                <w:szCs w:val="12"/>
                <w:color w:val="auto"/>
              </w:rPr>
            </w:pPr>
          </w:p>
        </w:tc>
        <w:tc>
          <w:tcPr>
            <w:tcW w:w="2120" w:type="dxa"/>
            <w:vAlign w:val="bottom"/>
          </w:tcPr>
          <w:p>
            <w:pPr>
              <w:jc w:val="right"/>
              <w:ind w:right="408"/>
              <w:spacing w:after="0" w:line="146" w:lineRule="exact"/>
              <w:rPr>
                <w:sz w:val="20"/>
                <w:szCs w:val="20"/>
                <w:color w:val="auto"/>
              </w:rPr>
            </w:pPr>
            <w:r>
              <w:rPr>
                <w:rFonts w:ascii="Arial" w:cs="Arial" w:eastAsia="Arial" w:hAnsi="Arial"/>
                <w:sz w:val="14"/>
                <w:szCs w:val="14"/>
                <w:color w:val="auto"/>
              </w:rPr>
              <w:t>Percentage change</w:t>
            </w:r>
          </w:p>
        </w:tc>
        <w:tc>
          <w:tcPr>
            <w:tcW w:w="2220" w:type="dxa"/>
            <w:vAlign w:val="bottom"/>
          </w:tcPr>
          <w:p>
            <w:pPr>
              <w:jc w:val="center"/>
              <w:ind w:right="288"/>
              <w:spacing w:after="0" w:line="146" w:lineRule="exact"/>
              <w:rPr>
                <w:sz w:val="20"/>
                <w:szCs w:val="20"/>
                <w:color w:val="auto"/>
              </w:rPr>
            </w:pPr>
            <w:r>
              <w:rPr>
                <w:rFonts w:ascii="Arial" w:cs="Arial" w:eastAsia="Arial" w:hAnsi="Arial"/>
                <w:sz w:val="14"/>
                <w:szCs w:val="14"/>
                <w:color w:val="auto"/>
              </w:rPr>
              <w:t>Impact of foreign currency</w:t>
            </w:r>
          </w:p>
        </w:tc>
        <w:tc>
          <w:tcPr>
            <w:tcW w:w="1800" w:type="dxa"/>
            <w:vAlign w:val="bottom"/>
          </w:tcPr>
          <w:p>
            <w:pPr>
              <w:jc w:val="right"/>
              <w:ind w:right="248"/>
              <w:spacing w:after="0" w:line="146" w:lineRule="exact"/>
              <w:rPr>
                <w:sz w:val="20"/>
                <w:szCs w:val="20"/>
                <w:color w:val="auto"/>
              </w:rPr>
            </w:pPr>
            <w:r>
              <w:rPr>
                <w:rFonts w:ascii="Arial" w:cs="Arial" w:eastAsia="Arial" w:hAnsi="Arial"/>
                <w:sz w:val="14"/>
                <w:szCs w:val="14"/>
                <w:color w:val="auto"/>
              </w:rPr>
              <w:t>Percentage change on</w:t>
            </w:r>
          </w:p>
        </w:tc>
      </w:tr>
      <w:tr>
        <w:trPr>
          <w:trHeight w:val="189"/>
        </w:trPr>
        <w:tc>
          <w:tcPr>
            <w:tcW w:w="5020" w:type="dxa"/>
            <w:vAlign w:val="bottom"/>
          </w:tcPr>
          <w:p>
            <w:pPr>
              <w:spacing w:after="0"/>
              <w:rPr>
                <w:sz w:val="16"/>
                <w:szCs w:val="16"/>
                <w:color w:val="auto"/>
              </w:rPr>
            </w:pPr>
          </w:p>
        </w:tc>
        <w:tc>
          <w:tcPr>
            <w:tcW w:w="212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as reported</w:t>
            </w:r>
          </w:p>
        </w:tc>
        <w:tc>
          <w:tcPr>
            <w:tcW w:w="2220" w:type="dxa"/>
            <w:vAlign w:val="bottom"/>
            <w:tcBorders>
              <w:bottom w:val="single" w:sz="8" w:color="auto"/>
            </w:tcBorders>
          </w:tcPr>
          <w:p>
            <w:pPr>
              <w:jc w:val="center"/>
              <w:ind w:right="288"/>
              <w:spacing w:after="0"/>
              <w:rPr>
                <w:sz w:val="20"/>
                <w:szCs w:val="20"/>
                <w:color w:val="auto"/>
              </w:rPr>
            </w:pPr>
            <w:r>
              <w:rPr>
                <w:rFonts w:ascii="Arial" w:cs="Arial" w:eastAsia="Arial" w:hAnsi="Arial"/>
                <w:sz w:val="14"/>
                <w:szCs w:val="14"/>
                <w:color w:val="auto"/>
              </w:rPr>
              <w:t>exchange</w:t>
            </w:r>
          </w:p>
        </w:tc>
        <w:tc>
          <w:tcPr>
            <w:tcW w:w="18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constant currency basis</w:t>
            </w:r>
          </w:p>
        </w:tc>
      </w:tr>
      <w:tr>
        <w:trPr>
          <w:trHeight w:val="180"/>
        </w:trPr>
        <w:tc>
          <w:tcPr>
            <w:tcW w:w="5020" w:type="dxa"/>
            <w:vAlign w:val="bottom"/>
          </w:tcPr>
          <w:p>
            <w:pPr>
              <w:spacing w:after="0"/>
              <w:rPr>
                <w:sz w:val="20"/>
                <w:szCs w:val="20"/>
                <w:color w:val="auto"/>
              </w:rPr>
            </w:pPr>
            <w:r>
              <w:rPr>
                <w:rFonts w:ascii="Arial" w:cs="Arial" w:eastAsia="Arial" w:hAnsi="Arial"/>
                <w:sz w:val="14"/>
                <w:szCs w:val="14"/>
                <w:b w:val="1"/>
                <w:bCs w:val="1"/>
                <w:color w:val="auto"/>
              </w:rPr>
              <w:t>Adjusted operating income:</w:t>
            </w:r>
          </w:p>
        </w:tc>
        <w:tc>
          <w:tcPr>
            <w:tcW w:w="21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197"/>
        </w:trPr>
        <w:tc>
          <w:tcPr>
            <w:tcW w:w="5020" w:type="dxa"/>
            <w:vAlign w:val="bottom"/>
          </w:tcPr>
          <w:p>
            <w:pPr>
              <w:ind w:left="120"/>
              <w:spacing w:after="0"/>
              <w:rPr>
                <w:sz w:val="20"/>
                <w:szCs w:val="20"/>
                <w:color w:val="auto"/>
              </w:rPr>
            </w:pPr>
            <w:r>
              <w:rPr>
                <w:rFonts w:ascii="Arial" w:cs="Arial" w:eastAsia="Arial" w:hAnsi="Arial"/>
                <w:sz w:val="14"/>
                <w:szCs w:val="14"/>
                <w:color w:val="auto"/>
              </w:rPr>
              <w:t>Consumer segment</w:t>
            </w:r>
          </w:p>
        </w:tc>
        <w:tc>
          <w:tcPr>
            <w:tcW w:w="2120" w:type="dxa"/>
            <w:vAlign w:val="bottom"/>
          </w:tcPr>
          <w:p>
            <w:pPr>
              <w:jc w:val="right"/>
              <w:ind w:right="28"/>
              <w:spacing w:after="0"/>
              <w:rPr>
                <w:sz w:val="20"/>
                <w:szCs w:val="20"/>
                <w:color w:val="auto"/>
              </w:rPr>
            </w:pPr>
            <w:r>
              <w:rPr>
                <w:rFonts w:ascii="Arial" w:cs="Arial" w:eastAsia="Arial" w:hAnsi="Arial"/>
                <w:sz w:val="14"/>
                <w:szCs w:val="14"/>
                <w:color w:val="auto"/>
              </w:rPr>
              <w:t>0.7 %</w:t>
            </w:r>
          </w:p>
        </w:tc>
        <w:tc>
          <w:tcPr>
            <w:tcW w:w="2220" w:type="dxa"/>
            <w:vAlign w:val="bottom"/>
          </w:tcPr>
          <w:p>
            <w:pPr>
              <w:jc w:val="right"/>
              <w:ind w:right="208"/>
              <w:spacing w:after="0"/>
              <w:rPr>
                <w:sz w:val="20"/>
                <w:szCs w:val="20"/>
                <w:color w:val="auto"/>
              </w:rPr>
            </w:pPr>
            <w:r>
              <w:rPr>
                <w:rFonts w:ascii="Arial" w:cs="Arial" w:eastAsia="Arial" w:hAnsi="Arial"/>
                <w:sz w:val="14"/>
                <w:szCs w:val="14"/>
                <w:color w:val="auto"/>
              </w:rPr>
              <w:t>— %</w:t>
            </w:r>
          </w:p>
        </w:tc>
        <w:tc>
          <w:tcPr>
            <w:tcW w:w="1800" w:type="dxa"/>
            <w:vAlign w:val="bottom"/>
          </w:tcPr>
          <w:p>
            <w:pPr>
              <w:jc w:val="right"/>
              <w:spacing w:after="0"/>
              <w:rPr>
                <w:sz w:val="20"/>
                <w:szCs w:val="20"/>
                <w:color w:val="auto"/>
              </w:rPr>
            </w:pPr>
            <w:r>
              <w:rPr>
                <w:rFonts w:ascii="Arial" w:cs="Arial" w:eastAsia="Arial" w:hAnsi="Arial"/>
                <w:sz w:val="14"/>
                <w:szCs w:val="14"/>
                <w:color w:val="auto"/>
              </w:rPr>
              <w:t>0.7 %</w:t>
            </w:r>
          </w:p>
        </w:tc>
      </w:tr>
      <w:tr>
        <w:trPr>
          <w:trHeight w:val="204"/>
        </w:trPr>
        <w:tc>
          <w:tcPr>
            <w:tcW w:w="5020" w:type="dxa"/>
            <w:vAlign w:val="bottom"/>
          </w:tcPr>
          <w:p>
            <w:pPr>
              <w:ind w:left="120"/>
              <w:spacing w:after="0"/>
              <w:rPr>
                <w:sz w:val="20"/>
                <w:szCs w:val="20"/>
                <w:color w:val="auto"/>
              </w:rPr>
            </w:pPr>
            <w:r>
              <w:rPr>
                <w:rFonts w:ascii="Arial" w:cs="Arial" w:eastAsia="Arial" w:hAnsi="Arial"/>
                <w:sz w:val="14"/>
                <w:szCs w:val="14"/>
                <w:color w:val="auto"/>
              </w:rPr>
              <w:t>Flavor Solutions segment</w:t>
            </w:r>
          </w:p>
        </w:tc>
        <w:tc>
          <w:tcPr>
            <w:tcW w:w="2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14.1 %</w:t>
            </w:r>
          </w:p>
        </w:tc>
        <w:tc>
          <w:tcPr>
            <w:tcW w:w="22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(0.4)%</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14.5 %</w:t>
            </w:r>
          </w:p>
        </w:tc>
      </w:tr>
      <w:tr>
        <w:trPr>
          <w:trHeight w:val="198"/>
        </w:trPr>
        <w:tc>
          <w:tcPr>
            <w:tcW w:w="5020" w:type="dxa"/>
            <w:vAlign w:val="bottom"/>
          </w:tcPr>
          <w:p>
            <w:pPr>
              <w:ind w:left="200"/>
              <w:spacing w:after="0"/>
              <w:rPr>
                <w:sz w:val="20"/>
                <w:szCs w:val="20"/>
                <w:color w:val="auto"/>
              </w:rPr>
            </w:pPr>
            <w:r>
              <w:rPr>
                <w:rFonts w:ascii="Arial" w:cs="Arial" w:eastAsia="Arial" w:hAnsi="Arial"/>
                <w:sz w:val="14"/>
                <w:szCs w:val="14"/>
                <w:b w:val="1"/>
                <w:bCs w:val="1"/>
                <w:color w:val="auto"/>
              </w:rPr>
              <w:t>Total adjusted operating income</w:t>
            </w:r>
          </w:p>
        </w:tc>
        <w:tc>
          <w:tcPr>
            <w:tcW w:w="2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4.5 %</w:t>
            </w:r>
          </w:p>
        </w:tc>
        <w:tc>
          <w:tcPr>
            <w:tcW w:w="22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(0.1)%</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4.6 %</w:t>
            </w:r>
          </w:p>
        </w:tc>
      </w:tr>
      <w:tr>
        <w:trPr>
          <w:trHeight w:val="25"/>
        </w:trPr>
        <w:tc>
          <w:tcPr>
            <w:tcW w:w="502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bl>
    <w:p>
      <w:pPr>
        <w:spacing w:after="0" w:line="22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To present the percentage change in projected 2026 net sales, adjusted operating income, and adjusted earnings per share (diluted) on a constant currency basis, the projected local currency net sales, adjusted operating income, and adjusted net income for entities reporting in currencies other than the U.S. dollar are translated into U.S. dollars at forecasted exchange rates. These figures are then compared to the 2026 local currency projected results, which are translated into U.S. dollars at the average actual exchange rates in effect during the corresponding months of fiscal year 2025. This comparison determines what the 2026 consolidated U.S. dollar net sales, adjusted operating income, and adjusted earnings per share (diluted) would have been if the relevant currency exchange rates had not changed from those of the comparable 2025 periods.</w:t>
      </w:r>
    </w:p>
    <w:p>
      <w:pPr>
        <w:sectPr>
          <w:pgSz w:w="11900" w:h="16838" w:orient="portrait"/>
          <w:cols w:equalWidth="0" w:num="1">
            <w:col w:w="11220"/>
          </w:cols>
          <w:pgMar w:left="320" w:top="940" w:right="359" w:bottom="1440" w:gutter="0" w:footer="0" w:header="0"/>
        </w:sectPr>
      </w:pPr>
    </w:p>
    <w:p>
      <w:pPr>
        <w:spacing w:after="0" w:line="395" w:lineRule="exact"/>
        <w:rPr>
          <w:sz w:val="20"/>
          <w:szCs w:val="20"/>
          <w:color w:val="auto"/>
        </w:rPr>
      </w:pPr>
    </w:p>
    <w:p>
      <w:pPr>
        <w:ind w:left="20"/>
        <w:spacing w:after="0"/>
        <w:rPr>
          <w:sz w:val="20"/>
          <w:szCs w:val="20"/>
          <w:color w:val="auto"/>
        </w:rPr>
      </w:pPr>
      <w:r>
        <w:rPr>
          <w:rFonts w:ascii="Arial" w:cs="Arial" w:eastAsia="Arial" w:hAnsi="Arial"/>
          <w:sz w:val="14"/>
          <w:szCs w:val="14"/>
          <w:color w:val="auto"/>
        </w:rPr>
        <w:t>Percentage change in net sales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Impact of favorable foreign currency exchange</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Percentage change in net sales in constant currency</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Impact of acquisition</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Percentage change in organic net sales</w:t>
      </w:r>
    </w:p>
    <w:p>
      <w:pPr>
        <w:spacing w:after="0" w:line="3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Percentage change in adjusted operating income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Impact of favorable foreign currency exchange</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Percentage change in adjusted operating income in constant currency</w:t>
      </w:r>
    </w:p>
    <w:p>
      <w:pPr>
        <w:spacing w:after="0" w:line="325" w:lineRule="exact"/>
        <w:rPr>
          <w:sz w:val="20"/>
          <w:szCs w:val="20"/>
          <w:color w:val="auto"/>
        </w:rPr>
      </w:pPr>
    </w:p>
    <w:p>
      <w:pPr>
        <w:ind w:left="20" w:right="2300"/>
        <w:spacing w:after="0" w:line="332" w:lineRule="auto"/>
        <w:rPr>
          <w:sz w:val="20"/>
          <w:szCs w:val="20"/>
          <w:color w:val="auto"/>
        </w:rPr>
      </w:pPr>
      <w:r>
        <w:rPr>
          <w:rFonts w:ascii="Arial" w:cs="Arial" w:eastAsia="Arial" w:hAnsi="Arial"/>
          <w:sz w:val="14"/>
          <w:szCs w:val="14"/>
          <w:color w:val="auto"/>
        </w:rPr>
        <w:t>Percentage change in adjusted earnings per share - diluted Impact of favorable foreign currency exchange</w:t>
      </w:r>
    </w:p>
    <w:p>
      <w:pPr>
        <w:ind w:left="20"/>
        <w:spacing w:after="0"/>
        <w:rPr>
          <w:sz w:val="20"/>
          <w:szCs w:val="20"/>
          <w:color w:val="auto"/>
        </w:rPr>
      </w:pPr>
      <w:r>
        <w:rPr>
          <w:rFonts w:ascii="Arial" w:cs="Arial" w:eastAsia="Arial" w:hAnsi="Arial"/>
          <w:sz w:val="14"/>
          <w:szCs w:val="14"/>
          <w:color w:val="auto"/>
        </w:rPr>
        <w:t>Percentage change in adjusted earnings per share - diluted</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Projections for the Year Ending November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-690245</wp:posOffset>
            </wp:positionH>
            <wp:positionV relativeFrom="paragraph">
              <wp:posOffset>23495</wp:posOffset>
            </wp:positionV>
            <wp:extent cx="347154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35"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13% to 17%</w:t>
      </w:r>
    </w:p>
    <w:p>
      <w:pPr>
        <w:spacing w:after="0" w:line="42"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-690245</wp:posOffset>
            </wp:positionH>
            <wp:positionV relativeFrom="paragraph">
              <wp:posOffset>23495</wp:posOffset>
            </wp:positionV>
            <wp:extent cx="347154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35"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12% to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-690245</wp:posOffset>
            </wp:positionH>
            <wp:positionV relativeFrom="paragraph">
              <wp:posOffset>23495</wp:posOffset>
            </wp:positionV>
            <wp:extent cx="34715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71545" cy="8890"/>
                    </a:xfrm>
                    <a:prstGeom prst="rect">
                      <a:avLst/>
                    </a:prstGeom>
                    <a:noFill/>
                  </pic:spPr>
                </pic:pic>
              </a:graphicData>
            </a:graphic>
          </wp:anchor>
        </w:drawing>
        <w:drawing>
          <wp:anchor simplePos="0" relativeHeight="251657728" behindDoc="1" locked="0" layoutInCell="0" allowOverlap="1">
            <wp:simplePos x="0" y="0"/>
            <wp:positionH relativeFrom="column">
              <wp:posOffset>-690245</wp:posOffset>
            </wp:positionH>
            <wp:positionV relativeFrom="paragraph">
              <wp:posOffset>49530</wp:posOffset>
            </wp:positionV>
            <wp:extent cx="347154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76"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11% to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-690245</wp:posOffset>
            </wp:positionH>
            <wp:positionV relativeFrom="paragraph">
              <wp:posOffset>23495</wp:posOffset>
            </wp:positionV>
            <wp:extent cx="347154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35"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1% to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-690245</wp:posOffset>
            </wp:positionH>
            <wp:positionV relativeFrom="paragraph">
              <wp:posOffset>212090</wp:posOffset>
            </wp:positionV>
            <wp:extent cx="347154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71545" cy="8255"/>
                    </a:xfrm>
                    <a:prstGeom prst="rect">
                      <a:avLst/>
                    </a:prstGeom>
                    <a:noFill/>
                  </pic:spPr>
                </pic:pic>
              </a:graphicData>
            </a:graphic>
          </wp:anchor>
        </w:drawing>
        <w:drawing>
          <wp:anchor simplePos="0" relativeHeight="251657728" behindDoc="1" locked="0" layoutInCell="0" allowOverlap="1">
            <wp:simplePos x="0" y="0"/>
            <wp:positionH relativeFrom="column">
              <wp:posOffset>-690245</wp:posOffset>
            </wp:positionH>
            <wp:positionV relativeFrom="paragraph">
              <wp:posOffset>23495</wp:posOffset>
            </wp:positionV>
            <wp:extent cx="347154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71545" cy="8890"/>
                    </a:xfrm>
                    <a:prstGeom prst="rect">
                      <a:avLst/>
                    </a:prstGeom>
                    <a:noFill/>
                  </pic:spPr>
                </pic:pic>
              </a:graphicData>
            </a:graphic>
          </wp:anchor>
        </w:drawing>
        <w:drawing>
          <wp:anchor simplePos="0" relativeHeight="251657728" behindDoc="1" locked="0" layoutInCell="0" allowOverlap="1">
            <wp:simplePos x="0" y="0"/>
            <wp:positionH relativeFrom="column">
              <wp:posOffset>-690245</wp:posOffset>
            </wp:positionH>
            <wp:positionV relativeFrom="paragraph">
              <wp:posOffset>49530</wp:posOffset>
            </wp:positionV>
            <wp:extent cx="347154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332"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16% to 20%</w:t>
      </w:r>
    </w:p>
    <w:p>
      <w:pPr>
        <w:spacing w:after="0" w:line="42"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-690245</wp:posOffset>
            </wp:positionH>
            <wp:positionV relativeFrom="paragraph">
              <wp:posOffset>23495</wp:posOffset>
            </wp:positionV>
            <wp:extent cx="347154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35"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15% to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-690245</wp:posOffset>
            </wp:positionH>
            <wp:positionV relativeFrom="paragraph">
              <wp:posOffset>212090</wp:posOffset>
            </wp:positionV>
            <wp:extent cx="347154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71545" cy="8890"/>
                    </a:xfrm>
                    <a:prstGeom prst="rect">
                      <a:avLst/>
                    </a:prstGeom>
                    <a:noFill/>
                  </pic:spPr>
                </pic:pic>
              </a:graphicData>
            </a:graphic>
          </wp:anchor>
        </w:drawing>
        <w:drawing>
          <wp:anchor simplePos="0" relativeHeight="251657728" behindDoc="1" locked="0" layoutInCell="0" allowOverlap="1">
            <wp:simplePos x="0" y="0"/>
            <wp:positionH relativeFrom="column">
              <wp:posOffset>-690245</wp:posOffset>
            </wp:positionH>
            <wp:positionV relativeFrom="paragraph">
              <wp:posOffset>23495</wp:posOffset>
            </wp:positionV>
            <wp:extent cx="347154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71545" cy="8255"/>
                    </a:xfrm>
                    <a:prstGeom prst="rect">
                      <a:avLst/>
                    </a:prstGeom>
                    <a:noFill/>
                  </pic:spPr>
                </pic:pic>
              </a:graphicData>
            </a:graphic>
          </wp:anchor>
        </w:drawing>
        <w:drawing>
          <wp:anchor simplePos="0" relativeHeight="251657728" behindDoc="1" locked="0" layoutInCell="0" allowOverlap="1">
            <wp:simplePos x="0" y="0"/>
            <wp:positionH relativeFrom="column">
              <wp:posOffset>-690245</wp:posOffset>
            </wp:positionH>
            <wp:positionV relativeFrom="paragraph">
              <wp:posOffset>49530</wp:posOffset>
            </wp:positionV>
            <wp:extent cx="347154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332"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2% to 5%</w:t>
      </w:r>
    </w:p>
    <w:p>
      <w:pPr>
        <w:spacing w:after="0" w:line="42"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-690245</wp:posOffset>
            </wp:positionH>
            <wp:positionV relativeFrom="paragraph">
              <wp:posOffset>23495</wp:posOffset>
            </wp:positionV>
            <wp:extent cx="347154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35"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1% to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-690245</wp:posOffset>
            </wp:positionH>
            <wp:positionV relativeFrom="paragraph">
              <wp:posOffset>23495</wp:posOffset>
            </wp:positionV>
            <wp:extent cx="347154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71545" cy="8890"/>
                    </a:xfrm>
                    <a:prstGeom prst="rect">
                      <a:avLst/>
                    </a:prstGeom>
                    <a:noFill/>
                  </pic:spPr>
                </pic:pic>
              </a:graphicData>
            </a:graphic>
          </wp:anchor>
        </w:drawing>
        <w:drawing>
          <wp:anchor simplePos="0" relativeHeight="251657728" behindDoc="1" locked="0" layoutInCell="0" allowOverlap="1">
            <wp:simplePos x="0" y="0"/>
            <wp:positionH relativeFrom="column">
              <wp:posOffset>-690245</wp:posOffset>
            </wp:positionH>
            <wp:positionV relativeFrom="paragraph">
              <wp:posOffset>49530</wp:posOffset>
            </wp:positionV>
            <wp:extent cx="347154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6100" w:space="720"/>
            <w:col w:w="4400"/>
          </w:cols>
          <w:pgMar w:left="320" w:top="940" w:right="359" w:bottom="1440" w:gutter="0" w:footer="0" w:header="0"/>
          <w:type w:val="continuous"/>
        </w:sect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0" w:right="35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b w:val="1"/>
          <w:bCs w:val="1"/>
          <w:color w:val="00539B"/>
        </w:rPr>
        <w:t>LIQUIDITY AND FINANCIAL CONDITION</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640" w:type="dxa"/>
            <w:vAlign w:val="bottom"/>
            <w:tcBorders>
              <w:top w:val="single" w:sz="8" w:color="00539B"/>
              <w:bottom w:val="single" w:sz="8" w:color="00539B"/>
            </w:tcBorders>
          </w:tcPr>
          <w:p>
            <w:pPr>
              <w:spacing w:after="0"/>
              <w:rPr>
                <w:sz w:val="19"/>
                <w:szCs w:val="19"/>
                <w:color w:val="auto"/>
              </w:rPr>
            </w:pPr>
          </w:p>
        </w:tc>
        <w:tc>
          <w:tcPr>
            <w:tcW w:w="960" w:type="dxa"/>
            <w:vAlign w:val="bottom"/>
            <w:tcBorders>
              <w:top w:val="single" w:sz="8" w:color="00539B"/>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2025</w:t>
            </w:r>
          </w:p>
        </w:tc>
        <w:tc>
          <w:tcPr>
            <w:tcW w:w="540" w:type="dxa"/>
            <w:vAlign w:val="bottom"/>
            <w:tcBorders>
              <w:top w:val="single" w:sz="8" w:color="00539B"/>
              <w:bottom w:val="single" w:sz="8" w:color="00539B"/>
            </w:tcBorders>
            <w:shd w:val="clear" w:color="auto" w:fill="E0E3F1"/>
          </w:tcPr>
          <w:p>
            <w:pPr>
              <w:spacing w:after="0"/>
              <w:rPr>
                <w:sz w:val="19"/>
                <w:szCs w:val="19"/>
                <w:color w:val="auto"/>
              </w:rPr>
            </w:pPr>
          </w:p>
        </w:tc>
        <w:tc>
          <w:tcPr>
            <w:tcW w:w="1000" w:type="dxa"/>
            <w:vAlign w:val="bottom"/>
            <w:tcBorders>
              <w:top w:val="single" w:sz="8" w:color="00539B"/>
              <w:bottom w:val="single" w:sz="8" w:color="00539B"/>
            </w:tcBorders>
          </w:tcPr>
          <w:p>
            <w:pPr>
              <w:jc w:val="right"/>
              <w:spacing w:after="0"/>
              <w:rPr>
                <w:sz w:val="20"/>
                <w:szCs w:val="20"/>
                <w:color w:val="auto"/>
              </w:rPr>
            </w:pPr>
            <w:r>
              <w:rPr>
                <w:rFonts w:ascii="Arial" w:cs="Arial" w:eastAsia="Arial" w:hAnsi="Arial"/>
                <w:sz w:val="14"/>
                <w:szCs w:val="14"/>
                <w:color w:val="auto"/>
              </w:rPr>
              <w:t>2024</w:t>
            </w:r>
          </w:p>
        </w:tc>
        <w:tc>
          <w:tcPr>
            <w:tcW w:w="520" w:type="dxa"/>
            <w:vAlign w:val="bottom"/>
            <w:tcBorders>
              <w:top w:val="single" w:sz="8" w:color="00539B"/>
              <w:bottom w:val="single" w:sz="8" w:color="00539B"/>
            </w:tcBorders>
          </w:tcPr>
          <w:p>
            <w:pPr>
              <w:spacing w:after="0"/>
              <w:rPr>
                <w:sz w:val="19"/>
                <w:szCs w:val="19"/>
                <w:color w:val="auto"/>
              </w:rPr>
            </w:pPr>
          </w:p>
        </w:tc>
        <w:tc>
          <w:tcPr>
            <w:tcW w:w="360" w:type="dxa"/>
            <w:vAlign w:val="bottom"/>
            <w:tcBorders>
              <w:top w:val="single" w:sz="8" w:color="00539B"/>
              <w:bottom w:val="single" w:sz="8" w:color="00539B"/>
            </w:tcBorders>
          </w:tcPr>
          <w:p>
            <w:pPr>
              <w:spacing w:after="0"/>
              <w:rPr>
                <w:sz w:val="19"/>
                <w:szCs w:val="19"/>
                <w:color w:val="auto"/>
              </w:rPr>
            </w:pPr>
          </w:p>
        </w:tc>
        <w:tc>
          <w:tcPr>
            <w:tcW w:w="1180" w:type="dxa"/>
            <w:vAlign w:val="bottom"/>
            <w:tcBorders>
              <w:top w:val="single" w:sz="8" w:color="00539B"/>
              <w:bottom w:val="single" w:sz="8" w:color="00539B"/>
            </w:tcBorders>
          </w:tcPr>
          <w:p>
            <w:pPr>
              <w:jc w:val="right"/>
              <w:ind w:right="528"/>
              <w:spacing w:after="0"/>
              <w:rPr>
                <w:sz w:val="20"/>
                <w:szCs w:val="20"/>
                <w:color w:val="auto"/>
              </w:rPr>
            </w:pPr>
            <w:r>
              <w:rPr>
                <w:rFonts w:ascii="Arial" w:cs="Arial" w:eastAsia="Arial" w:hAnsi="Arial"/>
                <w:sz w:val="14"/>
                <w:szCs w:val="14"/>
                <w:color w:val="auto"/>
              </w:rPr>
              <w:t>2023</w:t>
            </w:r>
          </w:p>
        </w:tc>
      </w:tr>
      <w:tr>
        <w:trPr>
          <w:trHeight w:val="192"/>
        </w:trPr>
        <w:tc>
          <w:tcPr>
            <w:tcW w:w="6640" w:type="dxa"/>
            <w:vAlign w:val="bottom"/>
          </w:tcPr>
          <w:p>
            <w:pPr>
              <w:ind w:left="20"/>
              <w:spacing w:after="0"/>
              <w:rPr>
                <w:sz w:val="20"/>
                <w:szCs w:val="20"/>
                <w:color w:val="auto"/>
              </w:rPr>
            </w:pPr>
            <w:r>
              <w:rPr>
                <w:rFonts w:ascii="Arial" w:cs="Arial" w:eastAsia="Arial" w:hAnsi="Arial"/>
                <w:sz w:val="14"/>
                <w:szCs w:val="14"/>
                <w:color w:val="auto"/>
              </w:rPr>
              <w:t>Net cash flow provided by operating activities</w:t>
            </w:r>
          </w:p>
        </w:tc>
        <w:tc>
          <w:tcPr>
            <w:tcW w:w="960" w:type="dxa"/>
            <w:vAlign w:val="bottom"/>
            <w:shd w:val="clear" w:color="auto" w:fill="E0E3F1"/>
          </w:tcPr>
          <w:p>
            <w:pPr>
              <w:jc w:val="right"/>
              <w:ind w:right="788"/>
              <w:spacing w:after="0"/>
              <w:rPr>
                <w:sz w:val="20"/>
                <w:szCs w:val="20"/>
                <w:color w:val="auto"/>
              </w:rPr>
            </w:pPr>
            <w:r>
              <w:rPr>
                <w:rFonts w:ascii="Arial" w:cs="Arial" w:eastAsia="Arial" w:hAnsi="Arial"/>
                <w:sz w:val="14"/>
                <w:szCs w:val="14"/>
                <w:color w:val="auto"/>
              </w:rPr>
              <w:t>$</w:t>
            </w:r>
          </w:p>
        </w:tc>
        <w:tc>
          <w:tcPr>
            <w:tcW w:w="540" w:type="dxa"/>
            <w:vAlign w:val="bottom"/>
            <w:shd w:val="clear" w:color="auto" w:fill="E0E3F1"/>
          </w:tcPr>
          <w:p>
            <w:pPr>
              <w:jc w:val="center"/>
              <w:spacing w:after="0"/>
              <w:rPr>
                <w:sz w:val="20"/>
                <w:szCs w:val="20"/>
                <w:color w:val="auto"/>
              </w:rPr>
            </w:pPr>
            <w:r>
              <w:rPr>
                <w:rFonts w:ascii="Arial" w:cs="Arial" w:eastAsia="Arial" w:hAnsi="Arial"/>
                <w:sz w:val="14"/>
                <w:szCs w:val="14"/>
                <w:color w:val="auto"/>
              </w:rPr>
              <w:t>962.2</w:t>
            </w: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520" w:type="dxa"/>
            <w:vAlign w:val="bottom"/>
          </w:tcPr>
          <w:p>
            <w:pPr>
              <w:jc w:val="center"/>
              <w:spacing w:after="0"/>
              <w:rPr>
                <w:sz w:val="20"/>
                <w:szCs w:val="20"/>
                <w:color w:val="auto"/>
              </w:rPr>
            </w:pPr>
            <w:r>
              <w:rPr>
                <w:rFonts w:ascii="Arial" w:cs="Arial" w:eastAsia="Arial" w:hAnsi="Arial"/>
                <w:sz w:val="14"/>
                <w:szCs w:val="14"/>
                <w:color w:val="auto"/>
              </w:rPr>
              <w:t>921.9</w:t>
            </w:r>
          </w:p>
        </w:tc>
        <w:tc>
          <w:tcPr>
            <w:tcW w:w="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1,237.3</w:t>
            </w:r>
          </w:p>
        </w:tc>
      </w:tr>
      <w:tr>
        <w:trPr>
          <w:trHeight w:val="203"/>
        </w:trPr>
        <w:tc>
          <w:tcPr>
            <w:tcW w:w="6640" w:type="dxa"/>
            <w:vAlign w:val="bottom"/>
          </w:tcPr>
          <w:p>
            <w:pPr>
              <w:ind w:left="20"/>
              <w:spacing w:after="0"/>
              <w:rPr>
                <w:sz w:val="20"/>
                <w:szCs w:val="20"/>
                <w:color w:val="auto"/>
              </w:rPr>
            </w:pPr>
            <w:r>
              <w:rPr>
                <w:rFonts w:ascii="Arial" w:cs="Arial" w:eastAsia="Arial" w:hAnsi="Arial"/>
                <w:sz w:val="14"/>
                <w:szCs w:val="14"/>
                <w:color w:val="auto"/>
              </w:rPr>
              <w:t>Net cash flow used in investing activities</w:t>
            </w:r>
          </w:p>
        </w:tc>
        <w:tc>
          <w:tcPr>
            <w:tcW w:w="960" w:type="dxa"/>
            <w:vAlign w:val="bottom"/>
            <w:shd w:val="clear" w:color="auto" w:fill="E0E3F1"/>
          </w:tcPr>
          <w:p>
            <w:pPr>
              <w:spacing w:after="0"/>
              <w:rPr>
                <w:sz w:val="17"/>
                <w:szCs w:val="17"/>
                <w:color w:val="auto"/>
              </w:rPr>
            </w:pPr>
          </w:p>
        </w:tc>
        <w:tc>
          <w:tcPr>
            <w:tcW w:w="540" w:type="dxa"/>
            <w:vAlign w:val="bottom"/>
            <w:shd w:val="clear" w:color="auto" w:fill="E0E3F1"/>
          </w:tcPr>
          <w:p>
            <w:pPr>
              <w:jc w:val="center"/>
              <w:spacing w:after="0"/>
              <w:rPr>
                <w:sz w:val="20"/>
                <w:szCs w:val="20"/>
                <w:color w:val="auto"/>
              </w:rPr>
            </w:pPr>
            <w:r>
              <w:rPr>
                <w:rFonts w:ascii="Arial" w:cs="Arial" w:eastAsia="Arial" w:hAnsi="Arial"/>
                <w:sz w:val="14"/>
                <w:szCs w:val="14"/>
                <w:color w:val="auto"/>
              </w:rPr>
              <w:t>(255.2)</w:t>
            </w:r>
          </w:p>
        </w:tc>
        <w:tc>
          <w:tcPr>
            <w:tcW w:w="1000" w:type="dxa"/>
            <w:vAlign w:val="bottom"/>
          </w:tcPr>
          <w:p>
            <w:pPr>
              <w:spacing w:after="0"/>
              <w:rPr>
                <w:sz w:val="17"/>
                <w:szCs w:val="17"/>
                <w:color w:val="auto"/>
              </w:rPr>
            </w:pPr>
          </w:p>
        </w:tc>
        <w:tc>
          <w:tcPr>
            <w:tcW w:w="520" w:type="dxa"/>
            <w:vAlign w:val="bottom"/>
          </w:tcPr>
          <w:p>
            <w:pPr>
              <w:jc w:val="center"/>
              <w:spacing w:after="0"/>
              <w:rPr>
                <w:sz w:val="20"/>
                <w:szCs w:val="20"/>
                <w:color w:val="auto"/>
              </w:rPr>
            </w:pPr>
            <w:r>
              <w:rPr>
                <w:rFonts w:ascii="Arial" w:cs="Arial" w:eastAsia="Arial" w:hAnsi="Arial"/>
                <w:sz w:val="14"/>
                <w:szCs w:val="14"/>
                <w:color w:val="auto"/>
                <w:w w:val="99"/>
              </w:rPr>
              <w:t>(269.0)</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(260.5)</w:t>
            </w:r>
          </w:p>
        </w:tc>
      </w:tr>
      <w:tr>
        <w:trPr>
          <w:trHeight w:val="218"/>
        </w:trPr>
        <w:tc>
          <w:tcPr>
            <w:tcW w:w="664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Net cash flow used in financing activities</w:t>
            </w:r>
          </w:p>
        </w:tc>
        <w:tc>
          <w:tcPr>
            <w:tcW w:w="960" w:type="dxa"/>
            <w:vAlign w:val="bottom"/>
            <w:tcBorders>
              <w:bottom w:val="single" w:sz="8" w:color="00539B"/>
            </w:tcBorders>
            <w:shd w:val="clear" w:color="auto" w:fill="E0E3F1"/>
          </w:tcPr>
          <w:p>
            <w:pPr>
              <w:spacing w:after="0"/>
              <w:rPr>
                <w:sz w:val="18"/>
                <w:szCs w:val="18"/>
                <w:color w:val="auto"/>
              </w:rPr>
            </w:pPr>
          </w:p>
        </w:tc>
        <w:tc>
          <w:tcPr>
            <w:tcW w:w="540" w:type="dxa"/>
            <w:vAlign w:val="bottom"/>
            <w:tcBorders>
              <w:bottom w:val="single" w:sz="8" w:color="00539B"/>
            </w:tcBorders>
            <w:shd w:val="clear" w:color="auto" w:fill="E0E3F1"/>
          </w:tcPr>
          <w:p>
            <w:pPr>
              <w:jc w:val="center"/>
              <w:spacing w:after="0"/>
              <w:rPr>
                <w:sz w:val="20"/>
                <w:szCs w:val="20"/>
                <w:color w:val="auto"/>
              </w:rPr>
            </w:pPr>
            <w:r>
              <w:rPr>
                <w:rFonts w:ascii="Arial" w:cs="Arial" w:eastAsia="Arial" w:hAnsi="Arial"/>
                <w:sz w:val="14"/>
                <w:szCs w:val="14"/>
                <w:color w:val="auto"/>
              </w:rPr>
              <w:t>(840.9)</w:t>
            </w:r>
          </w:p>
        </w:tc>
        <w:tc>
          <w:tcPr>
            <w:tcW w:w="1000" w:type="dxa"/>
            <w:vAlign w:val="bottom"/>
            <w:tcBorders>
              <w:bottom w:val="single" w:sz="8" w:color="00539B"/>
            </w:tcBorders>
          </w:tcPr>
          <w:p>
            <w:pPr>
              <w:spacing w:after="0"/>
              <w:rPr>
                <w:sz w:val="18"/>
                <w:szCs w:val="18"/>
                <w:color w:val="auto"/>
              </w:rPr>
            </w:pPr>
          </w:p>
        </w:tc>
        <w:tc>
          <w:tcPr>
            <w:tcW w:w="520" w:type="dxa"/>
            <w:vAlign w:val="bottom"/>
            <w:tcBorders>
              <w:bottom w:val="single" w:sz="8" w:color="00539B"/>
            </w:tcBorders>
          </w:tcPr>
          <w:p>
            <w:pPr>
              <w:jc w:val="center"/>
              <w:spacing w:after="0"/>
              <w:rPr>
                <w:sz w:val="20"/>
                <w:szCs w:val="20"/>
                <w:color w:val="auto"/>
              </w:rPr>
            </w:pPr>
            <w:r>
              <w:rPr>
                <w:rFonts w:ascii="Arial" w:cs="Arial" w:eastAsia="Arial" w:hAnsi="Arial"/>
                <w:sz w:val="14"/>
                <w:szCs w:val="14"/>
                <w:color w:val="auto"/>
                <w:w w:val="99"/>
              </w:rPr>
              <w:t>(583.1)</w:t>
            </w:r>
          </w:p>
        </w:tc>
        <w:tc>
          <w:tcPr>
            <w:tcW w:w="360" w:type="dxa"/>
            <w:vAlign w:val="bottom"/>
            <w:tcBorders>
              <w:bottom w:val="single" w:sz="8" w:color="00539B"/>
            </w:tcBorders>
          </w:tcPr>
          <w:p>
            <w:pPr>
              <w:spacing w:after="0"/>
              <w:rPr>
                <w:sz w:val="18"/>
                <w:szCs w:val="18"/>
                <w:color w:val="auto"/>
              </w:rPr>
            </w:pPr>
          </w:p>
        </w:tc>
        <w:tc>
          <w:tcPr>
            <w:tcW w:w="118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(1,184.2)</w:t>
            </w:r>
          </w:p>
        </w:tc>
      </w:tr>
    </w:tbl>
    <w:p>
      <w:pPr>
        <w:spacing w:after="0" w:line="23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primary objective of our financing strategy is to maintain a prudent capital structure that provides the flexibility to pursue our growth objectives. We use a combination of equity and short- and long-term debt. We use short-term debt, primarily in the form of commercial paper, principally to finance ongoing operations, including our requirements for working capital (accounts receivable, prepaid expenses and other current assets, and inventories, less accounts payable, accrued payroll, and other accrued liabilities). We are committed to maintaining investment grade credit ratings.</w:t>
      </w:r>
    </w:p>
    <w:p>
      <w:pPr>
        <w:spacing w:after="0" w:line="1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cash flow from operations enables us to fund operating projects and investments that are designed to meet our growth objectives, service our debt, fund or increase our quarterly dividends, fund capital projects and other investments, and make share repurchases, when appropriate. Due to the cyclical nature of a portion of our business, our cash flow from operations has historically been the strongest during the fourth quarter of our fiscal year. Due to the timing of the interest payments on our debt, interest payments are higher in the first and third quarters of our fiscal year.</w:t>
      </w:r>
    </w:p>
    <w:p>
      <w:pPr>
        <w:spacing w:after="0" w:line="125"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We believe that our sources of liquidity, which include existing cash balances, cash flows from operations, existing credit facilities, our commercial paper program, and access to capital markets, will provide sufficient liquidity to meet our debt obligations, including any repayment or refinancing of debt, working capital needs, planned capital expenditures, the payment associated with an acquisition and payment of anticipated quarterly dividends for at least the next twelve months.</w:t>
      </w:r>
    </w:p>
    <w:p>
      <w:pPr>
        <w:spacing w:after="0" w:line="12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the consolidated cash flow statement, the changes in operating assets and liabilities are presented excluding the translation effects of changes in foreign currency exchange rates, as these do not reflect actual cash flows. In addition, in the cash flow statement, the changes in operating assets and liabilities are presented excluding the effect of acquired or disposed operating assets and liabilities, as the cash flow associated with acquisition or disposition of businesses is presented as an investing activity. Accordingly, the amounts in the cash flow statement do not agree with changes in the operating assets and liabilities that are presented in the balance sheet.</w:t>
      </w:r>
    </w:p>
    <w:p>
      <w:pPr>
        <w:spacing w:after="0" w:line="1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reported values of our assets and liabilities held in non-U.S. subsidiaries and affiliates can be significantly affected by fluctuations in foreign exchange rates between periods. As of November 30, 2025, the exchange rates for the Euro, British pound sterling, Canadian dollar, Mexican peso, Chinese renminbi, Polish zloty, and Australian dollar were higher against the U.S. dollar than on November 30, 2024.</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00539B"/>
        </w:rPr>
        <w:t xml:space="preserve">Operating Cash Flow </w:t>
      </w:r>
      <w:r>
        <w:rPr>
          <w:rFonts w:ascii="Arial" w:cs="Arial" w:eastAsia="Arial" w:hAnsi="Arial"/>
          <w:sz w:val="18"/>
          <w:szCs w:val="18"/>
          <w:i w:val="1"/>
          <w:iCs w:val="1"/>
          <w:color w:val="000000"/>
        </w:rPr>
        <w:t>–</w:t>
      </w:r>
      <w:r>
        <w:rPr>
          <w:rFonts w:ascii="Arial" w:cs="Arial" w:eastAsia="Arial" w:hAnsi="Arial"/>
          <w:sz w:val="18"/>
          <w:szCs w:val="18"/>
          <w:i w:val="1"/>
          <w:iCs w:val="1"/>
          <w:color w:val="00539B"/>
        </w:rPr>
        <w:t xml:space="preserve"> </w:t>
      </w:r>
      <w:r>
        <w:rPr>
          <w:rFonts w:ascii="Arial" w:cs="Arial" w:eastAsia="Arial" w:hAnsi="Arial"/>
          <w:sz w:val="18"/>
          <w:szCs w:val="18"/>
          <w:color w:val="000000"/>
        </w:rPr>
        <w:t>Operating cash flow was $ 962.2 million in 2025, $921.9 million in 2024, and $1,237.3 million in 2023. Net income as</w:t>
      </w:r>
      <w:r>
        <w:rPr>
          <w:rFonts w:ascii="Arial" w:cs="Arial" w:eastAsia="Arial" w:hAnsi="Arial"/>
          <w:sz w:val="18"/>
          <w:szCs w:val="18"/>
          <w:i w:val="1"/>
          <w:iCs w:val="1"/>
          <w:color w:val="00539B"/>
        </w:rPr>
        <w:t xml:space="preserve"> </w:t>
      </w:r>
      <w:r>
        <w:rPr>
          <w:rFonts w:ascii="Arial" w:cs="Arial" w:eastAsia="Arial" w:hAnsi="Arial"/>
          <w:sz w:val="18"/>
          <w:szCs w:val="18"/>
          <w:color w:val="000000"/>
        </w:rPr>
        <w:t>well as our working capital management, as more fully described below, impacted operating cash flow. In 2025, working capital was impacted by a decreased use of cash associated with inventory offset by a lower source of cash associated with accounts payable. In 2024, the decrease in operating cash flow was primarily driven by higher cash used for working capital, including higher inventory levels and higher employee incentive payments related to the prior year, and the timing of income tax payments partially offset by higher net income. In 2023, the increase was primarily driven by an improvement in cash provided by working capital, which was driven by the lower inventory levels and the lower amount of employee incentive payments associated with the prior year, as well as an increase in dividends received from unconsolidated affiliates. This was partially offset by an increased use of cash associated with accounts payable which partially resulted from our lower level of inventory.</w:t>
      </w:r>
    </w:p>
    <w:p>
      <w:pPr>
        <w:spacing w:after="0" w:line="12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working capital management – principally related to inventory, trade accounts receivable, and accounts payable – impacts our operating cash flow. The change in inventory was a moderate source of cash from operations in 2025, a significant use of cash in 2024, and a significant source of cash from operations in 2023. The change in trade accounts receivable was a moderate use of cash in 2025 and 2024, and a source of cash in 2023. The change in accounts payable was a source of cash in 2025, significant source of cash in 2024, and a use of cash in 2023.</w:t>
      </w:r>
    </w:p>
    <w:p>
      <w:pPr>
        <w:spacing w:after="0" w:line="12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In addition to operating cash flow, we also use a cash conversion cycle (CCC) to measure our working capital management. This metric is different than operating cash flow in that it uses average balances instead of specific point in time measures. CCC is a calculation of the number of days, on average, that it takes us to convert a cash outlay for resources, such as raw materials, to a cash inflow from collection of accounts receivable. Our goal is to lower our CCC over time. We calculate CCC as follows: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2" w:right="359" w:bottom="1440" w:gutter="0" w:footer="0" w:header="0"/>
        </w:sectPr>
      </w:pPr>
    </w:p>
    <w:bookmarkStart w:id="33" w:name="page34"/>
    <w:bookmarkEnd w:id="33"/>
    <w:p>
      <w:pPr>
        <w:ind w:left="660" w:right="320"/>
        <w:spacing w:after="0" w:line="268" w:lineRule="auto"/>
        <w:rPr>
          <w:sz w:val="20"/>
          <w:szCs w:val="20"/>
          <w:color w:val="auto"/>
        </w:rPr>
      </w:pPr>
      <w:r>
        <w:rPr>
          <w:rFonts w:ascii="Arial" w:cs="Arial" w:eastAsia="Arial" w:hAnsi="Arial"/>
          <w:sz w:val="18"/>
          <w:szCs w:val="18"/>
          <w:color w:val="auto"/>
        </w:rPr>
        <w:t>Days sales outstanding (average trade accounts receivable divided by average daily net sales) plus days in inventory (average inventory divided by average daily cost of goods sold) less days payable outstanding (average trade accounts payable divided by average daily cost of goods sold plus the average daily change in inventory).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our cash conversion cycle (in days) over the last three years: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820" w:type="dxa"/>
            <w:vAlign w:val="bottom"/>
            <w:tcBorders>
              <w:top w:val="single" w:sz="8" w:color="00539B"/>
              <w:bottom w:val="single" w:sz="8" w:color="00539B"/>
            </w:tcBorders>
          </w:tcPr>
          <w:p>
            <w:pPr>
              <w:spacing w:after="0"/>
              <w:rPr>
                <w:sz w:val="19"/>
                <w:szCs w:val="19"/>
                <w:color w:val="auto"/>
              </w:rPr>
            </w:pPr>
          </w:p>
        </w:tc>
        <w:tc>
          <w:tcPr>
            <w:tcW w:w="1060" w:type="dxa"/>
            <w:vAlign w:val="bottom"/>
            <w:tcBorders>
              <w:top w:val="single" w:sz="8" w:color="00539B"/>
              <w:bottom w:val="single" w:sz="8" w:color="00539B"/>
            </w:tcBorders>
            <w:shd w:val="clear" w:color="auto" w:fill="E0E3F1"/>
          </w:tcPr>
          <w:p>
            <w:pPr>
              <w:jc w:val="right"/>
              <w:ind w:right="108"/>
              <w:spacing w:after="0"/>
              <w:rPr>
                <w:sz w:val="20"/>
                <w:szCs w:val="20"/>
                <w:color w:val="auto"/>
              </w:rPr>
            </w:pPr>
            <w:r>
              <w:rPr>
                <w:rFonts w:ascii="Arial" w:cs="Arial" w:eastAsia="Arial" w:hAnsi="Arial"/>
                <w:sz w:val="14"/>
                <w:szCs w:val="14"/>
                <w:color w:val="auto"/>
              </w:rPr>
              <w:t>2025</w:t>
            </w:r>
          </w:p>
        </w:tc>
        <w:tc>
          <w:tcPr>
            <w:tcW w:w="400" w:type="dxa"/>
            <w:vAlign w:val="bottom"/>
            <w:tcBorders>
              <w:top w:val="single" w:sz="8" w:color="00539B"/>
              <w:bottom w:val="single" w:sz="8" w:color="00539B"/>
            </w:tcBorders>
            <w:shd w:val="clear" w:color="auto" w:fill="E0E3F1"/>
          </w:tcPr>
          <w:p>
            <w:pPr>
              <w:spacing w:after="0"/>
              <w:rPr>
                <w:sz w:val="19"/>
                <w:szCs w:val="19"/>
                <w:color w:val="auto"/>
              </w:rPr>
            </w:pPr>
          </w:p>
        </w:tc>
        <w:tc>
          <w:tcPr>
            <w:tcW w:w="1700" w:type="dxa"/>
            <w:vAlign w:val="bottom"/>
            <w:tcBorders>
              <w:top w:val="single" w:sz="8" w:color="00539B"/>
              <w:bottom w:val="single" w:sz="8" w:color="00539B"/>
            </w:tcBorders>
          </w:tcPr>
          <w:p>
            <w:pPr>
              <w:jc w:val="right"/>
              <w:ind w:right="748"/>
              <w:spacing w:after="0"/>
              <w:rPr>
                <w:sz w:val="20"/>
                <w:szCs w:val="20"/>
                <w:color w:val="auto"/>
              </w:rPr>
            </w:pPr>
            <w:r>
              <w:rPr>
                <w:rFonts w:ascii="Arial" w:cs="Arial" w:eastAsia="Arial" w:hAnsi="Arial"/>
                <w:sz w:val="14"/>
                <w:szCs w:val="14"/>
                <w:color w:val="auto"/>
              </w:rPr>
              <w:t>2024</w:t>
            </w:r>
          </w:p>
        </w:tc>
        <w:tc>
          <w:tcPr>
            <w:tcW w:w="1220" w:type="dxa"/>
            <w:vAlign w:val="bottom"/>
            <w:tcBorders>
              <w:top w:val="single" w:sz="8" w:color="00539B"/>
              <w:bottom w:val="single" w:sz="8" w:color="00539B"/>
            </w:tcBorders>
          </w:tcPr>
          <w:p>
            <w:pPr>
              <w:jc w:val="right"/>
              <w:ind w:right="508"/>
              <w:spacing w:after="0"/>
              <w:rPr>
                <w:sz w:val="20"/>
                <w:szCs w:val="20"/>
                <w:color w:val="auto"/>
              </w:rPr>
            </w:pPr>
            <w:r>
              <w:rPr>
                <w:rFonts w:ascii="Arial" w:cs="Arial" w:eastAsia="Arial" w:hAnsi="Arial"/>
                <w:sz w:val="14"/>
                <w:szCs w:val="14"/>
                <w:color w:val="auto"/>
              </w:rPr>
              <w:t>2023</w:t>
            </w:r>
          </w:p>
        </w:tc>
      </w:tr>
      <w:tr>
        <w:trPr>
          <w:trHeight w:val="207"/>
        </w:trPr>
        <w:tc>
          <w:tcPr>
            <w:tcW w:w="682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Cash Conversion Cycle</w:t>
            </w:r>
          </w:p>
        </w:tc>
        <w:tc>
          <w:tcPr>
            <w:tcW w:w="1060" w:type="dxa"/>
            <w:vAlign w:val="bottom"/>
            <w:tcBorders>
              <w:bottom w:val="single" w:sz="8" w:color="00539B"/>
            </w:tcBorders>
            <w:shd w:val="clear" w:color="auto" w:fill="E0E3F1"/>
          </w:tcPr>
          <w:p>
            <w:pPr>
              <w:spacing w:after="0"/>
              <w:rPr>
                <w:sz w:val="18"/>
                <w:szCs w:val="18"/>
                <w:color w:val="auto"/>
              </w:rPr>
            </w:pPr>
          </w:p>
        </w:tc>
        <w:tc>
          <w:tcPr>
            <w:tcW w:w="40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42</w:t>
            </w:r>
          </w:p>
        </w:tc>
        <w:tc>
          <w:tcPr>
            <w:tcW w:w="1700" w:type="dxa"/>
            <w:vAlign w:val="bottom"/>
            <w:tcBorders>
              <w:bottom w:val="single" w:sz="8" w:color="00539B"/>
            </w:tcBorders>
          </w:tcPr>
          <w:p>
            <w:pPr>
              <w:jc w:val="right"/>
              <w:ind w:right="248"/>
              <w:spacing w:after="0"/>
              <w:rPr>
                <w:sz w:val="20"/>
                <w:szCs w:val="20"/>
                <w:color w:val="auto"/>
              </w:rPr>
            </w:pPr>
            <w:r>
              <w:rPr>
                <w:rFonts w:ascii="Arial" w:cs="Arial" w:eastAsia="Arial" w:hAnsi="Arial"/>
                <w:sz w:val="14"/>
                <w:szCs w:val="14"/>
                <w:color w:val="auto"/>
              </w:rPr>
              <w:t>36</w:t>
            </w:r>
          </w:p>
        </w:tc>
        <w:tc>
          <w:tcPr>
            <w:tcW w:w="122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40</w:t>
            </w:r>
          </w:p>
        </w:tc>
      </w:tr>
    </w:tbl>
    <w:p>
      <w:pPr>
        <w:spacing w:after="0" w:line="22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increase in CCC in 2025 from 2024 was primarily due to an increase in our days in inventory as a result of inventory management including the impacts of strategic forward purchases and inventory acquired in conjunction with the Jurado acquisition. The decrease in CCC in 2024 from 2023 was primarily due to a reduction in our days in inventory as a result of inventory management based on demand planning.</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more fully described in Note 1 of notes to our consolidated financial statements, we participate in a Supply Chain Financing program (SCF) with several global financial institutions (SCF Banks). Under the SCF, qualifying suppliers may elect to sell their receivables from us to an SCF Bank, enabling participating suppliers to negotiate their receivables sales arrangements directly with the respective SCF Bank. We are not party to those agreements and have no economic interest in a supplier’s decision to sell a receivable. All outstanding amounts related to suppliers participating in the SCF are recorded within the line item 'Trade accounts payable' in our consolidated balance sheets, and the associated payments are included in operating activities in our consolidated cash flow statement. As of November 30, 2025, 2024, and 2023 the amounts due to suppliers participating in the SCF and included in trade accounts payable were approximately $332.1 million, $417.4 million, and $300.5 million, respectively.</w:t>
      </w:r>
    </w:p>
    <w:p>
      <w:pPr>
        <w:spacing w:after="0" w:line="13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terms of our payment obligations are not impacted by a supplier's participation in the SCF. Our payment terms with our suppliers for similar materials within individual markets are consistent between those suppliers that elect to participate in the SCF and those suppliers that do not participate. Accordingly, our average days outstanding are not significantly impacted by the portion of suppliers included in the SCF. Future changes in our suppliers’ financing policies or economic developments, such as shifts in interest rates, general market liquidity, or our creditworthiness relative to participating suppliers, could affect those suppliers’ participation in the SCF and/or our ability to negotiate extended payment terms with them. However, any such impacts are difficult to predict.</w:t>
      </w:r>
    </w:p>
    <w:p>
      <w:pPr>
        <w:spacing w:after="0" w:line="12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i w:val="1"/>
          <w:iCs w:val="1"/>
          <w:color w:val="00539B"/>
        </w:rPr>
        <w:t xml:space="preserve">Investing Cash Flow </w:t>
      </w:r>
      <w:r>
        <w:rPr>
          <w:rFonts w:ascii="Arial" w:cs="Arial" w:eastAsia="Arial" w:hAnsi="Arial"/>
          <w:sz w:val="18"/>
          <w:szCs w:val="18"/>
          <w:i w:val="1"/>
          <w:iCs w:val="1"/>
          <w:color w:val="000000"/>
        </w:rPr>
        <w:t>–</w:t>
      </w:r>
      <w:r>
        <w:rPr>
          <w:rFonts w:ascii="Arial" w:cs="Arial" w:eastAsia="Arial" w:hAnsi="Arial"/>
          <w:sz w:val="18"/>
          <w:szCs w:val="18"/>
          <w:i w:val="1"/>
          <w:iCs w:val="1"/>
          <w:color w:val="00539B"/>
        </w:rPr>
        <w:t xml:space="preserve"> </w:t>
      </w:r>
      <w:r>
        <w:rPr>
          <w:rFonts w:ascii="Arial" w:cs="Arial" w:eastAsia="Arial" w:hAnsi="Arial"/>
          <w:sz w:val="18"/>
          <w:szCs w:val="18"/>
          <w:color w:val="000000"/>
        </w:rPr>
        <w:t>Net cash used in investing activities was $255.2 million in 2025, $269.0 million in 2024, and $260.5 million in 2023.</w:t>
      </w:r>
      <w:r>
        <w:rPr>
          <w:rFonts w:ascii="Arial" w:cs="Arial" w:eastAsia="Arial" w:hAnsi="Arial"/>
          <w:sz w:val="18"/>
          <w:szCs w:val="18"/>
          <w:i w:val="1"/>
          <w:iCs w:val="1"/>
          <w:color w:val="00539B"/>
        </w:rPr>
        <w:t xml:space="preserve"> </w:t>
      </w:r>
      <w:r>
        <w:rPr>
          <w:rFonts w:ascii="Arial" w:cs="Arial" w:eastAsia="Arial" w:hAnsi="Arial"/>
          <w:sz w:val="18"/>
          <w:szCs w:val="18"/>
          <w:color w:val="000000"/>
        </w:rPr>
        <w:t>Our primary investing cash flows include cash used for capital expenditures as well as cash used in the acquisition of a business. Capital expenditures, including expenditures for capitalized software, were $221.8 million in 2025, $274.9 million in 2024, and $263.9 million in 2023. Cash used for the acquisition of a business was $34.1 million in 2025. We expect 2026 capital expenditures to approximate $275 million.</w:t>
      </w:r>
    </w:p>
    <w:p>
      <w:pPr>
        <w:spacing w:after="0" w:line="122"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i w:val="1"/>
          <w:iCs w:val="1"/>
          <w:color w:val="00539B"/>
        </w:rPr>
        <w:t xml:space="preserve">Financing Cash Flow </w:t>
      </w:r>
      <w:r>
        <w:rPr>
          <w:rFonts w:ascii="Arial" w:cs="Arial" w:eastAsia="Arial" w:hAnsi="Arial"/>
          <w:sz w:val="18"/>
          <w:szCs w:val="18"/>
          <w:i w:val="1"/>
          <w:iCs w:val="1"/>
          <w:color w:val="000000"/>
        </w:rPr>
        <w:t>–</w:t>
      </w:r>
      <w:r>
        <w:rPr>
          <w:rFonts w:ascii="Arial" w:cs="Arial" w:eastAsia="Arial" w:hAnsi="Arial"/>
          <w:sz w:val="18"/>
          <w:szCs w:val="18"/>
          <w:i w:val="1"/>
          <w:iCs w:val="1"/>
          <w:color w:val="00539B"/>
        </w:rPr>
        <w:t xml:space="preserve"> </w:t>
      </w:r>
      <w:r>
        <w:rPr>
          <w:rFonts w:ascii="Arial" w:cs="Arial" w:eastAsia="Arial" w:hAnsi="Arial"/>
          <w:sz w:val="18"/>
          <w:szCs w:val="18"/>
          <w:color w:val="000000"/>
        </w:rPr>
        <w:t>Net cash associated with financing activities was a use of cash of $840.9 million in 2025, $583.1 million in 2024, and</w:t>
      </w:r>
      <w:r>
        <w:rPr>
          <w:rFonts w:ascii="Arial" w:cs="Arial" w:eastAsia="Arial" w:hAnsi="Arial"/>
          <w:sz w:val="18"/>
          <w:szCs w:val="18"/>
          <w:i w:val="1"/>
          <w:iCs w:val="1"/>
          <w:color w:val="00539B"/>
        </w:rPr>
        <w:t xml:space="preserve"> </w:t>
      </w:r>
      <w:r>
        <w:rPr>
          <w:rFonts w:ascii="Arial" w:cs="Arial" w:eastAsia="Arial" w:hAnsi="Arial"/>
          <w:sz w:val="18"/>
          <w:szCs w:val="18"/>
          <w:color w:val="000000"/>
        </w:rPr>
        <w:t>$1,184.2 million in 2023. The variability between years is principally a result of changes in our net borrowings, share repurchase activity, and dividends, all as described below.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our net borrowing activities: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760" w:type="dxa"/>
            <w:vAlign w:val="bottom"/>
            <w:tcBorders>
              <w:top w:val="single" w:sz="8" w:color="00539B"/>
              <w:bottom w:val="single" w:sz="8" w:color="00539B"/>
            </w:tcBorders>
          </w:tcPr>
          <w:p>
            <w:pPr>
              <w:spacing w:after="0"/>
              <w:rPr>
                <w:sz w:val="19"/>
                <w:szCs w:val="19"/>
                <w:color w:val="auto"/>
              </w:rPr>
            </w:pPr>
          </w:p>
        </w:tc>
        <w:tc>
          <w:tcPr>
            <w:tcW w:w="940" w:type="dxa"/>
            <w:vAlign w:val="bottom"/>
            <w:tcBorders>
              <w:top w:val="single" w:sz="8" w:color="00539B"/>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2025</w:t>
            </w:r>
          </w:p>
        </w:tc>
        <w:tc>
          <w:tcPr>
            <w:tcW w:w="520" w:type="dxa"/>
            <w:vAlign w:val="bottom"/>
            <w:tcBorders>
              <w:top w:val="single" w:sz="8" w:color="00539B"/>
              <w:bottom w:val="single" w:sz="8" w:color="00539B"/>
            </w:tcBorders>
            <w:shd w:val="clear" w:color="auto" w:fill="E0E3F1"/>
          </w:tcPr>
          <w:p>
            <w:pPr>
              <w:spacing w:after="0"/>
              <w:rPr>
                <w:sz w:val="19"/>
                <w:szCs w:val="19"/>
                <w:color w:val="auto"/>
              </w:rPr>
            </w:pPr>
          </w:p>
        </w:tc>
        <w:tc>
          <w:tcPr>
            <w:tcW w:w="340" w:type="dxa"/>
            <w:vAlign w:val="bottom"/>
            <w:tcBorders>
              <w:top w:val="single" w:sz="8" w:color="00539B"/>
              <w:bottom w:val="single" w:sz="8" w:color="00539B"/>
            </w:tcBorders>
          </w:tcPr>
          <w:p>
            <w:pPr>
              <w:spacing w:after="0"/>
              <w:rPr>
                <w:sz w:val="19"/>
                <w:szCs w:val="19"/>
                <w:color w:val="auto"/>
              </w:rPr>
            </w:pPr>
          </w:p>
        </w:tc>
        <w:tc>
          <w:tcPr>
            <w:tcW w:w="1140" w:type="dxa"/>
            <w:vAlign w:val="bottom"/>
            <w:tcBorders>
              <w:top w:val="single" w:sz="8" w:color="00539B"/>
              <w:bottom w:val="single" w:sz="8" w:color="00539B"/>
            </w:tcBorders>
          </w:tcPr>
          <w:p>
            <w:pPr>
              <w:jc w:val="right"/>
              <w:ind w:right="508"/>
              <w:spacing w:after="0"/>
              <w:rPr>
                <w:sz w:val="20"/>
                <w:szCs w:val="20"/>
                <w:color w:val="auto"/>
              </w:rPr>
            </w:pPr>
            <w:r>
              <w:rPr>
                <w:rFonts w:ascii="Arial" w:cs="Arial" w:eastAsia="Arial" w:hAnsi="Arial"/>
                <w:sz w:val="14"/>
                <w:szCs w:val="14"/>
                <w:color w:val="auto"/>
              </w:rPr>
              <w:t>2024</w:t>
            </w:r>
          </w:p>
        </w:tc>
        <w:tc>
          <w:tcPr>
            <w:tcW w:w="340" w:type="dxa"/>
            <w:vAlign w:val="bottom"/>
            <w:tcBorders>
              <w:top w:val="single" w:sz="8" w:color="00539B"/>
              <w:bottom w:val="single" w:sz="8" w:color="00539B"/>
            </w:tcBorders>
          </w:tcPr>
          <w:p>
            <w:pPr>
              <w:spacing w:after="0"/>
              <w:rPr>
                <w:sz w:val="19"/>
                <w:szCs w:val="19"/>
                <w:color w:val="auto"/>
              </w:rPr>
            </w:pPr>
          </w:p>
        </w:tc>
        <w:tc>
          <w:tcPr>
            <w:tcW w:w="1160" w:type="dxa"/>
            <w:vAlign w:val="bottom"/>
            <w:tcBorders>
              <w:top w:val="single" w:sz="8" w:color="00539B"/>
              <w:bottom w:val="single" w:sz="8" w:color="00539B"/>
            </w:tcBorders>
          </w:tcPr>
          <w:p>
            <w:pPr>
              <w:jc w:val="right"/>
              <w:ind w:right="508"/>
              <w:spacing w:after="0"/>
              <w:rPr>
                <w:sz w:val="20"/>
                <w:szCs w:val="20"/>
                <w:color w:val="auto"/>
              </w:rPr>
            </w:pPr>
            <w:r>
              <w:rPr>
                <w:rFonts w:ascii="Arial" w:cs="Arial" w:eastAsia="Arial" w:hAnsi="Arial"/>
                <w:sz w:val="14"/>
                <w:szCs w:val="14"/>
                <w:color w:val="auto"/>
              </w:rPr>
              <w:t>2023</w:t>
            </w:r>
          </w:p>
        </w:tc>
      </w:tr>
      <w:tr>
        <w:trPr>
          <w:trHeight w:val="192"/>
        </w:trPr>
        <w:tc>
          <w:tcPr>
            <w:tcW w:w="6760" w:type="dxa"/>
            <w:vAlign w:val="bottom"/>
          </w:tcPr>
          <w:p>
            <w:pPr>
              <w:ind w:left="20"/>
              <w:spacing w:after="0"/>
              <w:rPr>
                <w:sz w:val="20"/>
                <w:szCs w:val="20"/>
                <w:color w:val="auto"/>
              </w:rPr>
            </w:pPr>
            <w:r>
              <w:rPr>
                <w:rFonts w:ascii="Arial" w:cs="Arial" w:eastAsia="Arial" w:hAnsi="Arial"/>
                <w:sz w:val="14"/>
                <w:szCs w:val="14"/>
                <w:color w:val="auto"/>
              </w:rPr>
              <w:t>Net (decrease) increase in short-term borrowings</w:t>
            </w:r>
          </w:p>
        </w:tc>
        <w:tc>
          <w:tcPr>
            <w:tcW w:w="940" w:type="dxa"/>
            <w:vAlign w:val="bottom"/>
            <w:shd w:val="clear" w:color="auto" w:fill="E0E3F1"/>
          </w:tcPr>
          <w:p>
            <w:pPr>
              <w:jc w:val="right"/>
              <w:ind w:right="768"/>
              <w:spacing w:after="0"/>
              <w:rPr>
                <w:sz w:val="20"/>
                <w:szCs w:val="20"/>
                <w:color w:val="auto"/>
              </w:rPr>
            </w:pPr>
            <w:r>
              <w:rPr>
                <w:rFonts w:ascii="Arial" w:cs="Arial" w:eastAsia="Arial" w:hAnsi="Arial"/>
                <w:sz w:val="14"/>
                <w:szCs w:val="14"/>
                <w:color w:val="auto"/>
              </w:rPr>
              <w:t>$</w:t>
            </w:r>
          </w:p>
        </w:tc>
        <w:tc>
          <w:tcPr>
            <w:tcW w:w="520" w:type="dxa"/>
            <w:vAlign w:val="bottom"/>
            <w:shd w:val="clear" w:color="auto" w:fill="E0E3F1"/>
          </w:tcPr>
          <w:p>
            <w:pPr>
              <w:jc w:val="right"/>
              <w:spacing w:after="0"/>
              <w:rPr>
                <w:sz w:val="20"/>
                <w:szCs w:val="20"/>
                <w:color w:val="auto"/>
              </w:rPr>
            </w:pPr>
            <w:r>
              <w:rPr>
                <w:rFonts w:ascii="Arial" w:cs="Arial" w:eastAsia="Arial" w:hAnsi="Arial"/>
                <w:sz w:val="14"/>
                <w:szCs w:val="14"/>
                <w:color w:val="auto"/>
              </w:rPr>
              <w:t>(101.4)</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211.1</w:t>
            </w:r>
          </w:p>
        </w:tc>
        <w:tc>
          <w:tcPr>
            <w:tcW w:w="340" w:type="dxa"/>
            <w:vAlign w:val="bottom"/>
          </w:tcPr>
          <w:p>
            <w:pPr>
              <w:spacing w:after="0"/>
              <w:rPr>
                <w:sz w:val="16"/>
                <w:szCs w:val="16"/>
                <w:color w:val="auto"/>
              </w:rPr>
            </w:pPr>
          </w:p>
        </w:tc>
        <w:tc>
          <w:tcPr>
            <w:tcW w:w="1160" w:type="dxa"/>
            <w:vAlign w:val="bottom"/>
          </w:tcPr>
          <w:p>
            <w:pPr>
              <w:jc w:val="center"/>
              <w:ind w:left="588"/>
              <w:spacing w:after="0"/>
              <w:rPr>
                <w:sz w:val="20"/>
                <w:szCs w:val="20"/>
                <w:color w:val="auto"/>
              </w:rPr>
            </w:pPr>
            <w:r>
              <w:rPr>
                <w:rFonts w:ascii="Arial" w:cs="Arial" w:eastAsia="Arial" w:hAnsi="Arial"/>
                <w:sz w:val="14"/>
                <w:szCs w:val="14"/>
                <w:color w:val="auto"/>
              </w:rPr>
              <w:t>(964.6)</w:t>
            </w:r>
          </w:p>
        </w:tc>
      </w:tr>
      <w:tr>
        <w:trPr>
          <w:trHeight w:val="203"/>
        </w:trPr>
        <w:tc>
          <w:tcPr>
            <w:tcW w:w="6760" w:type="dxa"/>
            <w:vAlign w:val="bottom"/>
          </w:tcPr>
          <w:p>
            <w:pPr>
              <w:ind w:left="20"/>
              <w:spacing w:after="0"/>
              <w:rPr>
                <w:sz w:val="20"/>
                <w:szCs w:val="20"/>
                <w:color w:val="auto"/>
              </w:rPr>
            </w:pPr>
            <w:r>
              <w:rPr>
                <w:rFonts w:ascii="Arial" w:cs="Arial" w:eastAsia="Arial" w:hAnsi="Arial"/>
                <w:sz w:val="14"/>
                <w:szCs w:val="14"/>
                <w:color w:val="auto"/>
              </w:rPr>
              <w:t>Proceeds from issuance of long-term debt, net of debt issuance costs</w:t>
            </w:r>
          </w:p>
        </w:tc>
        <w:tc>
          <w:tcPr>
            <w:tcW w:w="940" w:type="dxa"/>
            <w:vAlign w:val="bottom"/>
            <w:shd w:val="clear" w:color="auto" w:fill="E0E3F1"/>
          </w:tcPr>
          <w:p>
            <w:pPr>
              <w:spacing w:after="0"/>
              <w:rPr>
                <w:sz w:val="17"/>
                <w:szCs w:val="17"/>
                <w:color w:val="auto"/>
              </w:rPr>
            </w:pPr>
          </w:p>
        </w:tc>
        <w:tc>
          <w:tcPr>
            <w:tcW w:w="520" w:type="dxa"/>
            <w:vAlign w:val="bottom"/>
            <w:shd w:val="clear" w:color="auto" w:fill="E0E3F1"/>
          </w:tcPr>
          <w:p>
            <w:pPr>
              <w:jc w:val="right"/>
              <w:spacing w:after="0"/>
              <w:rPr>
                <w:sz w:val="20"/>
                <w:szCs w:val="20"/>
                <w:color w:val="auto"/>
              </w:rPr>
            </w:pPr>
            <w:r>
              <w:rPr>
                <w:rFonts w:ascii="Arial" w:cs="Arial" w:eastAsia="Arial" w:hAnsi="Arial"/>
                <w:sz w:val="14"/>
                <w:szCs w:val="14"/>
                <w:color w:val="auto"/>
              </w:rPr>
              <w:t>2.7</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494.5</w:t>
            </w:r>
          </w:p>
        </w:tc>
        <w:tc>
          <w:tcPr>
            <w:tcW w:w="340" w:type="dxa"/>
            <w:vAlign w:val="bottom"/>
          </w:tcPr>
          <w:p>
            <w:pPr>
              <w:spacing w:after="0"/>
              <w:rPr>
                <w:sz w:val="17"/>
                <w:szCs w:val="17"/>
                <w:color w:val="auto"/>
              </w:rPr>
            </w:pPr>
          </w:p>
        </w:tc>
        <w:tc>
          <w:tcPr>
            <w:tcW w:w="1160" w:type="dxa"/>
            <w:vAlign w:val="bottom"/>
          </w:tcPr>
          <w:p>
            <w:pPr>
              <w:jc w:val="center"/>
              <w:ind w:left="608"/>
              <w:spacing w:after="0"/>
              <w:rPr>
                <w:sz w:val="20"/>
                <w:szCs w:val="20"/>
                <w:color w:val="auto"/>
              </w:rPr>
            </w:pPr>
            <w:r>
              <w:rPr>
                <w:rFonts w:ascii="Arial" w:cs="Arial" w:eastAsia="Arial" w:hAnsi="Arial"/>
                <w:sz w:val="14"/>
                <w:szCs w:val="14"/>
                <w:color w:val="auto"/>
              </w:rPr>
              <w:t>495.3</w:t>
            </w:r>
          </w:p>
        </w:tc>
      </w:tr>
      <w:tr>
        <w:trPr>
          <w:trHeight w:val="206"/>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Repayments of long-term debt</w:t>
            </w:r>
          </w:p>
        </w:tc>
        <w:tc>
          <w:tcPr>
            <w:tcW w:w="940" w:type="dxa"/>
            <w:vAlign w:val="bottom"/>
            <w:tcBorders>
              <w:bottom w:val="single" w:sz="8" w:color="auto"/>
            </w:tcBorders>
            <w:shd w:val="clear" w:color="auto" w:fill="E0E3F1"/>
          </w:tcPr>
          <w:p>
            <w:pPr>
              <w:spacing w:after="0"/>
              <w:rPr>
                <w:sz w:val="17"/>
                <w:szCs w:val="17"/>
                <w:color w:val="auto"/>
              </w:rPr>
            </w:pPr>
          </w:p>
        </w:tc>
        <w:tc>
          <w:tcPr>
            <w:tcW w:w="520" w:type="dxa"/>
            <w:vAlign w:val="bottom"/>
            <w:tcBorders>
              <w:bottom w:val="single" w:sz="8" w:color="auto"/>
            </w:tcBorders>
            <w:shd w:val="clear" w:color="auto" w:fill="E0E3F1"/>
          </w:tcPr>
          <w:p>
            <w:pPr>
              <w:jc w:val="right"/>
              <w:spacing w:after="0"/>
              <w:rPr>
                <w:sz w:val="20"/>
                <w:szCs w:val="20"/>
                <w:color w:val="auto"/>
              </w:rPr>
            </w:pPr>
            <w:r>
              <w:rPr>
                <w:rFonts w:ascii="Arial" w:cs="Arial" w:eastAsia="Arial" w:hAnsi="Arial"/>
                <w:sz w:val="14"/>
                <w:szCs w:val="14"/>
                <w:color w:val="auto"/>
              </w:rPr>
              <w:t>(267.9)</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(801.1)</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left="588"/>
              <w:spacing w:after="0"/>
              <w:rPr>
                <w:sz w:val="20"/>
                <w:szCs w:val="20"/>
                <w:color w:val="auto"/>
              </w:rPr>
            </w:pPr>
            <w:r>
              <w:rPr>
                <w:rFonts w:ascii="Arial" w:cs="Arial" w:eastAsia="Arial" w:hAnsi="Arial"/>
                <w:sz w:val="14"/>
                <w:szCs w:val="14"/>
                <w:color w:val="auto"/>
              </w:rPr>
              <w:t>(268.1)</w:t>
            </w:r>
          </w:p>
        </w:tc>
      </w:tr>
      <w:tr>
        <w:trPr>
          <w:trHeight w:val="196"/>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Net cash (used in) net borrowing activities</w:t>
            </w:r>
          </w:p>
        </w:tc>
        <w:tc>
          <w:tcPr>
            <w:tcW w:w="940" w:type="dxa"/>
            <w:vAlign w:val="bottom"/>
            <w:tcBorders>
              <w:bottom w:val="single" w:sz="8" w:color="auto"/>
            </w:tcBorders>
            <w:shd w:val="clear" w:color="auto" w:fill="E0E3F1"/>
          </w:tcPr>
          <w:p>
            <w:pPr>
              <w:jc w:val="right"/>
              <w:ind w:right="76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E0E3F1"/>
          </w:tcPr>
          <w:p>
            <w:pPr>
              <w:jc w:val="right"/>
              <w:spacing w:after="0"/>
              <w:rPr>
                <w:sz w:val="20"/>
                <w:szCs w:val="20"/>
                <w:color w:val="auto"/>
              </w:rPr>
            </w:pPr>
            <w:r>
              <w:rPr>
                <w:rFonts w:ascii="Arial" w:cs="Arial" w:eastAsia="Arial" w:hAnsi="Arial"/>
                <w:sz w:val="14"/>
                <w:szCs w:val="14"/>
                <w:color w:val="auto"/>
              </w:rPr>
              <w:t>(366.6)</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(95.5)</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center"/>
              <w:ind w:left="588"/>
              <w:spacing w:after="0"/>
              <w:rPr>
                <w:sz w:val="20"/>
                <w:szCs w:val="20"/>
                <w:color w:val="auto"/>
              </w:rPr>
            </w:pPr>
            <w:r>
              <w:rPr>
                <w:rFonts w:ascii="Arial" w:cs="Arial" w:eastAsia="Arial" w:hAnsi="Arial"/>
                <w:sz w:val="14"/>
                <w:szCs w:val="14"/>
                <w:color w:val="auto"/>
              </w:rPr>
              <w:t>(737.4)</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In 2025, we repaid $267.9 million of long-term debt, including the $250.0 million, 3.25% notes that matured in November 2025.</w:t>
      </w:r>
    </w:p>
    <w:p>
      <w:pPr>
        <w:spacing w:after="0" w:line="17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 2024, we repaid $801.1 million of long-term debt, including the $ 700.0 million, 3.15% notes that matured in August 2024 as well as $55.0 million, 7.63% to 8.12% notes that matured in August and October 2024. We also issued $500.0 million of 4.70% notes due 2034, with net cash proceeds received of $495.5 million.</w:t>
      </w:r>
    </w:p>
    <w:p>
      <w:pPr>
        <w:spacing w:after="0" w:line="117"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In 2023, we repaid $268.1 million of long-term debt, including the $250.0 million, 3.50% notes that matured on September 1, 2023. We also issued $500.0 million of 4.95% notes due 2033, with net cash proceeds received of $496.4 million.</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The following table outlines the activity in our share repurchase program:</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760" w:type="dxa"/>
            <w:vAlign w:val="bottom"/>
            <w:tcBorders>
              <w:top w:val="single" w:sz="8" w:color="00539B"/>
              <w:bottom w:val="single" w:sz="8" w:color="00539B"/>
            </w:tcBorders>
          </w:tcPr>
          <w:p>
            <w:pPr>
              <w:spacing w:after="0"/>
              <w:rPr>
                <w:sz w:val="19"/>
                <w:szCs w:val="19"/>
                <w:color w:val="auto"/>
              </w:rPr>
            </w:pPr>
          </w:p>
        </w:tc>
        <w:tc>
          <w:tcPr>
            <w:tcW w:w="1000" w:type="dxa"/>
            <w:vAlign w:val="bottom"/>
            <w:tcBorders>
              <w:top w:val="single" w:sz="8" w:color="00539B"/>
              <w:bottom w:val="single" w:sz="8" w:color="00539B"/>
            </w:tcBorders>
            <w:shd w:val="clear" w:color="auto" w:fill="E0E3F1"/>
          </w:tcPr>
          <w:p>
            <w:pPr>
              <w:jc w:val="right"/>
              <w:ind w:right="28"/>
              <w:spacing w:after="0"/>
              <w:rPr>
                <w:sz w:val="20"/>
                <w:szCs w:val="20"/>
                <w:color w:val="auto"/>
              </w:rPr>
            </w:pPr>
            <w:r>
              <w:rPr>
                <w:rFonts w:ascii="Arial" w:cs="Arial" w:eastAsia="Arial" w:hAnsi="Arial"/>
                <w:sz w:val="14"/>
                <w:szCs w:val="14"/>
                <w:color w:val="auto"/>
              </w:rPr>
              <w:t>2025</w:t>
            </w:r>
          </w:p>
        </w:tc>
        <w:tc>
          <w:tcPr>
            <w:tcW w:w="460" w:type="dxa"/>
            <w:vAlign w:val="bottom"/>
            <w:tcBorders>
              <w:top w:val="single" w:sz="8" w:color="00539B"/>
              <w:bottom w:val="single" w:sz="8" w:color="00539B"/>
            </w:tcBorders>
            <w:shd w:val="clear" w:color="auto" w:fill="E0E3F1"/>
          </w:tcPr>
          <w:p>
            <w:pPr>
              <w:spacing w:after="0"/>
              <w:rPr>
                <w:sz w:val="19"/>
                <w:szCs w:val="19"/>
                <w:color w:val="auto"/>
              </w:rPr>
            </w:pPr>
          </w:p>
        </w:tc>
        <w:tc>
          <w:tcPr>
            <w:tcW w:w="340" w:type="dxa"/>
            <w:vAlign w:val="bottom"/>
            <w:tcBorders>
              <w:top w:val="single" w:sz="8" w:color="00539B"/>
              <w:bottom w:val="single" w:sz="8" w:color="00539B"/>
            </w:tcBorders>
          </w:tcPr>
          <w:p>
            <w:pPr>
              <w:spacing w:after="0"/>
              <w:rPr>
                <w:sz w:val="19"/>
                <w:szCs w:val="19"/>
                <w:color w:val="auto"/>
              </w:rPr>
            </w:pPr>
          </w:p>
        </w:tc>
        <w:tc>
          <w:tcPr>
            <w:tcW w:w="1120" w:type="dxa"/>
            <w:vAlign w:val="bottom"/>
            <w:tcBorders>
              <w:top w:val="single" w:sz="8" w:color="00539B"/>
              <w:bottom w:val="single" w:sz="8" w:color="00539B"/>
            </w:tcBorders>
          </w:tcPr>
          <w:p>
            <w:pPr>
              <w:jc w:val="right"/>
              <w:ind w:right="488"/>
              <w:spacing w:after="0"/>
              <w:rPr>
                <w:sz w:val="20"/>
                <w:szCs w:val="20"/>
                <w:color w:val="auto"/>
              </w:rPr>
            </w:pPr>
            <w:r>
              <w:rPr>
                <w:rFonts w:ascii="Arial" w:cs="Arial" w:eastAsia="Arial" w:hAnsi="Arial"/>
                <w:sz w:val="14"/>
                <w:szCs w:val="14"/>
                <w:color w:val="auto"/>
              </w:rPr>
              <w:t>2024</w:t>
            </w:r>
          </w:p>
        </w:tc>
        <w:tc>
          <w:tcPr>
            <w:tcW w:w="360" w:type="dxa"/>
            <w:vAlign w:val="bottom"/>
            <w:tcBorders>
              <w:top w:val="single" w:sz="8" w:color="00539B"/>
              <w:bottom w:val="single" w:sz="8" w:color="00539B"/>
            </w:tcBorders>
          </w:tcPr>
          <w:p>
            <w:pPr>
              <w:spacing w:after="0"/>
              <w:rPr>
                <w:sz w:val="19"/>
                <w:szCs w:val="19"/>
                <w:color w:val="auto"/>
              </w:rPr>
            </w:pPr>
          </w:p>
        </w:tc>
        <w:tc>
          <w:tcPr>
            <w:tcW w:w="1160" w:type="dxa"/>
            <w:vAlign w:val="bottom"/>
            <w:tcBorders>
              <w:top w:val="single" w:sz="8" w:color="00539B"/>
              <w:bottom w:val="single" w:sz="8" w:color="00539B"/>
            </w:tcBorders>
          </w:tcPr>
          <w:p>
            <w:pPr>
              <w:jc w:val="right"/>
              <w:ind w:right="508"/>
              <w:spacing w:after="0"/>
              <w:rPr>
                <w:sz w:val="20"/>
                <w:szCs w:val="20"/>
                <w:color w:val="auto"/>
              </w:rPr>
            </w:pPr>
            <w:r>
              <w:rPr>
                <w:rFonts w:ascii="Arial" w:cs="Arial" w:eastAsia="Arial" w:hAnsi="Arial"/>
                <w:sz w:val="14"/>
                <w:szCs w:val="14"/>
                <w:color w:val="auto"/>
              </w:rPr>
              <w:t>2023</w:t>
            </w:r>
          </w:p>
        </w:tc>
      </w:tr>
      <w:tr>
        <w:trPr>
          <w:trHeight w:val="192"/>
        </w:trPr>
        <w:tc>
          <w:tcPr>
            <w:tcW w:w="6760" w:type="dxa"/>
            <w:vAlign w:val="bottom"/>
          </w:tcPr>
          <w:p>
            <w:pPr>
              <w:ind w:left="20"/>
              <w:spacing w:after="0"/>
              <w:rPr>
                <w:sz w:val="20"/>
                <w:szCs w:val="20"/>
                <w:color w:val="auto"/>
              </w:rPr>
            </w:pPr>
            <w:r>
              <w:rPr>
                <w:rFonts w:ascii="Arial" w:cs="Arial" w:eastAsia="Arial" w:hAnsi="Arial"/>
                <w:sz w:val="14"/>
                <w:szCs w:val="14"/>
                <w:color w:val="auto"/>
              </w:rPr>
              <w:t>Number of shares of common stock</w:t>
            </w:r>
          </w:p>
        </w:tc>
        <w:tc>
          <w:tcPr>
            <w:tcW w:w="1000" w:type="dxa"/>
            <w:vAlign w:val="bottom"/>
            <w:shd w:val="clear" w:color="auto" w:fill="E0E3F1"/>
          </w:tcPr>
          <w:p>
            <w:pPr>
              <w:spacing w:after="0"/>
              <w:rPr>
                <w:sz w:val="16"/>
                <w:szCs w:val="16"/>
                <w:color w:val="auto"/>
              </w:rPr>
            </w:pPr>
          </w:p>
        </w:tc>
        <w:tc>
          <w:tcPr>
            <w:tcW w:w="4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0.5</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0.7</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0.5</w:t>
            </w:r>
          </w:p>
        </w:tc>
      </w:tr>
      <w:tr>
        <w:trPr>
          <w:trHeight w:val="218"/>
        </w:trPr>
        <w:tc>
          <w:tcPr>
            <w:tcW w:w="676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Dollar amount</w:t>
            </w:r>
          </w:p>
        </w:tc>
        <w:tc>
          <w:tcPr>
            <w:tcW w:w="1000" w:type="dxa"/>
            <w:vAlign w:val="bottom"/>
            <w:tcBorders>
              <w:bottom w:val="single" w:sz="8" w:color="00539B"/>
            </w:tcBorders>
            <w:shd w:val="clear" w:color="auto" w:fill="E0E3F1"/>
          </w:tcPr>
          <w:p>
            <w:pPr>
              <w:jc w:val="right"/>
              <w:ind w:right="82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34.8</w:t>
            </w:r>
          </w:p>
        </w:tc>
        <w:tc>
          <w:tcPr>
            <w:tcW w:w="340" w:type="dxa"/>
            <w:vAlign w:val="bottom"/>
            <w:tcBorders>
              <w:bottom w:val="single" w:sz="8" w:color="00539B"/>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53.1</w:t>
            </w:r>
          </w:p>
        </w:tc>
        <w:tc>
          <w:tcPr>
            <w:tcW w:w="360" w:type="dxa"/>
            <w:vAlign w:val="bottom"/>
            <w:tcBorders>
              <w:bottom w:val="single" w:sz="8" w:color="00539B"/>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35.7</w:t>
            </w:r>
          </w:p>
        </w:tc>
      </w:tr>
    </w:tbl>
    <w:p>
      <w:pPr>
        <w:spacing w:after="0" w:line="238"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As of November 30, 2025, $414 million remained of a $600 million share repurchase program that was authorized by our Board of Directors in November 2019. The timing and amount of any shares repurchased is determined by our management based on its evaluation of market conditions and other factors.</w:t>
      </w:r>
    </w:p>
    <w:p>
      <w:pPr>
        <w:spacing w:after="0" w:line="11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During 2025, 2024, and 2023, we received proceeds from exercised stock options of $ 20.9 million, $17.5 million, and $16.6 million, respectively. We repurchased $13.2 million, $9.0 million, and $10.8 million of common stock during 2025, 2024, and 2023, respectively, in conjunction with employee tax withholding requirements associated with our stock compensation plans.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dividend history over the past three years is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400" w:type="dxa"/>
            <w:vAlign w:val="bottom"/>
            <w:tcBorders>
              <w:top w:val="single" w:sz="8" w:color="00539B"/>
              <w:bottom w:val="single" w:sz="8" w:color="00539B"/>
            </w:tcBorders>
          </w:tcPr>
          <w:p>
            <w:pPr>
              <w:spacing w:after="0"/>
              <w:rPr>
                <w:sz w:val="19"/>
                <w:szCs w:val="19"/>
                <w:color w:val="auto"/>
              </w:rPr>
            </w:pPr>
          </w:p>
        </w:tc>
        <w:tc>
          <w:tcPr>
            <w:tcW w:w="1000" w:type="dxa"/>
            <w:vAlign w:val="bottom"/>
            <w:tcBorders>
              <w:top w:val="single" w:sz="8" w:color="00539B"/>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2025</w:t>
            </w:r>
          </w:p>
        </w:tc>
        <w:tc>
          <w:tcPr>
            <w:tcW w:w="460" w:type="dxa"/>
            <w:vAlign w:val="bottom"/>
            <w:tcBorders>
              <w:top w:val="single" w:sz="8" w:color="00539B"/>
              <w:bottom w:val="single" w:sz="8" w:color="00539B"/>
            </w:tcBorders>
            <w:shd w:val="clear" w:color="auto" w:fill="E0E3F1"/>
          </w:tcPr>
          <w:p>
            <w:pPr>
              <w:spacing w:after="0"/>
              <w:rPr>
                <w:sz w:val="19"/>
                <w:szCs w:val="19"/>
                <w:color w:val="auto"/>
              </w:rPr>
            </w:pPr>
          </w:p>
        </w:tc>
        <w:tc>
          <w:tcPr>
            <w:tcW w:w="140" w:type="dxa"/>
            <w:vAlign w:val="bottom"/>
            <w:tcBorders>
              <w:top w:val="single" w:sz="8" w:color="00539B"/>
              <w:bottom w:val="single" w:sz="8" w:color="00539B"/>
            </w:tcBorders>
            <w:shd w:val="clear" w:color="auto" w:fill="E0E3F1"/>
          </w:tcPr>
          <w:p>
            <w:pPr>
              <w:spacing w:after="0"/>
              <w:rPr>
                <w:sz w:val="19"/>
                <w:szCs w:val="19"/>
                <w:color w:val="auto"/>
              </w:rPr>
            </w:pPr>
          </w:p>
        </w:tc>
        <w:tc>
          <w:tcPr>
            <w:tcW w:w="1000" w:type="dxa"/>
            <w:vAlign w:val="bottom"/>
            <w:tcBorders>
              <w:top w:val="single" w:sz="8" w:color="00539B"/>
              <w:bottom w:val="single" w:sz="8" w:color="00539B"/>
            </w:tcBorders>
          </w:tcPr>
          <w:p>
            <w:pPr>
              <w:jc w:val="right"/>
              <w:spacing w:after="0"/>
              <w:rPr>
                <w:sz w:val="20"/>
                <w:szCs w:val="20"/>
                <w:color w:val="auto"/>
              </w:rPr>
            </w:pPr>
            <w:r>
              <w:rPr>
                <w:rFonts w:ascii="Arial" w:cs="Arial" w:eastAsia="Arial" w:hAnsi="Arial"/>
                <w:sz w:val="14"/>
                <w:szCs w:val="14"/>
                <w:color w:val="auto"/>
              </w:rPr>
              <w:t>2024</w:t>
            </w:r>
          </w:p>
        </w:tc>
        <w:tc>
          <w:tcPr>
            <w:tcW w:w="600" w:type="dxa"/>
            <w:vAlign w:val="bottom"/>
            <w:tcBorders>
              <w:top w:val="single" w:sz="8" w:color="00539B"/>
              <w:bottom w:val="single" w:sz="8" w:color="00539B"/>
            </w:tcBorders>
          </w:tcPr>
          <w:p>
            <w:pPr>
              <w:spacing w:after="0"/>
              <w:rPr>
                <w:sz w:val="19"/>
                <w:szCs w:val="19"/>
                <w:color w:val="auto"/>
              </w:rPr>
            </w:pPr>
          </w:p>
        </w:tc>
        <w:tc>
          <w:tcPr>
            <w:tcW w:w="360" w:type="dxa"/>
            <w:vAlign w:val="bottom"/>
            <w:tcBorders>
              <w:top w:val="single" w:sz="8" w:color="00539B"/>
              <w:bottom w:val="single" w:sz="8" w:color="00539B"/>
            </w:tcBorders>
          </w:tcPr>
          <w:p>
            <w:pPr>
              <w:spacing w:after="0"/>
              <w:rPr>
                <w:sz w:val="19"/>
                <w:szCs w:val="19"/>
                <w:color w:val="auto"/>
              </w:rPr>
            </w:pPr>
          </w:p>
        </w:tc>
        <w:tc>
          <w:tcPr>
            <w:tcW w:w="1220" w:type="dxa"/>
            <w:vAlign w:val="bottom"/>
            <w:tcBorders>
              <w:top w:val="single" w:sz="8" w:color="00539B"/>
              <w:bottom w:val="single" w:sz="8" w:color="00539B"/>
            </w:tcBorders>
          </w:tcPr>
          <w:p>
            <w:pPr>
              <w:jc w:val="right"/>
              <w:ind w:right="568"/>
              <w:spacing w:after="0"/>
              <w:rPr>
                <w:sz w:val="20"/>
                <w:szCs w:val="20"/>
                <w:color w:val="auto"/>
              </w:rPr>
            </w:pPr>
            <w:r>
              <w:rPr>
                <w:rFonts w:ascii="Arial" w:cs="Arial" w:eastAsia="Arial" w:hAnsi="Arial"/>
                <w:sz w:val="14"/>
                <w:szCs w:val="14"/>
                <w:color w:val="auto"/>
              </w:rPr>
              <w:t>2023</w:t>
            </w:r>
          </w:p>
        </w:tc>
      </w:tr>
      <w:tr>
        <w:trPr>
          <w:trHeight w:val="192"/>
        </w:trPr>
        <w:tc>
          <w:tcPr>
            <w:tcW w:w="6400" w:type="dxa"/>
            <w:vAlign w:val="bottom"/>
          </w:tcPr>
          <w:p>
            <w:pPr>
              <w:ind w:left="20"/>
              <w:spacing w:after="0"/>
              <w:rPr>
                <w:sz w:val="20"/>
                <w:szCs w:val="20"/>
                <w:color w:val="auto"/>
              </w:rPr>
            </w:pPr>
            <w:r>
              <w:rPr>
                <w:rFonts w:ascii="Arial" w:cs="Arial" w:eastAsia="Arial" w:hAnsi="Arial"/>
                <w:sz w:val="14"/>
                <w:szCs w:val="14"/>
                <w:color w:val="auto"/>
              </w:rPr>
              <w:t>Total dividends paid</w:t>
            </w:r>
          </w:p>
        </w:tc>
        <w:tc>
          <w:tcPr>
            <w:tcW w:w="1000" w:type="dxa"/>
            <w:vAlign w:val="bottom"/>
            <w:shd w:val="clear" w:color="auto" w:fill="E0E3F1"/>
          </w:tcPr>
          <w:p>
            <w:pPr>
              <w:jc w:val="right"/>
              <w:ind w:right="828"/>
              <w:spacing w:after="0"/>
              <w:rPr>
                <w:sz w:val="20"/>
                <w:szCs w:val="20"/>
                <w:color w:val="auto"/>
              </w:rPr>
            </w:pPr>
            <w:r>
              <w:rPr>
                <w:rFonts w:ascii="Arial" w:cs="Arial" w:eastAsia="Arial" w:hAnsi="Arial"/>
                <w:sz w:val="14"/>
                <w:szCs w:val="14"/>
                <w:color w:val="auto"/>
              </w:rPr>
              <w:t>$</w:t>
            </w:r>
          </w:p>
        </w:tc>
        <w:tc>
          <w:tcPr>
            <w:tcW w:w="4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483.0</w:t>
            </w:r>
          </w:p>
        </w:tc>
        <w:tc>
          <w:tcPr>
            <w:tcW w:w="140" w:type="dxa"/>
            <w:vAlign w:val="bottom"/>
            <w:shd w:val="clear" w:color="auto" w:fill="E0E3F1"/>
          </w:tcPr>
          <w:p>
            <w:pPr>
              <w:spacing w:after="0"/>
              <w:rPr>
                <w:sz w:val="16"/>
                <w:szCs w:val="16"/>
                <w:color w:val="auto"/>
              </w:rPr>
            </w:pP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128"/>
              <w:spacing w:after="0"/>
              <w:rPr>
                <w:sz w:val="20"/>
                <w:szCs w:val="20"/>
                <w:color w:val="auto"/>
              </w:rPr>
            </w:pPr>
            <w:r>
              <w:rPr>
                <w:rFonts w:ascii="Arial" w:cs="Arial" w:eastAsia="Arial" w:hAnsi="Arial"/>
                <w:sz w:val="14"/>
                <w:szCs w:val="14"/>
                <w:color w:val="auto"/>
              </w:rPr>
              <w:t>451.0</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418.5</w:t>
            </w:r>
          </w:p>
        </w:tc>
      </w:tr>
      <w:tr>
        <w:trPr>
          <w:trHeight w:val="203"/>
        </w:trPr>
        <w:tc>
          <w:tcPr>
            <w:tcW w:w="6400" w:type="dxa"/>
            <w:vAlign w:val="bottom"/>
          </w:tcPr>
          <w:p>
            <w:pPr>
              <w:ind w:left="20"/>
              <w:spacing w:after="0"/>
              <w:rPr>
                <w:sz w:val="20"/>
                <w:szCs w:val="20"/>
                <w:color w:val="auto"/>
              </w:rPr>
            </w:pPr>
            <w:r>
              <w:rPr>
                <w:rFonts w:ascii="Arial" w:cs="Arial" w:eastAsia="Arial" w:hAnsi="Arial"/>
                <w:sz w:val="14"/>
                <w:szCs w:val="14"/>
                <w:color w:val="auto"/>
              </w:rPr>
              <w:t>Dividends paid per share</w:t>
            </w:r>
          </w:p>
        </w:tc>
        <w:tc>
          <w:tcPr>
            <w:tcW w:w="1000" w:type="dxa"/>
            <w:vAlign w:val="bottom"/>
            <w:shd w:val="clear" w:color="auto" w:fill="E0E3F1"/>
          </w:tcPr>
          <w:p>
            <w:pPr>
              <w:spacing w:after="0"/>
              <w:rPr>
                <w:sz w:val="17"/>
                <w:szCs w:val="17"/>
                <w:color w:val="auto"/>
              </w:rPr>
            </w:pPr>
          </w:p>
        </w:tc>
        <w:tc>
          <w:tcPr>
            <w:tcW w:w="4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1.80</w:t>
            </w:r>
          </w:p>
        </w:tc>
        <w:tc>
          <w:tcPr>
            <w:tcW w:w="140" w:type="dxa"/>
            <w:vAlign w:val="bottom"/>
            <w:shd w:val="clear" w:color="auto" w:fill="E0E3F1"/>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jc w:val="right"/>
              <w:ind w:right="128"/>
              <w:spacing w:after="0"/>
              <w:rPr>
                <w:sz w:val="20"/>
                <w:szCs w:val="20"/>
                <w:color w:val="auto"/>
              </w:rPr>
            </w:pPr>
            <w:r>
              <w:rPr>
                <w:rFonts w:ascii="Arial" w:cs="Arial" w:eastAsia="Arial" w:hAnsi="Arial"/>
                <w:sz w:val="14"/>
                <w:szCs w:val="14"/>
                <w:color w:val="auto"/>
              </w:rPr>
              <w:t>1.68</w:t>
            </w:r>
          </w:p>
        </w:tc>
        <w:tc>
          <w:tcPr>
            <w:tcW w:w="360" w:type="dxa"/>
            <w:vAlign w:val="bottom"/>
          </w:tcPr>
          <w:p>
            <w:pPr>
              <w:spacing w:after="0"/>
              <w:rPr>
                <w:sz w:val="17"/>
                <w:szCs w:val="17"/>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1.56</w:t>
            </w:r>
          </w:p>
        </w:tc>
      </w:tr>
      <w:tr>
        <w:trPr>
          <w:trHeight w:val="218"/>
        </w:trPr>
        <w:tc>
          <w:tcPr>
            <w:tcW w:w="640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Percentage increase per share</w:t>
            </w:r>
          </w:p>
        </w:tc>
        <w:tc>
          <w:tcPr>
            <w:tcW w:w="1000" w:type="dxa"/>
            <w:vAlign w:val="bottom"/>
            <w:tcBorders>
              <w:bottom w:val="single" w:sz="8" w:color="00539B"/>
            </w:tcBorders>
            <w:shd w:val="clear" w:color="auto" w:fill="E0E3F1"/>
          </w:tcPr>
          <w:p>
            <w:pPr>
              <w:spacing w:after="0"/>
              <w:rPr>
                <w:sz w:val="18"/>
                <w:szCs w:val="18"/>
                <w:color w:val="auto"/>
              </w:rPr>
            </w:pPr>
          </w:p>
        </w:tc>
        <w:tc>
          <w:tcPr>
            <w:tcW w:w="46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7.1</w:t>
            </w:r>
          </w:p>
        </w:tc>
        <w:tc>
          <w:tcPr>
            <w:tcW w:w="14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w w:val="79"/>
              </w:rPr>
              <w:t>%</w:t>
            </w:r>
          </w:p>
        </w:tc>
        <w:tc>
          <w:tcPr>
            <w:tcW w:w="1000" w:type="dxa"/>
            <w:vAlign w:val="bottom"/>
            <w:tcBorders>
              <w:bottom w:val="single" w:sz="8" w:color="00539B"/>
            </w:tcBorders>
          </w:tcPr>
          <w:p>
            <w:pPr>
              <w:spacing w:after="0"/>
              <w:rPr>
                <w:sz w:val="18"/>
                <w:szCs w:val="18"/>
                <w:color w:val="auto"/>
              </w:rPr>
            </w:pPr>
          </w:p>
        </w:tc>
        <w:tc>
          <w:tcPr>
            <w:tcW w:w="60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7.7 %</w:t>
            </w:r>
          </w:p>
        </w:tc>
        <w:tc>
          <w:tcPr>
            <w:tcW w:w="360" w:type="dxa"/>
            <w:vAlign w:val="bottom"/>
            <w:tcBorders>
              <w:bottom w:val="single" w:sz="8" w:color="00539B"/>
            </w:tcBorders>
          </w:tcPr>
          <w:p>
            <w:pPr>
              <w:spacing w:after="0"/>
              <w:rPr>
                <w:sz w:val="18"/>
                <w:szCs w:val="18"/>
                <w:color w:val="auto"/>
              </w:rPr>
            </w:pPr>
          </w:p>
        </w:tc>
        <w:tc>
          <w:tcPr>
            <w:tcW w:w="122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5.4 %</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In November 2025, the Board of Directors approved a 6.7% increase in the quarterly dividend from $0.45 to $0.48 per share.</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Most of our cash is in our subsidiaries outside of the U.S. We manage our worldwide cash requirements by considering available funds among our subsidiaries through which we conduct our business and the cost effectiveness with which those funds can be accessed. Those balances are generally available without legal restrictions to fund ordinary business operations, capital projects, and future acquisitions. As of November 30, 2025, we have $1.7 billion of earnings from our non-U.S. subsidiaries and joint ventures that are considered indefinitely reinvested. We have not provided any deferred taxes with respect to items such as foreign withholding taxes, other income taxes, or foreign exchange gains or losses with respect to these earnings. It is not practicable for us to determine the amount of unrecognized tax expense on these reinvested international earnings.</w:t>
      </w:r>
    </w:p>
    <w:p>
      <w:pPr>
        <w:spacing w:after="0" w:line="12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At November 30, 2025 and 2024, we temporarily used $ 592.5 million and $509.2 million, respectively, of cash from our non-U.S. subsidiaries to pay down short-term debt in the U.S. During the year, our short-term borrowings vary, but are lower at the end of a year or quarter. The average short-term borrowings outstanding for the years ended November 30, 2025, 2024, and 2023 were $1,089.7 million, $1,043.1 million, and $ 1,121.9 million, respectively. Those average short-term borrowings outstanding for the years ended November 30, 2025, 2024, and 2023 included average commercial paper borrowings of $1,087.2 million, $1,033.8 million, and $1,098.4 respectively. The total average debt outstanding for the years ended November 30, 2025, 2024, and 2023 was $4,878.6 million, $4,966.4 million, and $5,197.8 million,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00539B"/>
        </w:rPr>
        <w:t xml:space="preserve">Credit and Capital Markets </w:t>
      </w:r>
      <w:r>
        <w:rPr>
          <w:rFonts w:ascii="Arial" w:cs="Arial" w:eastAsia="Arial" w:hAnsi="Arial"/>
          <w:sz w:val="18"/>
          <w:szCs w:val="18"/>
          <w:color w:val="000000"/>
        </w:rPr>
        <w:t>– The following summarizes the more significant impacts of credit and capital markets on our business:</w:t>
      </w:r>
    </w:p>
    <w:p>
      <w:pPr>
        <w:spacing w:after="0" w:line="17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00539B"/>
        </w:rPr>
        <w:t xml:space="preserve">CREDIT FACILITIES </w:t>
      </w:r>
      <w:r>
        <w:rPr>
          <w:rFonts w:ascii="Arial" w:cs="Arial" w:eastAsia="Arial" w:hAnsi="Arial"/>
          <w:sz w:val="18"/>
          <w:szCs w:val="18"/>
          <w:color w:val="000000"/>
        </w:rPr>
        <w:t>– Cash flows from operating activities are our primary source of liquidity for funding growth, share repurchases,</w:t>
      </w:r>
      <w:r>
        <w:rPr>
          <w:rFonts w:ascii="Arial" w:cs="Arial" w:eastAsia="Arial" w:hAnsi="Arial"/>
          <w:sz w:val="18"/>
          <w:szCs w:val="18"/>
          <w:color w:val="00539B"/>
        </w:rPr>
        <w:t xml:space="preserve"> </w:t>
      </w:r>
      <w:r>
        <w:rPr>
          <w:rFonts w:ascii="Arial" w:cs="Arial" w:eastAsia="Arial" w:hAnsi="Arial"/>
          <w:sz w:val="18"/>
          <w:szCs w:val="18"/>
          <w:color w:val="000000"/>
        </w:rPr>
        <w:t>dividends, and capital expenditures. We also rely on our revolving credit facilities, or borrowings backed by these facilities, to fund working capital needs and other general corporate requirements.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committed revolving credit facilities include a five-year $2.0 billion revolving credit facility, which will expire in May 2030. The current pricing for the five-year credit facility, on a fully drawn basis, is Term SOFR plus 1.125%. The pricing of that credit facility is based on a credit rating grid that contains a fully drawn maximum pricing of the credit facility equal to Term SOFR plus 1.50%. Also, in January 2026, we entered into a 364-day $500 million revolving credit facility, which will expire in January 2027. The current pricing for the 364-day credit facility, on a fully drawn basis, is Term SOFR plus 1.125%. The pricing of the credit facility is based on a credit rating grid that contains a fully drawn maximum pricing of the credit facility equal to Term SOFR plus 1.50%.</w:t>
      </w:r>
    </w:p>
    <w:p>
      <w:pPr>
        <w:spacing w:after="0" w:line="12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provisions of our revolving credit facilities restrict subsidiary indebtedness and require us to maintain a minimum interest coverage ratio. We do not expect that this covenant would limit our access to our revolving credit facilities for the foreseeable future. The terms of those revolving credit facilities are more fully described in Note 5 of the notes to the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2"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We generally use our revolving credit facilities to support our issuance of commercial paper. If the commercial paper market is not available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or viable, we could borrow directly under our revolving credit facilities. These facilities are made available by a syndicate of banks, with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various commitments per bank. If any of the banks in these syndicates are unable to perform on their commitments, our liquidity could be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impacted, which could reduce our ability to grow through funding of seasonal working capital. We engage in regular communication with all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banks participating in our credit facilities. During these communications, none of the banks have indicated that they may be unable to perform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 their commitments. In addition, we periodically review our banking and financing relationships, considering the stability of the institutions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other aspects of the relationships. Based on these communications and our monitoring activities, we believe our banks will perform 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their commitments. In addition to our committed revolving credit facilities, we have uncommitted facilities of $346.9 million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30, 2025 that can be withdrawn based upon the lenders' discretion. See Note 5 of notes to our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more details on our financing arrangements.</w:t>
      </w:r>
    </w:p>
    <w:p>
      <w:pPr>
        <w:spacing w:after="0" w:line="15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will continue to have cash requirements to support seasonal working capital needs and capital expenditures, to pay interest, to service debt, and to fund acquisitions. As part of our ongoing operations, we enter into contractual arrangements that obligate us to make future cash payments. Our primary obligations include principal and interest payments on our outstanding short-term borrowings and long-term debt. In the next year, our most significant debt service obligation is the maturity of our $500.0 million, 0.90% notes due in February 2026. Detail on these contractual obligations follows: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00539B"/>
        </w:rPr>
        <w:t>MATERIAL CASH REQUIREMENTS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a summary of our future material cash requirements as of November 30, 2025:</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60" w:type="dxa"/>
            <w:vAlign w:val="bottom"/>
            <w:tcBorders>
              <w:top w:val="single" w:sz="8" w:color="00539B"/>
            </w:tcBorders>
          </w:tcPr>
          <w:p>
            <w:pPr>
              <w:spacing w:after="0"/>
              <w:rPr>
                <w:sz w:val="15"/>
                <w:szCs w:val="15"/>
                <w:color w:val="auto"/>
              </w:rPr>
            </w:pPr>
          </w:p>
        </w:tc>
        <w:tc>
          <w:tcPr>
            <w:tcW w:w="1400" w:type="dxa"/>
            <w:vAlign w:val="bottom"/>
            <w:tcBorders>
              <w:top w:val="single" w:sz="8" w:color="00539B"/>
            </w:tcBorders>
          </w:tcPr>
          <w:p>
            <w:pPr>
              <w:spacing w:after="0"/>
              <w:rPr>
                <w:sz w:val="15"/>
                <w:szCs w:val="15"/>
                <w:color w:val="auto"/>
              </w:rPr>
            </w:pPr>
          </w:p>
        </w:tc>
        <w:tc>
          <w:tcPr>
            <w:tcW w:w="960" w:type="dxa"/>
            <w:vAlign w:val="bottom"/>
            <w:tcBorders>
              <w:top w:val="single" w:sz="8" w:color="00539B"/>
            </w:tcBorders>
            <w:vMerge w:val="restart"/>
          </w:tcPr>
          <w:p>
            <w:pPr>
              <w:jc w:val="right"/>
              <w:ind w:right="388"/>
              <w:spacing w:after="0"/>
              <w:rPr>
                <w:sz w:val="20"/>
                <w:szCs w:val="20"/>
                <w:color w:val="auto"/>
              </w:rPr>
            </w:pPr>
            <w:r>
              <w:rPr>
                <w:rFonts w:ascii="Arial" w:cs="Arial" w:eastAsia="Arial" w:hAnsi="Arial"/>
                <w:sz w:val="14"/>
                <w:szCs w:val="14"/>
                <w:color w:val="auto"/>
              </w:rPr>
              <w:t>Total</w:t>
            </w:r>
          </w:p>
        </w:tc>
        <w:tc>
          <w:tcPr>
            <w:tcW w:w="220" w:type="dxa"/>
            <w:vAlign w:val="bottom"/>
            <w:tcBorders>
              <w:top w:val="single" w:sz="8" w:color="00539B"/>
            </w:tcBorders>
          </w:tcPr>
          <w:p>
            <w:pPr>
              <w:spacing w:after="0"/>
              <w:rPr>
                <w:sz w:val="15"/>
                <w:szCs w:val="15"/>
                <w:color w:val="auto"/>
              </w:rPr>
            </w:pPr>
          </w:p>
        </w:tc>
        <w:tc>
          <w:tcPr>
            <w:tcW w:w="1040" w:type="dxa"/>
            <w:vAlign w:val="bottom"/>
            <w:tcBorders>
              <w:top w:val="single" w:sz="8" w:color="00539B"/>
            </w:tcBorders>
          </w:tcPr>
          <w:p>
            <w:pPr>
              <w:jc w:val="right"/>
              <w:ind w:right="228"/>
              <w:spacing w:after="0"/>
              <w:rPr>
                <w:sz w:val="20"/>
                <w:szCs w:val="20"/>
                <w:color w:val="auto"/>
              </w:rPr>
            </w:pPr>
            <w:r>
              <w:rPr>
                <w:rFonts w:ascii="Arial" w:cs="Arial" w:eastAsia="Arial" w:hAnsi="Arial"/>
                <w:sz w:val="14"/>
                <w:szCs w:val="14"/>
                <w:color w:val="auto"/>
              </w:rPr>
              <w:t>Less than</w:t>
            </w:r>
          </w:p>
        </w:tc>
        <w:tc>
          <w:tcPr>
            <w:tcW w:w="300" w:type="dxa"/>
            <w:vAlign w:val="bottom"/>
            <w:tcBorders>
              <w:top w:val="single" w:sz="8" w:color="00539B"/>
            </w:tcBorders>
          </w:tcPr>
          <w:p>
            <w:pPr>
              <w:spacing w:after="0"/>
              <w:rPr>
                <w:sz w:val="15"/>
                <w:szCs w:val="15"/>
                <w:color w:val="auto"/>
              </w:rPr>
            </w:pPr>
          </w:p>
        </w:tc>
        <w:tc>
          <w:tcPr>
            <w:tcW w:w="960" w:type="dxa"/>
            <w:vAlign w:val="bottom"/>
            <w:tcBorders>
              <w:top w:val="single" w:sz="8" w:color="00539B"/>
            </w:tcBorders>
          </w:tcPr>
          <w:p>
            <w:pPr>
              <w:jc w:val="right"/>
              <w:ind w:right="448"/>
              <w:spacing w:after="0"/>
              <w:rPr>
                <w:sz w:val="20"/>
                <w:szCs w:val="20"/>
                <w:color w:val="auto"/>
              </w:rPr>
            </w:pPr>
            <w:r>
              <w:rPr>
                <w:rFonts w:ascii="Arial" w:cs="Arial" w:eastAsia="Arial" w:hAnsi="Arial"/>
                <w:sz w:val="14"/>
                <w:szCs w:val="14"/>
                <w:color w:val="auto"/>
              </w:rPr>
              <w:t>1–3</w:t>
            </w:r>
          </w:p>
        </w:tc>
        <w:tc>
          <w:tcPr>
            <w:tcW w:w="300" w:type="dxa"/>
            <w:vAlign w:val="bottom"/>
            <w:tcBorders>
              <w:top w:val="single" w:sz="8" w:color="00539B"/>
            </w:tcBorders>
          </w:tcPr>
          <w:p>
            <w:pPr>
              <w:spacing w:after="0"/>
              <w:rPr>
                <w:sz w:val="15"/>
                <w:szCs w:val="15"/>
                <w:color w:val="auto"/>
              </w:rPr>
            </w:pPr>
          </w:p>
        </w:tc>
        <w:tc>
          <w:tcPr>
            <w:tcW w:w="960" w:type="dxa"/>
            <w:vAlign w:val="bottom"/>
            <w:tcBorders>
              <w:top w:val="single" w:sz="8" w:color="00539B"/>
            </w:tcBorders>
          </w:tcPr>
          <w:p>
            <w:pPr>
              <w:jc w:val="right"/>
              <w:ind w:right="448"/>
              <w:spacing w:after="0"/>
              <w:rPr>
                <w:sz w:val="20"/>
                <w:szCs w:val="20"/>
                <w:color w:val="auto"/>
              </w:rPr>
            </w:pPr>
            <w:r>
              <w:rPr>
                <w:rFonts w:ascii="Arial" w:cs="Arial" w:eastAsia="Arial" w:hAnsi="Arial"/>
                <w:sz w:val="14"/>
                <w:szCs w:val="14"/>
                <w:color w:val="auto"/>
              </w:rPr>
              <w:t>3–5</w:t>
            </w:r>
          </w:p>
        </w:tc>
        <w:tc>
          <w:tcPr>
            <w:tcW w:w="240" w:type="dxa"/>
            <w:vAlign w:val="bottom"/>
            <w:tcBorders>
              <w:top w:val="single" w:sz="8" w:color="00539B"/>
            </w:tcBorders>
          </w:tcPr>
          <w:p>
            <w:pPr>
              <w:spacing w:after="0"/>
              <w:rPr>
                <w:sz w:val="15"/>
                <w:szCs w:val="15"/>
                <w:color w:val="auto"/>
              </w:rPr>
            </w:pPr>
          </w:p>
        </w:tc>
        <w:tc>
          <w:tcPr>
            <w:tcW w:w="1060" w:type="dxa"/>
            <w:vAlign w:val="bottom"/>
            <w:tcBorders>
              <w:top w:val="single" w:sz="8" w:color="00539B"/>
            </w:tcBorders>
          </w:tcPr>
          <w:p>
            <w:pPr>
              <w:jc w:val="right"/>
              <w:ind w:right="248"/>
              <w:spacing w:after="0"/>
              <w:rPr>
                <w:sz w:val="20"/>
                <w:szCs w:val="20"/>
                <w:color w:val="auto"/>
              </w:rPr>
            </w:pPr>
            <w:r>
              <w:rPr>
                <w:rFonts w:ascii="Arial" w:cs="Arial" w:eastAsia="Arial" w:hAnsi="Arial"/>
                <w:sz w:val="14"/>
                <w:szCs w:val="14"/>
                <w:color w:val="auto"/>
              </w:rPr>
              <w:t>More than</w:t>
            </w:r>
          </w:p>
        </w:tc>
        <w:tc>
          <w:tcPr>
            <w:tcW w:w="0" w:type="dxa"/>
            <w:vAlign w:val="bottom"/>
          </w:tcPr>
          <w:p>
            <w:pPr>
              <w:spacing w:after="0"/>
              <w:rPr>
                <w:sz w:val="1"/>
                <w:szCs w:val="1"/>
                <w:color w:val="auto"/>
              </w:rPr>
            </w:pPr>
          </w:p>
        </w:tc>
      </w:tr>
      <w:tr>
        <w:trPr>
          <w:trHeight w:val="189"/>
        </w:trPr>
        <w:tc>
          <w:tcPr>
            <w:tcW w:w="3760" w:type="dxa"/>
            <w:vAlign w:val="bottom"/>
            <w:tcBorders>
              <w:bottom w:val="single" w:sz="8" w:color="00539B"/>
            </w:tcBorders>
          </w:tcPr>
          <w:p>
            <w:pPr>
              <w:spacing w:after="0"/>
              <w:rPr>
                <w:sz w:val="16"/>
                <w:szCs w:val="16"/>
                <w:color w:val="auto"/>
              </w:rPr>
            </w:pPr>
          </w:p>
        </w:tc>
        <w:tc>
          <w:tcPr>
            <w:tcW w:w="1400" w:type="dxa"/>
            <w:vAlign w:val="bottom"/>
            <w:tcBorders>
              <w:bottom w:val="single" w:sz="8" w:color="00539B"/>
            </w:tcBorders>
          </w:tcPr>
          <w:p>
            <w:pPr>
              <w:spacing w:after="0"/>
              <w:rPr>
                <w:sz w:val="16"/>
                <w:szCs w:val="16"/>
                <w:color w:val="auto"/>
              </w:rPr>
            </w:pPr>
          </w:p>
        </w:tc>
        <w:tc>
          <w:tcPr>
            <w:tcW w:w="960" w:type="dxa"/>
            <w:vAlign w:val="bottom"/>
            <w:tcBorders>
              <w:bottom w:val="single" w:sz="8" w:color="00539B"/>
            </w:tcBorders>
            <w:vMerge w:val="continue"/>
          </w:tcPr>
          <w:p>
            <w:pPr>
              <w:spacing w:after="0"/>
              <w:rPr>
                <w:sz w:val="16"/>
                <w:szCs w:val="16"/>
                <w:color w:val="auto"/>
              </w:rPr>
            </w:pPr>
          </w:p>
        </w:tc>
        <w:tc>
          <w:tcPr>
            <w:tcW w:w="220" w:type="dxa"/>
            <w:vAlign w:val="bottom"/>
            <w:tcBorders>
              <w:bottom w:val="single" w:sz="8" w:color="00539B"/>
            </w:tcBorders>
          </w:tcPr>
          <w:p>
            <w:pPr>
              <w:spacing w:after="0"/>
              <w:rPr>
                <w:sz w:val="16"/>
                <w:szCs w:val="16"/>
                <w:color w:val="auto"/>
              </w:rPr>
            </w:pPr>
          </w:p>
        </w:tc>
        <w:tc>
          <w:tcPr>
            <w:tcW w:w="1040" w:type="dxa"/>
            <w:vAlign w:val="bottom"/>
            <w:tcBorders>
              <w:bottom w:val="single" w:sz="8" w:color="00539B"/>
            </w:tcBorders>
          </w:tcPr>
          <w:p>
            <w:pPr>
              <w:jc w:val="right"/>
              <w:ind w:right="388"/>
              <w:spacing w:after="0"/>
              <w:rPr>
                <w:sz w:val="20"/>
                <w:szCs w:val="20"/>
                <w:color w:val="auto"/>
              </w:rPr>
            </w:pPr>
            <w:r>
              <w:rPr>
                <w:rFonts w:ascii="Arial" w:cs="Arial" w:eastAsia="Arial" w:hAnsi="Arial"/>
                <w:sz w:val="14"/>
                <w:szCs w:val="14"/>
                <w:color w:val="auto"/>
              </w:rPr>
              <w:t>1 year</w:t>
            </w:r>
          </w:p>
        </w:tc>
        <w:tc>
          <w:tcPr>
            <w:tcW w:w="300" w:type="dxa"/>
            <w:vAlign w:val="bottom"/>
            <w:tcBorders>
              <w:bottom w:val="single" w:sz="8" w:color="00539B"/>
            </w:tcBorders>
          </w:tcPr>
          <w:p>
            <w:pPr>
              <w:spacing w:after="0"/>
              <w:rPr>
                <w:sz w:val="16"/>
                <w:szCs w:val="16"/>
                <w:color w:val="auto"/>
              </w:rPr>
            </w:pPr>
          </w:p>
        </w:tc>
        <w:tc>
          <w:tcPr>
            <w:tcW w:w="960" w:type="dxa"/>
            <w:vAlign w:val="bottom"/>
            <w:tcBorders>
              <w:bottom w:val="single" w:sz="8" w:color="00539B"/>
            </w:tcBorders>
          </w:tcPr>
          <w:p>
            <w:pPr>
              <w:jc w:val="right"/>
              <w:ind w:right="368"/>
              <w:spacing w:after="0"/>
              <w:rPr>
                <w:sz w:val="20"/>
                <w:szCs w:val="20"/>
                <w:color w:val="auto"/>
              </w:rPr>
            </w:pPr>
            <w:r>
              <w:rPr>
                <w:rFonts w:ascii="Arial" w:cs="Arial" w:eastAsia="Arial" w:hAnsi="Arial"/>
                <w:sz w:val="14"/>
                <w:szCs w:val="14"/>
                <w:color w:val="auto"/>
              </w:rPr>
              <w:t>years</w:t>
            </w:r>
          </w:p>
        </w:tc>
        <w:tc>
          <w:tcPr>
            <w:tcW w:w="300" w:type="dxa"/>
            <w:vAlign w:val="bottom"/>
            <w:tcBorders>
              <w:bottom w:val="single" w:sz="8" w:color="00539B"/>
            </w:tcBorders>
          </w:tcPr>
          <w:p>
            <w:pPr>
              <w:spacing w:after="0"/>
              <w:rPr>
                <w:sz w:val="16"/>
                <w:szCs w:val="16"/>
                <w:color w:val="auto"/>
              </w:rPr>
            </w:pPr>
          </w:p>
        </w:tc>
        <w:tc>
          <w:tcPr>
            <w:tcW w:w="960" w:type="dxa"/>
            <w:vAlign w:val="bottom"/>
            <w:tcBorders>
              <w:bottom w:val="single" w:sz="8" w:color="00539B"/>
            </w:tcBorders>
          </w:tcPr>
          <w:p>
            <w:pPr>
              <w:jc w:val="right"/>
              <w:ind w:right="348"/>
              <w:spacing w:after="0"/>
              <w:rPr>
                <w:sz w:val="20"/>
                <w:szCs w:val="20"/>
                <w:color w:val="auto"/>
              </w:rPr>
            </w:pPr>
            <w:r>
              <w:rPr>
                <w:rFonts w:ascii="Arial" w:cs="Arial" w:eastAsia="Arial" w:hAnsi="Arial"/>
                <w:sz w:val="14"/>
                <w:szCs w:val="14"/>
                <w:color w:val="auto"/>
              </w:rPr>
              <w:t>years</w:t>
            </w:r>
          </w:p>
        </w:tc>
        <w:tc>
          <w:tcPr>
            <w:tcW w:w="240" w:type="dxa"/>
            <w:vAlign w:val="bottom"/>
            <w:tcBorders>
              <w:bottom w:val="single" w:sz="8" w:color="00539B"/>
            </w:tcBorders>
          </w:tcPr>
          <w:p>
            <w:pPr>
              <w:spacing w:after="0"/>
              <w:rPr>
                <w:sz w:val="16"/>
                <w:szCs w:val="16"/>
                <w:color w:val="auto"/>
              </w:rPr>
            </w:pPr>
          </w:p>
        </w:tc>
        <w:tc>
          <w:tcPr>
            <w:tcW w:w="1060" w:type="dxa"/>
            <w:vAlign w:val="bottom"/>
            <w:tcBorders>
              <w:bottom w:val="single" w:sz="8" w:color="00539B"/>
            </w:tcBorders>
          </w:tcPr>
          <w:p>
            <w:pPr>
              <w:jc w:val="right"/>
              <w:ind w:right="328"/>
              <w:spacing w:after="0"/>
              <w:rPr>
                <w:sz w:val="20"/>
                <w:szCs w:val="20"/>
                <w:color w:val="auto"/>
              </w:rPr>
            </w:pPr>
            <w:r>
              <w:rPr>
                <w:rFonts w:ascii="Arial" w:cs="Arial" w:eastAsia="Arial" w:hAnsi="Arial"/>
                <w:sz w:val="14"/>
                <w:szCs w:val="14"/>
                <w:color w:val="auto"/>
              </w:rPr>
              <w:t>5 years</w:t>
            </w:r>
          </w:p>
        </w:tc>
        <w:tc>
          <w:tcPr>
            <w:tcW w:w="0" w:type="dxa"/>
            <w:vAlign w:val="bottom"/>
          </w:tcPr>
          <w:p>
            <w:pPr>
              <w:spacing w:after="0"/>
              <w:rPr>
                <w:sz w:val="1"/>
                <w:szCs w:val="1"/>
                <w:color w:val="auto"/>
              </w:rPr>
            </w:pPr>
          </w:p>
        </w:tc>
      </w:tr>
      <w:tr>
        <w:trPr>
          <w:trHeight w:val="188"/>
        </w:trPr>
        <w:tc>
          <w:tcPr>
            <w:tcW w:w="3760" w:type="dxa"/>
            <w:vAlign w:val="bottom"/>
          </w:tcPr>
          <w:p>
            <w:pPr>
              <w:ind w:left="20"/>
              <w:spacing w:after="0"/>
              <w:rPr>
                <w:sz w:val="20"/>
                <w:szCs w:val="20"/>
                <w:color w:val="auto"/>
              </w:rPr>
            </w:pPr>
            <w:r>
              <w:rPr>
                <w:rFonts w:ascii="Arial" w:cs="Arial" w:eastAsia="Arial" w:hAnsi="Arial"/>
                <w:sz w:val="14"/>
                <w:szCs w:val="14"/>
                <w:color w:val="auto"/>
              </w:rPr>
              <w:t>Short-term borrowings</w:t>
            </w:r>
          </w:p>
        </w:tc>
        <w:tc>
          <w:tcPr>
            <w:tcW w:w="14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381.4</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381.4</w:t>
            </w: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08"/>
              <w:spacing w:after="0"/>
              <w:rPr>
                <w:sz w:val="20"/>
                <w:szCs w:val="20"/>
                <w:color w:val="auto"/>
              </w:rPr>
            </w:pPr>
            <w:r>
              <w:rPr>
                <w:rFonts w:ascii="Arial" w:cs="Arial" w:eastAsia="Arial" w:hAnsi="Arial"/>
                <w:sz w:val="14"/>
                <w:szCs w:val="14"/>
                <w:color w:val="auto"/>
              </w:rPr>
              <w:t>— $</w:t>
            </w:r>
          </w:p>
        </w:tc>
        <w:tc>
          <w:tcPr>
            <w:tcW w:w="1200" w:type="dxa"/>
            <w:vAlign w:val="bottom"/>
            <w:gridSpan w:val="2"/>
          </w:tcPr>
          <w:p>
            <w:pPr>
              <w:jc w:val="right"/>
              <w:ind w:right="48"/>
              <w:spacing w:after="0"/>
              <w:rPr>
                <w:sz w:val="20"/>
                <w:szCs w:val="20"/>
                <w:color w:val="auto"/>
              </w:rPr>
            </w:pPr>
            <w:r>
              <w:rPr>
                <w:rFonts w:ascii="Arial" w:cs="Arial" w:eastAsia="Arial" w:hAnsi="Arial"/>
                <w:sz w:val="14"/>
                <w:szCs w:val="14"/>
                <w:color w:val="auto"/>
              </w:rPr>
              <w:t>— $</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3760" w:type="dxa"/>
            <w:vAlign w:val="bottom"/>
          </w:tcPr>
          <w:p>
            <w:pPr>
              <w:ind w:left="20"/>
              <w:spacing w:after="0"/>
              <w:rPr>
                <w:sz w:val="20"/>
                <w:szCs w:val="20"/>
                <w:color w:val="auto"/>
              </w:rPr>
            </w:pPr>
            <w:r>
              <w:rPr>
                <w:rFonts w:ascii="Arial" w:cs="Arial" w:eastAsia="Arial" w:hAnsi="Arial"/>
                <w:sz w:val="14"/>
                <w:szCs w:val="14"/>
                <w:color w:val="auto"/>
              </w:rPr>
              <w:t>Long-term debt, including finance leases</w:t>
            </w:r>
          </w:p>
        </w:tc>
        <w:tc>
          <w:tcPr>
            <w:tcW w:w="14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3,654.7</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509.1</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770.2</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532.3</w:t>
            </w: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1,843.1</w:t>
            </w:r>
          </w:p>
        </w:tc>
        <w:tc>
          <w:tcPr>
            <w:tcW w:w="0" w:type="dxa"/>
            <w:vAlign w:val="bottom"/>
          </w:tcPr>
          <w:p>
            <w:pPr>
              <w:spacing w:after="0"/>
              <w:rPr>
                <w:sz w:val="1"/>
                <w:szCs w:val="1"/>
                <w:color w:val="auto"/>
              </w:rPr>
            </w:pPr>
          </w:p>
        </w:tc>
      </w:tr>
      <w:tr>
        <w:trPr>
          <w:trHeight w:val="237"/>
        </w:trPr>
        <w:tc>
          <w:tcPr>
            <w:tcW w:w="3760" w:type="dxa"/>
            <w:vAlign w:val="bottom"/>
            <w:tcBorders>
              <w:bottom w:val="single" w:sz="8" w:color="00539B"/>
            </w:tcBorders>
          </w:tcPr>
          <w:p>
            <w:pPr>
              <w:ind w:left="20"/>
              <w:spacing w:after="0" w:line="237" w:lineRule="exact"/>
              <w:rPr>
                <w:sz w:val="20"/>
                <w:szCs w:val="20"/>
                <w:color w:val="auto"/>
              </w:rPr>
            </w:pPr>
            <w:r>
              <w:rPr>
                <w:rFonts w:ascii="Arial" w:cs="Arial" w:eastAsia="Arial" w:hAnsi="Arial"/>
                <w:sz w:val="14"/>
                <w:szCs w:val="14"/>
                <w:color w:val="auto"/>
              </w:rPr>
              <w:t>Interest payments</w:t>
            </w:r>
            <w:r>
              <w:rPr>
                <w:rFonts w:ascii="Arial" w:cs="Arial" w:eastAsia="Arial" w:hAnsi="Arial"/>
                <w:sz w:val="23"/>
                <w:szCs w:val="23"/>
                <w:color w:val="auto"/>
                <w:vertAlign w:val="superscript"/>
              </w:rPr>
              <w:t>(a)</w:t>
            </w:r>
          </w:p>
        </w:tc>
        <w:tc>
          <w:tcPr>
            <w:tcW w:w="1400" w:type="dxa"/>
            <w:vAlign w:val="bottom"/>
            <w:tcBorders>
              <w:bottom w:val="single" w:sz="8" w:color="00539B"/>
            </w:tcBorders>
          </w:tcPr>
          <w:p>
            <w:pPr>
              <w:spacing w:after="0"/>
              <w:rPr>
                <w:sz w:val="20"/>
                <w:szCs w:val="20"/>
                <w:color w:val="auto"/>
              </w:rPr>
            </w:pPr>
          </w:p>
        </w:tc>
        <w:tc>
          <w:tcPr>
            <w:tcW w:w="96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834.7</w:t>
            </w:r>
          </w:p>
        </w:tc>
        <w:tc>
          <w:tcPr>
            <w:tcW w:w="220" w:type="dxa"/>
            <w:vAlign w:val="bottom"/>
            <w:tcBorders>
              <w:bottom w:val="single" w:sz="8" w:color="00539B"/>
            </w:tcBorders>
          </w:tcPr>
          <w:p>
            <w:pPr>
              <w:spacing w:after="0"/>
              <w:rPr>
                <w:sz w:val="20"/>
                <w:szCs w:val="20"/>
                <w:color w:val="auto"/>
              </w:rPr>
            </w:pPr>
          </w:p>
        </w:tc>
        <w:tc>
          <w:tcPr>
            <w:tcW w:w="104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110.4</w:t>
            </w:r>
          </w:p>
        </w:tc>
        <w:tc>
          <w:tcPr>
            <w:tcW w:w="300" w:type="dxa"/>
            <w:vAlign w:val="bottom"/>
            <w:tcBorders>
              <w:bottom w:val="single" w:sz="8" w:color="00539B"/>
            </w:tcBorders>
          </w:tcPr>
          <w:p>
            <w:pPr>
              <w:spacing w:after="0"/>
              <w:rPr>
                <w:sz w:val="20"/>
                <w:szCs w:val="20"/>
                <w:color w:val="auto"/>
              </w:rPr>
            </w:pPr>
          </w:p>
        </w:tc>
        <w:tc>
          <w:tcPr>
            <w:tcW w:w="96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190.7</w:t>
            </w:r>
          </w:p>
        </w:tc>
        <w:tc>
          <w:tcPr>
            <w:tcW w:w="300" w:type="dxa"/>
            <w:vAlign w:val="bottom"/>
            <w:tcBorders>
              <w:bottom w:val="single" w:sz="8" w:color="00539B"/>
            </w:tcBorders>
          </w:tcPr>
          <w:p>
            <w:pPr>
              <w:spacing w:after="0"/>
              <w:rPr>
                <w:sz w:val="20"/>
                <w:szCs w:val="20"/>
                <w:color w:val="auto"/>
              </w:rPr>
            </w:pPr>
          </w:p>
        </w:tc>
        <w:tc>
          <w:tcPr>
            <w:tcW w:w="96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224.4</w:t>
            </w:r>
          </w:p>
        </w:tc>
        <w:tc>
          <w:tcPr>
            <w:tcW w:w="240" w:type="dxa"/>
            <w:vAlign w:val="bottom"/>
            <w:tcBorders>
              <w:bottom w:val="single" w:sz="8" w:color="00539B"/>
            </w:tcBorders>
          </w:tcPr>
          <w:p>
            <w:pPr>
              <w:spacing w:after="0"/>
              <w:rPr>
                <w:sz w:val="20"/>
                <w:szCs w:val="20"/>
                <w:color w:val="auto"/>
              </w:rPr>
            </w:pPr>
          </w:p>
        </w:tc>
        <w:tc>
          <w:tcPr>
            <w:tcW w:w="106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309.2</w:t>
            </w:r>
          </w:p>
        </w:tc>
        <w:tc>
          <w:tcPr>
            <w:tcW w:w="0" w:type="dxa"/>
            <w:vAlign w:val="bottom"/>
          </w:tcPr>
          <w:p>
            <w:pPr>
              <w:spacing w:after="0"/>
              <w:rPr>
                <w:sz w:val="1"/>
                <w:szCs w:val="1"/>
                <w:color w:val="auto"/>
              </w:rPr>
            </w:pPr>
          </w:p>
        </w:tc>
      </w:tr>
      <w:tr>
        <w:trPr>
          <w:trHeight w:val="203"/>
        </w:trPr>
        <w:tc>
          <w:tcPr>
            <w:tcW w:w="376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Total contractual cash obligations</w:t>
            </w:r>
          </w:p>
        </w:tc>
        <w:tc>
          <w:tcPr>
            <w:tcW w:w="1400" w:type="dxa"/>
            <w:vAlign w:val="bottom"/>
            <w:tcBorders>
              <w:bottom w:val="single" w:sz="8" w:color="00539B"/>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4,870.8</w:t>
            </w:r>
          </w:p>
        </w:tc>
        <w:tc>
          <w:tcPr>
            <w:tcW w:w="220" w:type="dxa"/>
            <w:vAlign w:val="bottom"/>
            <w:tcBorders>
              <w:bottom w:val="single" w:sz="8" w:color="00539B"/>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1,000.9</w:t>
            </w:r>
          </w:p>
        </w:tc>
        <w:tc>
          <w:tcPr>
            <w:tcW w:w="300" w:type="dxa"/>
            <w:vAlign w:val="bottom"/>
            <w:tcBorders>
              <w:bottom w:val="single" w:sz="8" w:color="00539B"/>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960.9</w:t>
            </w:r>
          </w:p>
        </w:tc>
        <w:tc>
          <w:tcPr>
            <w:tcW w:w="300" w:type="dxa"/>
            <w:vAlign w:val="bottom"/>
            <w:tcBorders>
              <w:bottom w:val="single" w:sz="8" w:color="00539B"/>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756.7</w:t>
            </w:r>
          </w:p>
        </w:tc>
        <w:tc>
          <w:tcPr>
            <w:tcW w:w="240" w:type="dxa"/>
            <w:vAlign w:val="bottom"/>
            <w:tcBorders>
              <w:bottom w:val="single" w:sz="8" w:color="00539B"/>
            </w:tcBorders>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2,152.3</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380" w:right="700" w:hanging="332"/>
        <w:spacing w:after="0" w:line="305" w:lineRule="auto"/>
        <w:tabs>
          <w:tab w:leader="none" w:pos="367"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Interest payments include expected interest payments on long-term debt. Our short-term borrowings, principally consisting of commercial paper, have short-term maturities. See Note 5 of notes to our consolidated financial statements for additional information.</w:t>
      </w:r>
    </w:p>
    <w:p>
      <w:pPr>
        <w:spacing w:after="0" w:line="94"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Our other cash requirements at November 30, 2025, include raw material purchases, lease payments, income taxes, and pension and postretirement benefits. We acquire various raw materials to satisfy our obligations to our customers, and these outstanding purchase obligations can fluctuate throughout the year based on our response to varying raw material cycles; however, these commitments generally do not extend past one year. In addition, we also have a series of commercial commitments, largely consisting of standby letters of credit. Our standby letters of credit, leases, and pension and other post-retirement obligations are more fully described in Notes 5, 6, and 10, respectively, of notes to our consolidated financial statements.</w:t>
      </w:r>
    </w:p>
    <w:p>
      <w:pPr>
        <w:spacing w:after="0" w:line="128"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On January 2, 2026, we acquired an additional 25% ownership interest in McCormick de Mexico from Grupo Herdez, for $ 750 million which increased our ownership interest to a 75% controlling interest. The purchase of the additional 25% ownership interest was funded through a combination of cash on hand and commercial paper.</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These obligations impact our liquidity and capital resource needs. To meet those cash requirements, we intend to use our existing cash, cash equivalents and internally generated funds, to borrow under our existing credit facilities or under other short-term borrowing facilities, and depending on market conditions and upon the significance of the cost of a particular debt maturity or acquisition to our then-available sources of funds, to obtain additional short- and long-term financing. We believe that cash provided from these sources will be adequate to meet our future cash requirements.</w:t>
      </w:r>
    </w:p>
    <w:p>
      <w:pPr>
        <w:spacing w:after="0" w:line="12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00539B"/>
        </w:rPr>
        <w:t xml:space="preserve">PENSION ASSETS AND OTHER INVESTMENTS </w:t>
      </w:r>
      <w:r>
        <w:rPr>
          <w:rFonts w:ascii="Arial" w:cs="Arial" w:eastAsia="Arial" w:hAnsi="Arial"/>
          <w:sz w:val="18"/>
          <w:szCs w:val="18"/>
          <w:color w:val="000000"/>
        </w:rPr>
        <w:t>– We hold investments in equity and debt securities in both our qualified defined benefit</w:t>
      </w:r>
      <w:r>
        <w:rPr>
          <w:rFonts w:ascii="Arial" w:cs="Arial" w:eastAsia="Arial" w:hAnsi="Arial"/>
          <w:sz w:val="18"/>
          <w:szCs w:val="18"/>
          <w:color w:val="00539B"/>
        </w:rPr>
        <w:t xml:space="preserve"> </w:t>
      </w:r>
      <w:r>
        <w:rPr>
          <w:rFonts w:ascii="Arial" w:cs="Arial" w:eastAsia="Arial" w:hAnsi="Arial"/>
          <w:sz w:val="18"/>
          <w:szCs w:val="18"/>
          <w:color w:val="000000"/>
        </w:rPr>
        <w:t>pension plans and through a rabbi trust for our nonqualified defined benefit pension plan. Cash contributions to pension plans, including unfunded plans, were $9.2 million in 2025, $10.0 million in 2024, and $9.2 million in 2023. It is expected that the 2026 total pension plan contributions will be approximately $13.0 million. Future increases or decreases in pension liabilities and required cash contributions are highly dependent upon changes in interest rates and the actual return on plan assets. We base our investment of plan assets, in part, on the duration of each plan’s liabilities. Across all of our qualified defined benefit pension plans, approximately 16% of assets are invested in equities, 77% in fixed income investments and 7% in other investments. Assets associated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36" w:name="page37"/>
    <w:bookmarkEnd w:id="36"/>
    <w:p>
      <w:pPr>
        <w:jc w:val="both"/>
        <w:ind w:right="20"/>
        <w:spacing w:after="0" w:line="268" w:lineRule="auto"/>
        <w:rPr>
          <w:sz w:val="20"/>
          <w:szCs w:val="20"/>
          <w:color w:val="auto"/>
        </w:rPr>
      </w:pPr>
      <w:r>
        <w:rPr>
          <w:rFonts w:ascii="Arial" w:cs="Arial" w:eastAsia="Arial" w:hAnsi="Arial"/>
          <w:sz w:val="18"/>
          <w:szCs w:val="18"/>
          <w:color w:val="auto"/>
        </w:rPr>
        <w:t>with our nonqualified defined benefit pension plan are primarily invested in corporate-owned life insurance, the value of which approximates an investment mix of 40% in equities and 60% in fixed income investments. See Note 10 of notes to our consolidated financial statements, which provides details on our pension funding.</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00539B"/>
        </w:rPr>
        <w:t xml:space="preserve">CUSTOMERS AND COUNTERPARTIES </w:t>
      </w:r>
      <w:r>
        <w:rPr>
          <w:rFonts w:ascii="Arial" w:cs="Arial" w:eastAsia="Arial" w:hAnsi="Arial"/>
          <w:sz w:val="18"/>
          <w:szCs w:val="18"/>
          <w:color w:val="000000"/>
        </w:rPr>
        <w:t>– See the subsequent section of this discussion under the heading "Market Risk Sensitivity–Credit</w:t>
      </w:r>
      <w:r>
        <w:rPr>
          <w:rFonts w:ascii="Arial" w:cs="Arial" w:eastAsia="Arial" w:hAnsi="Arial"/>
          <w:sz w:val="18"/>
          <w:szCs w:val="18"/>
          <w:color w:val="00539B"/>
        </w:rPr>
        <w:t xml:space="preserve"> </w:t>
      </w:r>
      <w:r>
        <w:rPr>
          <w:rFonts w:ascii="Arial" w:cs="Arial" w:eastAsia="Arial" w:hAnsi="Arial"/>
          <w:sz w:val="18"/>
          <w:szCs w:val="18"/>
          <w:color w:val="000000"/>
        </w:rPr>
        <w:t>Risk."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539B"/>
        </w:rPr>
        <w:t>PERFORMANCE GRAPH — SHAREHOLDER RETURN</w:t>
      </w:r>
    </w:p>
    <w:p>
      <w:pPr>
        <w:spacing w:after="0" w:line="104" w:lineRule="exact"/>
        <w:rPr>
          <w:sz w:val="20"/>
          <w:szCs w:val="20"/>
          <w:color w:val="auto"/>
        </w:rPr>
      </w:pPr>
    </w:p>
    <w:p>
      <w:pPr>
        <w:jc w:val="both"/>
        <w:ind w:right="340"/>
        <w:spacing w:after="0" w:line="262" w:lineRule="auto"/>
        <w:rPr>
          <w:sz w:val="20"/>
          <w:szCs w:val="20"/>
          <w:color w:val="auto"/>
        </w:rPr>
      </w:pPr>
      <w:r>
        <w:rPr>
          <w:rFonts w:ascii="Arial" w:cs="Arial" w:eastAsia="Arial" w:hAnsi="Arial"/>
          <w:sz w:val="18"/>
          <w:szCs w:val="18"/>
          <w:color w:val="auto"/>
        </w:rPr>
        <w:t>The following line graph compares the yearly change in McCormick’s cumulative total shareholder return (stock price appreciation plus reinvestment of dividends) on McCormick’s Non-Voting Common Stock with (1) the cumulative total return of the Standard &amp; Poor’s 500 Stock Price Index, assuming reinvestment of dividends, and (2) the cumulative total return of the Standard &amp; Poor’s Packaged Foods &amp; Meats Index, assuming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5863590" cy="48602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863590" cy="4860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00539B"/>
        </w:rPr>
        <w:t>MARKET RISK SENSITIVITY</w:t>
      </w:r>
    </w:p>
    <w:p>
      <w:pPr>
        <w:spacing w:after="0" w:line="10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utilize derivative financial instruments to enhance our ability to manage risk, including foreign exchange and interest rate exposures, which exist as part of our ongoing business operations. We do not enter into contracts for trading purposes, nor are we a party to any leveraged derivative instrument. The use of derivative financial instruments is monitored through regular communication with senior management and the utilization of written guidelines. The information presented below should be read in conjunction with Notes 5 and 7 of notes to our consolidated financial statements.</w:t>
      </w:r>
    </w:p>
    <w:p>
      <w:pPr>
        <w:sectPr>
          <w:pgSz w:w="11900" w:h="16838" w:orient="portrait"/>
          <w:cols w:equalWidth="0" w:num="1">
            <w:col w:w="11120"/>
          </w:cols>
          <w:pgMar w:left="320" w:top="1052" w:right="45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52" w:right="459" w:bottom="1440" w:gutter="0" w:footer="0" w:header="0"/>
          <w:type w:val="continuous"/>
        </w:sectPr>
      </w:pPr>
    </w:p>
    <w:bookmarkStart w:id="37" w:name="page38"/>
    <w:bookmarkEnd w:id="37"/>
    <w:p>
      <w:pPr>
        <w:spacing w:after="0" w:line="256" w:lineRule="auto"/>
        <w:rPr>
          <w:sz w:val="20"/>
          <w:szCs w:val="20"/>
          <w:color w:val="auto"/>
        </w:rPr>
      </w:pPr>
      <w:r>
        <w:rPr>
          <w:rFonts w:ascii="Arial" w:cs="Arial" w:eastAsia="Arial" w:hAnsi="Arial"/>
          <w:sz w:val="18"/>
          <w:szCs w:val="18"/>
          <w:i w:val="1"/>
          <w:iCs w:val="1"/>
          <w:color w:val="00539B"/>
        </w:rPr>
        <w:t xml:space="preserve">Foreign Exchange Risk </w:t>
      </w:r>
      <w:r>
        <w:rPr>
          <w:rFonts w:ascii="Arial" w:cs="Arial" w:eastAsia="Arial" w:hAnsi="Arial"/>
          <w:sz w:val="18"/>
          <w:szCs w:val="18"/>
          <w:i w:val="1"/>
          <w:iCs w:val="1"/>
          <w:color w:val="000000"/>
        </w:rPr>
        <w:t>–</w:t>
      </w:r>
      <w:r>
        <w:rPr>
          <w:rFonts w:ascii="Arial" w:cs="Arial" w:eastAsia="Arial" w:hAnsi="Arial"/>
          <w:sz w:val="18"/>
          <w:szCs w:val="18"/>
          <w:i w:val="1"/>
          <w:iCs w:val="1"/>
          <w:color w:val="00539B"/>
        </w:rPr>
        <w:t xml:space="preserve"> </w:t>
      </w:r>
      <w:r>
        <w:rPr>
          <w:rFonts w:ascii="Arial" w:cs="Arial" w:eastAsia="Arial" w:hAnsi="Arial"/>
          <w:sz w:val="18"/>
          <w:szCs w:val="18"/>
          <w:color w:val="000000"/>
        </w:rPr>
        <w:t>We are exposed to fluctuations in foreign currency in the following main areas: cash flows related to raw material</w:t>
      </w:r>
      <w:r>
        <w:rPr>
          <w:rFonts w:ascii="Arial" w:cs="Arial" w:eastAsia="Arial" w:hAnsi="Arial"/>
          <w:sz w:val="18"/>
          <w:szCs w:val="18"/>
          <w:i w:val="1"/>
          <w:iCs w:val="1"/>
          <w:color w:val="00539B"/>
        </w:rPr>
        <w:t xml:space="preserve"> </w:t>
      </w:r>
      <w:r>
        <w:rPr>
          <w:rFonts w:ascii="Arial" w:cs="Arial" w:eastAsia="Arial" w:hAnsi="Arial"/>
          <w:sz w:val="18"/>
          <w:szCs w:val="18"/>
          <w:color w:val="000000"/>
        </w:rPr>
        <w:t>purchases; the translation of foreign currency earnings to U.S. dollars; the effects of foreign currency on loans between subsidiaries and unconsolidated affiliates; and cash flows related to repatriation of earnings from unconsolidated affiliates. Primary exposures include the U.S. dollar versus the Euro, British pound sterling, Chinese renminbi, Canadian dollar, Australian dollar, Polish zloty, Singapore dollar, Swiss franc, and Mexican peso, as well as the Euro versus the British pound sterling, Australian dollar, and Polish zloty, and finally the Canadian dollar versus the British pound sterling. We routinely enter into foreign currency exchange contracts to manage certain of these foreign currency risks.</w:t>
      </w:r>
    </w:p>
    <w:p>
      <w:pPr>
        <w:spacing w:after="0" w:line="12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During 2025, the foreign currency translation component in other comprehensive income was principally related to the impact of exchange rate fluctuations on our net investments in our subsidiaries with a functional currency of the Mexican peso, Euro, British pound sterling, Swiss franc, Polish zloty, and Chinese renminbi.</w:t>
      </w:r>
    </w:p>
    <w:p>
      <w:pPr>
        <w:spacing w:after="0" w:line="11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also utilize cross currency interest rate swap contracts, which are designated as net investment hedges, to manage the impact of exchange rate fluctuations on our net investments in subsidiaries with a functional currency of the British pound sterling and Euro. Gains and losses on these instruments are included in foreign currency translation adjustments in accumulated other comprehensive income (loss).</w:t>
      </w:r>
    </w:p>
    <w:p>
      <w:pPr>
        <w:spacing w:after="0" w:line="11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following table summarizes the foreign currency exchange contracts held at November 30, 2025. All contracts are valued in U.S. dollars using year-end 2025 exchange rates and have been designated as hedges of foreign currency transactional exposures, firm commitments, or anticipated transactions.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539B"/>
        </w:rPr>
        <w:t>FOREIGN CURRENCY EXCHANGE CONTRACTS AT November 30, 2025</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460" w:type="dxa"/>
            <w:vAlign w:val="bottom"/>
            <w:tcBorders>
              <w:top w:val="single" w:sz="8" w:color="00539B"/>
            </w:tcBorders>
          </w:tcPr>
          <w:p>
            <w:pPr>
              <w:spacing w:after="0"/>
              <w:rPr>
                <w:sz w:val="15"/>
                <w:szCs w:val="15"/>
                <w:color w:val="auto"/>
              </w:rPr>
            </w:pPr>
          </w:p>
        </w:tc>
        <w:tc>
          <w:tcPr>
            <w:tcW w:w="3540" w:type="dxa"/>
            <w:vAlign w:val="bottom"/>
            <w:tcBorders>
              <w:top w:val="single" w:sz="8" w:color="00539B"/>
            </w:tcBorders>
          </w:tcPr>
          <w:p>
            <w:pPr>
              <w:spacing w:after="0"/>
              <w:rPr>
                <w:sz w:val="15"/>
                <w:szCs w:val="15"/>
                <w:color w:val="auto"/>
              </w:rPr>
            </w:pPr>
          </w:p>
        </w:tc>
        <w:tc>
          <w:tcPr>
            <w:tcW w:w="1340" w:type="dxa"/>
            <w:vAlign w:val="bottom"/>
            <w:tcBorders>
              <w:top w:val="single" w:sz="8" w:color="00539B"/>
            </w:tcBorders>
          </w:tcPr>
          <w:p>
            <w:pPr>
              <w:spacing w:after="0"/>
              <w:rPr>
                <w:sz w:val="15"/>
                <w:szCs w:val="15"/>
                <w:color w:val="auto"/>
              </w:rPr>
            </w:pPr>
          </w:p>
        </w:tc>
        <w:tc>
          <w:tcPr>
            <w:tcW w:w="1260" w:type="dxa"/>
            <w:vAlign w:val="bottom"/>
            <w:tcBorders>
              <w:top w:val="single" w:sz="8" w:color="00539B"/>
            </w:tcBorders>
          </w:tcPr>
          <w:p>
            <w:pPr>
              <w:spacing w:after="0"/>
              <w:rPr>
                <w:sz w:val="15"/>
                <w:szCs w:val="15"/>
                <w:color w:val="auto"/>
              </w:rPr>
            </w:pPr>
          </w:p>
        </w:tc>
        <w:tc>
          <w:tcPr>
            <w:tcW w:w="1220" w:type="dxa"/>
            <w:vAlign w:val="bottom"/>
            <w:tcBorders>
              <w:top w:val="single" w:sz="8" w:color="00539B"/>
            </w:tcBorders>
          </w:tcPr>
          <w:p>
            <w:pPr>
              <w:jc w:val="center"/>
              <w:ind w:right="48"/>
              <w:spacing w:after="0"/>
              <w:rPr>
                <w:sz w:val="20"/>
                <w:szCs w:val="20"/>
                <w:color w:val="auto"/>
              </w:rPr>
            </w:pPr>
            <w:r>
              <w:rPr>
                <w:rFonts w:ascii="Arial" w:cs="Arial" w:eastAsia="Arial" w:hAnsi="Arial"/>
                <w:sz w:val="14"/>
                <w:szCs w:val="14"/>
                <w:color w:val="auto"/>
              </w:rPr>
              <w:t>Average</w:t>
            </w:r>
          </w:p>
        </w:tc>
        <w:tc>
          <w:tcPr>
            <w:tcW w:w="300" w:type="dxa"/>
            <w:vAlign w:val="bottom"/>
            <w:tcBorders>
              <w:top w:val="single" w:sz="8" w:color="00539B"/>
            </w:tcBorders>
          </w:tcPr>
          <w:p>
            <w:pPr>
              <w:spacing w:after="0"/>
              <w:rPr>
                <w:sz w:val="15"/>
                <w:szCs w:val="15"/>
                <w:color w:val="auto"/>
              </w:rPr>
            </w:pPr>
          </w:p>
        </w:tc>
        <w:tc>
          <w:tcPr>
            <w:tcW w:w="1100" w:type="dxa"/>
            <w:vAlign w:val="bottom"/>
            <w:tcBorders>
              <w:top w:val="single" w:sz="8" w:color="00539B"/>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46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60" w:type="dxa"/>
            <w:vAlign w:val="bottom"/>
            <w:vMerge w:val="restart"/>
          </w:tcPr>
          <w:p>
            <w:pPr>
              <w:jc w:val="right"/>
              <w:ind w:right="488"/>
              <w:spacing w:after="0"/>
              <w:rPr>
                <w:sz w:val="20"/>
                <w:szCs w:val="20"/>
                <w:color w:val="auto"/>
              </w:rPr>
            </w:pPr>
            <w:r>
              <w:rPr>
                <w:rFonts w:ascii="Arial" w:cs="Arial" w:eastAsia="Arial" w:hAnsi="Arial"/>
                <w:sz w:val="14"/>
                <w:szCs w:val="14"/>
                <w:color w:val="auto"/>
              </w:rPr>
              <w:t>Notional</w:t>
            </w:r>
          </w:p>
        </w:tc>
        <w:tc>
          <w:tcPr>
            <w:tcW w:w="1220" w:type="dxa"/>
            <w:vAlign w:val="bottom"/>
          </w:tcPr>
          <w:p>
            <w:pPr>
              <w:jc w:val="center"/>
              <w:ind w:right="48"/>
              <w:spacing w:after="0" w:line="145" w:lineRule="exact"/>
              <w:rPr>
                <w:sz w:val="20"/>
                <w:szCs w:val="20"/>
                <w:color w:val="auto"/>
              </w:rPr>
            </w:pPr>
            <w:r>
              <w:rPr>
                <w:rFonts w:ascii="Arial" w:cs="Arial" w:eastAsia="Arial" w:hAnsi="Arial"/>
                <w:sz w:val="14"/>
                <w:szCs w:val="14"/>
                <w:color w:val="auto"/>
              </w:rPr>
              <w:t>contractual</w:t>
            </w:r>
          </w:p>
        </w:tc>
        <w:tc>
          <w:tcPr>
            <w:tcW w:w="300" w:type="dxa"/>
            <w:vAlign w:val="bottom"/>
          </w:tcPr>
          <w:p>
            <w:pPr>
              <w:spacing w:after="0"/>
              <w:rPr>
                <w:sz w:val="12"/>
                <w:szCs w:val="12"/>
                <w:color w:val="auto"/>
              </w:rPr>
            </w:pPr>
          </w:p>
        </w:tc>
        <w:tc>
          <w:tcPr>
            <w:tcW w:w="1100" w:type="dxa"/>
            <w:vAlign w:val="bottom"/>
            <w:vMerge w:val="restart"/>
          </w:tcPr>
          <w:p>
            <w:pPr>
              <w:jc w:val="right"/>
              <w:ind w:right="548"/>
              <w:spacing w:after="0"/>
              <w:rPr>
                <w:sz w:val="20"/>
                <w:szCs w:val="20"/>
                <w:color w:val="auto"/>
              </w:rPr>
            </w:pPr>
            <w:r>
              <w:rPr>
                <w:rFonts w:ascii="Arial" w:cs="Arial" w:eastAsia="Arial" w:hAnsi="Arial"/>
                <w:sz w:val="14"/>
                <w:szCs w:val="14"/>
                <w:color w:val="auto"/>
              </w:rPr>
              <w:t>Fair</w:t>
            </w:r>
          </w:p>
        </w:tc>
        <w:tc>
          <w:tcPr>
            <w:tcW w:w="0" w:type="dxa"/>
            <w:vAlign w:val="bottom"/>
          </w:tcPr>
          <w:p>
            <w:pPr>
              <w:spacing w:after="0"/>
              <w:rPr>
                <w:sz w:val="1"/>
                <w:szCs w:val="1"/>
                <w:color w:val="auto"/>
              </w:rPr>
            </w:pPr>
          </w:p>
        </w:tc>
      </w:tr>
      <w:tr>
        <w:trPr>
          <w:trHeight w:val="148"/>
        </w:trPr>
        <w:tc>
          <w:tcPr>
            <w:tcW w:w="2460" w:type="dxa"/>
            <w:vAlign w:val="bottom"/>
            <w:vMerge w:val="restart"/>
          </w:tcPr>
          <w:p>
            <w:pPr>
              <w:ind w:left="20"/>
              <w:spacing w:after="0"/>
              <w:rPr>
                <w:sz w:val="20"/>
                <w:szCs w:val="20"/>
                <w:color w:val="auto"/>
              </w:rPr>
            </w:pPr>
            <w:r>
              <w:rPr>
                <w:rFonts w:ascii="Arial" w:cs="Arial" w:eastAsia="Arial" w:hAnsi="Arial"/>
                <w:sz w:val="14"/>
                <w:szCs w:val="14"/>
                <w:color w:val="auto"/>
              </w:rPr>
              <w:t>Currency sold</w:t>
            </w:r>
          </w:p>
        </w:tc>
        <w:tc>
          <w:tcPr>
            <w:tcW w:w="3540" w:type="dxa"/>
            <w:vAlign w:val="bottom"/>
            <w:vMerge w:val="restart"/>
          </w:tcPr>
          <w:p>
            <w:pPr>
              <w:ind w:left="1080"/>
              <w:spacing w:after="0"/>
              <w:rPr>
                <w:sz w:val="20"/>
                <w:szCs w:val="20"/>
                <w:color w:val="auto"/>
              </w:rPr>
            </w:pPr>
            <w:r>
              <w:rPr>
                <w:rFonts w:ascii="Arial" w:cs="Arial" w:eastAsia="Arial" w:hAnsi="Arial"/>
                <w:sz w:val="14"/>
                <w:szCs w:val="14"/>
                <w:color w:val="auto"/>
              </w:rPr>
              <w:t>Currency received</w:t>
            </w:r>
          </w:p>
        </w:tc>
        <w:tc>
          <w:tcPr>
            <w:tcW w:w="134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220" w:type="dxa"/>
            <w:vAlign w:val="bottom"/>
          </w:tcPr>
          <w:p>
            <w:pPr>
              <w:jc w:val="center"/>
              <w:ind w:right="48"/>
              <w:spacing w:after="0" w:line="149" w:lineRule="exact"/>
              <w:rPr>
                <w:sz w:val="20"/>
                <w:szCs w:val="20"/>
                <w:color w:val="auto"/>
              </w:rPr>
            </w:pPr>
            <w:r>
              <w:rPr>
                <w:rFonts w:ascii="Arial" w:cs="Arial" w:eastAsia="Arial" w:hAnsi="Arial"/>
                <w:sz w:val="14"/>
                <w:szCs w:val="14"/>
                <w:color w:val="auto"/>
              </w:rPr>
              <w:t>exchange</w:t>
            </w:r>
          </w:p>
        </w:tc>
        <w:tc>
          <w:tcPr>
            <w:tcW w:w="3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460" w:type="dxa"/>
            <w:vAlign w:val="bottom"/>
            <w:tcBorders>
              <w:bottom w:val="single" w:sz="8" w:color="00539B"/>
            </w:tcBorders>
            <w:vMerge w:val="continue"/>
          </w:tcPr>
          <w:p>
            <w:pPr>
              <w:spacing w:after="0"/>
              <w:rPr>
                <w:sz w:val="16"/>
                <w:szCs w:val="16"/>
                <w:color w:val="auto"/>
              </w:rPr>
            </w:pPr>
          </w:p>
        </w:tc>
        <w:tc>
          <w:tcPr>
            <w:tcW w:w="3540" w:type="dxa"/>
            <w:vAlign w:val="bottom"/>
            <w:tcBorders>
              <w:bottom w:val="single" w:sz="8" w:color="00539B"/>
            </w:tcBorders>
            <w:vMerge w:val="continue"/>
          </w:tcPr>
          <w:p>
            <w:pPr>
              <w:spacing w:after="0"/>
              <w:rPr>
                <w:sz w:val="16"/>
                <w:szCs w:val="16"/>
                <w:color w:val="auto"/>
              </w:rPr>
            </w:pPr>
          </w:p>
        </w:tc>
        <w:tc>
          <w:tcPr>
            <w:tcW w:w="1340" w:type="dxa"/>
            <w:vAlign w:val="bottom"/>
            <w:tcBorders>
              <w:bottom w:val="single" w:sz="8" w:color="00539B"/>
            </w:tcBorders>
          </w:tcPr>
          <w:p>
            <w:pPr>
              <w:spacing w:after="0"/>
              <w:rPr>
                <w:sz w:val="16"/>
                <w:szCs w:val="16"/>
                <w:color w:val="auto"/>
              </w:rPr>
            </w:pPr>
          </w:p>
        </w:tc>
        <w:tc>
          <w:tcPr>
            <w:tcW w:w="1260" w:type="dxa"/>
            <w:vAlign w:val="bottom"/>
            <w:tcBorders>
              <w:bottom w:val="single" w:sz="8" w:color="00539B"/>
            </w:tcBorders>
          </w:tcPr>
          <w:p>
            <w:pPr>
              <w:jc w:val="right"/>
              <w:ind w:right="588"/>
              <w:spacing w:after="0"/>
              <w:rPr>
                <w:sz w:val="20"/>
                <w:szCs w:val="20"/>
                <w:color w:val="auto"/>
              </w:rPr>
            </w:pPr>
            <w:r>
              <w:rPr>
                <w:rFonts w:ascii="Arial" w:cs="Arial" w:eastAsia="Arial" w:hAnsi="Arial"/>
                <w:sz w:val="14"/>
                <w:szCs w:val="14"/>
                <w:color w:val="auto"/>
              </w:rPr>
              <w:t>value</w:t>
            </w:r>
          </w:p>
        </w:tc>
        <w:tc>
          <w:tcPr>
            <w:tcW w:w="1220" w:type="dxa"/>
            <w:vAlign w:val="bottom"/>
            <w:tcBorders>
              <w:bottom w:val="single" w:sz="8" w:color="00539B"/>
            </w:tcBorders>
          </w:tcPr>
          <w:p>
            <w:pPr>
              <w:jc w:val="center"/>
              <w:ind w:right="48"/>
              <w:spacing w:after="0"/>
              <w:rPr>
                <w:sz w:val="20"/>
                <w:szCs w:val="20"/>
                <w:color w:val="auto"/>
              </w:rPr>
            </w:pPr>
            <w:r>
              <w:rPr>
                <w:rFonts w:ascii="Arial" w:cs="Arial" w:eastAsia="Arial" w:hAnsi="Arial"/>
                <w:sz w:val="14"/>
                <w:szCs w:val="14"/>
                <w:color w:val="auto"/>
              </w:rPr>
              <w:t>rate</w:t>
            </w:r>
          </w:p>
        </w:tc>
        <w:tc>
          <w:tcPr>
            <w:tcW w:w="300" w:type="dxa"/>
            <w:vAlign w:val="bottom"/>
            <w:tcBorders>
              <w:bottom w:val="single" w:sz="8" w:color="00539B"/>
            </w:tcBorders>
          </w:tcPr>
          <w:p>
            <w:pPr>
              <w:spacing w:after="0"/>
              <w:rPr>
                <w:sz w:val="16"/>
                <w:szCs w:val="16"/>
                <w:color w:val="auto"/>
              </w:rPr>
            </w:pPr>
          </w:p>
        </w:tc>
        <w:tc>
          <w:tcPr>
            <w:tcW w:w="1100" w:type="dxa"/>
            <w:vAlign w:val="bottom"/>
            <w:tcBorders>
              <w:bottom w:val="single" w:sz="8" w:color="00539B"/>
            </w:tcBorders>
          </w:tcPr>
          <w:p>
            <w:pPr>
              <w:jc w:val="right"/>
              <w:ind w:right="488"/>
              <w:spacing w:after="0"/>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188"/>
        </w:trPr>
        <w:tc>
          <w:tcPr>
            <w:tcW w:w="2460" w:type="dxa"/>
            <w:vAlign w:val="bottom"/>
          </w:tcPr>
          <w:p>
            <w:pPr>
              <w:ind w:left="20"/>
              <w:spacing w:after="0"/>
              <w:rPr>
                <w:sz w:val="20"/>
                <w:szCs w:val="20"/>
                <w:color w:val="auto"/>
              </w:rPr>
            </w:pPr>
            <w:r>
              <w:rPr>
                <w:rFonts w:ascii="Arial" w:cs="Arial" w:eastAsia="Arial" w:hAnsi="Arial"/>
                <w:sz w:val="14"/>
                <w:szCs w:val="14"/>
                <w:color w:val="auto"/>
              </w:rPr>
              <w:t>British pound sterling</w:t>
            </w:r>
          </w:p>
        </w:tc>
        <w:tc>
          <w:tcPr>
            <w:tcW w:w="3540" w:type="dxa"/>
            <w:vAlign w:val="bottom"/>
          </w:tcPr>
          <w:p>
            <w:pPr>
              <w:ind w:left="1080"/>
              <w:spacing w:after="0"/>
              <w:rPr>
                <w:sz w:val="20"/>
                <w:szCs w:val="20"/>
                <w:color w:val="auto"/>
              </w:rPr>
            </w:pPr>
            <w:r>
              <w:rPr>
                <w:rFonts w:ascii="Arial" w:cs="Arial" w:eastAsia="Arial" w:hAnsi="Arial"/>
                <w:sz w:val="14"/>
                <w:szCs w:val="14"/>
                <w:color w:val="auto"/>
              </w:rPr>
              <w:t>U.S. dollar</w:t>
            </w: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258.5</w:t>
            </w:r>
          </w:p>
        </w:tc>
        <w:tc>
          <w:tcPr>
            <w:tcW w:w="1220" w:type="dxa"/>
            <w:vAlign w:val="bottom"/>
          </w:tcPr>
          <w:p>
            <w:pPr>
              <w:jc w:val="right"/>
              <w:spacing w:after="0"/>
              <w:rPr>
                <w:sz w:val="20"/>
                <w:szCs w:val="20"/>
                <w:color w:val="auto"/>
              </w:rPr>
            </w:pPr>
            <w:r>
              <w:rPr>
                <w:rFonts w:ascii="Arial" w:cs="Arial" w:eastAsia="Arial" w:hAnsi="Arial"/>
                <w:sz w:val="14"/>
                <w:szCs w:val="14"/>
                <w:color w:val="auto"/>
              </w:rPr>
              <w:t>1.34</w:t>
            </w: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03"/>
        </w:trPr>
        <w:tc>
          <w:tcPr>
            <w:tcW w:w="2460" w:type="dxa"/>
            <w:vAlign w:val="bottom"/>
          </w:tcPr>
          <w:p>
            <w:pPr>
              <w:ind w:left="20"/>
              <w:spacing w:after="0"/>
              <w:rPr>
                <w:sz w:val="20"/>
                <w:szCs w:val="20"/>
                <w:color w:val="auto"/>
              </w:rPr>
            </w:pPr>
            <w:r>
              <w:rPr>
                <w:rFonts w:ascii="Arial" w:cs="Arial" w:eastAsia="Arial" w:hAnsi="Arial"/>
                <w:sz w:val="14"/>
                <w:szCs w:val="14"/>
                <w:color w:val="auto"/>
              </w:rPr>
              <w:t>Canadian dollar</w:t>
            </w:r>
          </w:p>
        </w:tc>
        <w:tc>
          <w:tcPr>
            <w:tcW w:w="3540" w:type="dxa"/>
            <w:vAlign w:val="bottom"/>
          </w:tcPr>
          <w:p>
            <w:pPr>
              <w:ind w:left="1080"/>
              <w:spacing w:after="0"/>
              <w:rPr>
                <w:sz w:val="20"/>
                <w:szCs w:val="20"/>
                <w:color w:val="auto"/>
              </w:rPr>
            </w:pPr>
            <w:r>
              <w:rPr>
                <w:rFonts w:ascii="Arial" w:cs="Arial" w:eastAsia="Arial" w:hAnsi="Arial"/>
                <w:sz w:val="14"/>
                <w:szCs w:val="14"/>
                <w:color w:val="auto"/>
              </w:rPr>
              <w:t>U.S. dollar</w:t>
            </w:r>
          </w:p>
        </w:tc>
        <w:tc>
          <w:tcPr>
            <w:tcW w:w="1340" w:type="dxa"/>
            <w:vAlign w:val="bottom"/>
          </w:tcPr>
          <w:p>
            <w:pPr>
              <w:spacing w:after="0"/>
              <w:rPr>
                <w:sz w:val="17"/>
                <w:szCs w:val="17"/>
                <w:color w:val="auto"/>
              </w:rPr>
            </w:pP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53.2</w:t>
            </w:r>
          </w:p>
        </w:tc>
        <w:tc>
          <w:tcPr>
            <w:tcW w:w="1220" w:type="dxa"/>
            <w:vAlign w:val="bottom"/>
          </w:tcPr>
          <w:p>
            <w:pPr>
              <w:jc w:val="right"/>
              <w:spacing w:after="0"/>
              <w:rPr>
                <w:sz w:val="20"/>
                <w:szCs w:val="20"/>
                <w:color w:val="auto"/>
              </w:rPr>
            </w:pPr>
            <w:r>
              <w:rPr>
                <w:rFonts w:ascii="Arial" w:cs="Arial" w:eastAsia="Arial" w:hAnsi="Arial"/>
                <w:sz w:val="14"/>
                <w:szCs w:val="14"/>
                <w:color w:val="auto"/>
              </w:rPr>
              <w:t>1.36</w:t>
            </w:r>
          </w:p>
        </w:tc>
        <w:tc>
          <w:tcPr>
            <w:tcW w:w="30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03"/>
        </w:trPr>
        <w:tc>
          <w:tcPr>
            <w:tcW w:w="2460" w:type="dxa"/>
            <w:vAlign w:val="bottom"/>
          </w:tcPr>
          <w:p>
            <w:pPr>
              <w:ind w:left="20"/>
              <w:spacing w:after="0"/>
              <w:rPr>
                <w:sz w:val="20"/>
                <w:szCs w:val="20"/>
                <w:color w:val="auto"/>
              </w:rPr>
            </w:pPr>
            <w:r>
              <w:rPr>
                <w:rFonts w:ascii="Arial" w:cs="Arial" w:eastAsia="Arial" w:hAnsi="Arial"/>
                <w:sz w:val="14"/>
                <w:szCs w:val="14"/>
                <w:color w:val="auto"/>
              </w:rPr>
              <w:t>Euro</w:t>
            </w:r>
          </w:p>
        </w:tc>
        <w:tc>
          <w:tcPr>
            <w:tcW w:w="3540" w:type="dxa"/>
            <w:vAlign w:val="bottom"/>
          </w:tcPr>
          <w:p>
            <w:pPr>
              <w:ind w:left="1080"/>
              <w:spacing w:after="0"/>
              <w:rPr>
                <w:sz w:val="20"/>
                <w:szCs w:val="20"/>
                <w:color w:val="auto"/>
              </w:rPr>
            </w:pPr>
            <w:r>
              <w:rPr>
                <w:rFonts w:ascii="Arial" w:cs="Arial" w:eastAsia="Arial" w:hAnsi="Arial"/>
                <w:sz w:val="14"/>
                <w:szCs w:val="14"/>
                <w:color w:val="auto"/>
              </w:rPr>
              <w:t>U.S. dollar</w:t>
            </w:r>
          </w:p>
        </w:tc>
        <w:tc>
          <w:tcPr>
            <w:tcW w:w="1340" w:type="dxa"/>
            <w:vAlign w:val="bottom"/>
          </w:tcPr>
          <w:p>
            <w:pPr>
              <w:spacing w:after="0"/>
              <w:rPr>
                <w:sz w:val="17"/>
                <w:szCs w:val="17"/>
                <w:color w:val="auto"/>
              </w:rPr>
            </w:pP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41.2</w:t>
            </w:r>
          </w:p>
        </w:tc>
        <w:tc>
          <w:tcPr>
            <w:tcW w:w="1220" w:type="dxa"/>
            <w:vAlign w:val="bottom"/>
          </w:tcPr>
          <w:p>
            <w:pPr>
              <w:jc w:val="right"/>
              <w:spacing w:after="0"/>
              <w:rPr>
                <w:sz w:val="20"/>
                <w:szCs w:val="20"/>
                <w:color w:val="auto"/>
              </w:rPr>
            </w:pPr>
            <w:r>
              <w:rPr>
                <w:rFonts w:ascii="Arial" w:cs="Arial" w:eastAsia="Arial" w:hAnsi="Arial"/>
                <w:sz w:val="14"/>
                <w:szCs w:val="14"/>
                <w:color w:val="auto"/>
              </w:rPr>
              <w:t>1.18</w:t>
            </w:r>
          </w:p>
        </w:tc>
        <w:tc>
          <w:tcPr>
            <w:tcW w:w="30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03"/>
        </w:trPr>
        <w:tc>
          <w:tcPr>
            <w:tcW w:w="2460" w:type="dxa"/>
            <w:vAlign w:val="bottom"/>
          </w:tcPr>
          <w:p>
            <w:pPr>
              <w:ind w:left="20"/>
              <w:spacing w:after="0"/>
              <w:rPr>
                <w:sz w:val="20"/>
                <w:szCs w:val="20"/>
                <w:color w:val="auto"/>
              </w:rPr>
            </w:pPr>
            <w:r>
              <w:rPr>
                <w:rFonts w:ascii="Arial" w:cs="Arial" w:eastAsia="Arial" w:hAnsi="Arial"/>
                <w:sz w:val="14"/>
                <w:szCs w:val="14"/>
                <w:color w:val="auto"/>
              </w:rPr>
              <w:t>Polish zloty</w:t>
            </w:r>
          </w:p>
        </w:tc>
        <w:tc>
          <w:tcPr>
            <w:tcW w:w="3540" w:type="dxa"/>
            <w:vAlign w:val="bottom"/>
          </w:tcPr>
          <w:p>
            <w:pPr>
              <w:ind w:left="1080"/>
              <w:spacing w:after="0"/>
              <w:rPr>
                <w:sz w:val="20"/>
                <w:szCs w:val="20"/>
                <w:color w:val="auto"/>
              </w:rPr>
            </w:pPr>
            <w:r>
              <w:rPr>
                <w:rFonts w:ascii="Arial" w:cs="Arial" w:eastAsia="Arial" w:hAnsi="Arial"/>
                <w:sz w:val="14"/>
                <w:szCs w:val="14"/>
                <w:color w:val="auto"/>
              </w:rPr>
              <w:t>U.S. dollar</w:t>
            </w:r>
          </w:p>
        </w:tc>
        <w:tc>
          <w:tcPr>
            <w:tcW w:w="1340" w:type="dxa"/>
            <w:vAlign w:val="bottom"/>
          </w:tcPr>
          <w:p>
            <w:pPr>
              <w:spacing w:after="0"/>
              <w:rPr>
                <w:sz w:val="17"/>
                <w:szCs w:val="17"/>
                <w:color w:val="auto"/>
              </w:rPr>
            </w:pP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8.4</w:t>
            </w:r>
          </w:p>
        </w:tc>
        <w:tc>
          <w:tcPr>
            <w:tcW w:w="1220" w:type="dxa"/>
            <w:vAlign w:val="bottom"/>
          </w:tcPr>
          <w:p>
            <w:pPr>
              <w:jc w:val="right"/>
              <w:spacing w:after="0"/>
              <w:rPr>
                <w:sz w:val="20"/>
                <w:szCs w:val="20"/>
                <w:color w:val="auto"/>
              </w:rPr>
            </w:pPr>
            <w:r>
              <w:rPr>
                <w:rFonts w:ascii="Arial" w:cs="Arial" w:eastAsia="Arial" w:hAnsi="Arial"/>
                <w:sz w:val="14"/>
                <w:szCs w:val="14"/>
                <w:color w:val="auto"/>
              </w:rPr>
              <w:t>3.69</w:t>
            </w: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03"/>
        </w:trPr>
        <w:tc>
          <w:tcPr>
            <w:tcW w:w="2460" w:type="dxa"/>
            <w:vAlign w:val="bottom"/>
          </w:tcPr>
          <w:p>
            <w:pPr>
              <w:ind w:left="20"/>
              <w:spacing w:after="0"/>
              <w:rPr>
                <w:sz w:val="20"/>
                <w:szCs w:val="20"/>
                <w:color w:val="auto"/>
              </w:rPr>
            </w:pPr>
            <w:r>
              <w:rPr>
                <w:rFonts w:ascii="Arial" w:cs="Arial" w:eastAsia="Arial" w:hAnsi="Arial"/>
                <w:sz w:val="14"/>
                <w:szCs w:val="14"/>
                <w:color w:val="auto"/>
              </w:rPr>
              <w:t>U.S. dollar</w:t>
            </w:r>
          </w:p>
        </w:tc>
        <w:tc>
          <w:tcPr>
            <w:tcW w:w="3540" w:type="dxa"/>
            <w:vAlign w:val="bottom"/>
          </w:tcPr>
          <w:p>
            <w:pPr>
              <w:ind w:left="1080"/>
              <w:spacing w:after="0"/>
              <w:rPr>
                <w:sz w:val="20"/>
                <w:szCs w:val="20"/>
                <w:color w:val="auto"/>
              </w:rPr>
            </w:pPr>
            <w:r>
              <w:rPr>
                <w:rFonts w:ascii="Arial" w:cs="Arial" w:eastAsia="Arial" w:hAnsi="Arial"/>
                <w:sz w:val="14"/>
                <w:szCs w:val="14"/>
                <w:color w:val="auto"/>
              </w:rPr>
              <w:t>Australian dollar</w:t>
            </w:r>
          </w:p>
        </w:tc>
        <w:tc>
          <w:tcPr>
            <w:tcW w:w="1340" w:type="dxa"/>
            <w:vAlign w:val="bottom"/>
          </w:tcPr>
          <w:p>
            <w:pPr>
              <w:spacing w:after="0"/>
              <w:rPr>
                <w:sz w:val="17"/>
                <w:szCs w:val="17"/>
                <w:color w:val="auto"/>
              </w:rPr>
            </w:pP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81.5</w:t>
            </w:r>
          </w:p>
        </w:tc>
        <w:tc>
          <w:tcPr>
            <w:tcW w:w="1220" w:type="dxa"/>
            <w:vAlign w:val="bottom"/>
          </w:tcPr>
          <w:p>
            <w:pPr>
              <w:jc w:val="right"/>
              <w:spacing w:after="0"/>
              <w:rPr>
                <w:sz w:val="20"/>
                <w:szCs w:val="20"/>
                <w:color w:val="auto"/>
              </w:rPr>
            </w:pPr>
            <w:r>
              <w:rPr>
                <w:rFonts w:ascii="Arial" w:cs="Arial" w:eastAsia="Arial" w:hAnsi="Arial"/>
                <w:sz w:val="14"/>
                <w:szCs w:val="14"/>
                <w:color w:val="auto"/>
              </w:rPr>
              <w:t>0.65</w:t>
            </w:r>
          </w:p>
        </w:tc>
        <w:tc>
          <w:tcPr>
            <w:tcW w:w="30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03"/>
        </w:trPr>
        <w:tc>
          <w:tcPr>
            <w:tcW w:w="2460" w:type="dxa"/>
            <w:vAlign w:val="bottom"/>
          </w:tcPr>
          <w:p>
            <w:pPr>
              <w:ind w:left="20"/>
              <w:spacing w:after="0"/>
              <w:rPr>
                <w:sz w:val="20"/>
                <w:szCs w:val="20"/>
                <w:color w:val="auto"/>
              </w:rPr>
            </w:pPr>
            <w:r>
              <w:rPr>
                <w:rFonts w:ascii="Arial" w:cs="Arial" w:eastAsia="Arial" w:hAnsi="Arial"/>
                <w:sz w:val="14"/>
                <w:szCs w:val="14"/>
                <w:color w:val="auto"/>
              </w:rPr>
              <w:t>Swiss franc</w:t>
            </w:r>
          </w:p>
        </w:tc>
        <w:tc>
          <w:tcPr>
            <w:tcW w:w="3540" w:type="dxa"/>
            <w:vAlign w:val="bottom"/>
          </w:tcPr>
          <w:p>
            <w:pPr>
              <w:ind w:left="1080"/>
              <w:spacing w:after="0"/>
              <w:rPr>
                <w:sz w:val="20"/>
                <w:szCs w:val="20"/>
                <w:color w:val="auto"/>
              </w:rPr>
            </w:pPr>
            <w:r>
              <w:rPr>
                <w:rFonts w:ascii="Arial" w:cs="Arial" w:eastAsia="Arial" w:hAnsi="Arial"/>
                <w:sz w:val="14"/>
                <w:szCs w:val="14"/>
                <w:color w:val="auto"/>
              </w:rPr>
              <w:t>U.S. dollar</w:t>
            </w:r>
          </w:p>
        </w:tc>
        <w:tc>
          <w:tcPr>
            <w:tcW w:w="1340" w:type="dxa"/>
            <w:vAlign w:val="bottom"/>
          </w:tcPr>
          <w:p>
            <w:pPr>
              <w:spacing w:after="0"/>
              <w:rPr>
                <w:sz w:val="17"/>
                <w:szCs w:val="17"/>
                <w:color w:val="auto"/>
              </w:rPr>
            </w:pP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82.3</w:t>
            </w:r>
          </w:p>
        </w:tc>
        <w:tc>
          <w:tcPr>
            <w:tcW w:w="1220" w:type="dxa"/>
            <w:vAlign w:val="bottom"/>
          </w:tcPr>
          <w:p>
            <w:pPr>
              <w:jc w:val="right"/>
              <w:spacing w:after="0"/>
              <w:rPr>
                <w:sz w:val="20"/>
                <w:szCs w:val="20"/>
                <w:color w:val="auto"/>
              </w:rPr>
            </w:pPr>
            <w:r>
              <w:rPr>
                <w:rFonts w:ascii="Arial" w:cs="Arial" w:eastAsia="Arial" w:hAnsi="Arial"/>
                <w:sz w:val="14"/>
                <w:szCs w:val="14"/>
                <w:color w:val="auto"/>
              </w:rPr>
              <w:t>0.79</w:t>
            </w: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03"/>
        </w:trPr>
        <w:tc>
          <w:tcPr>
            <w:tcW w:w="2460" w:type="dxa"/>
            <w:vAlign w:val="bottom"/>
          </w:tcPr>
          <w:p>
            <w:pPr>
              <w:ind w:left="20"/>
              <w:spacing w:after="0"/>
              <w:rPr>
                <w:sz w:val="20"/>
                <w:szCs w:val="20"/>
                <w:color w:val="auto"/>
              </w:rPr>
            </w:pPr>
            <w:r>
              <w:rPr>
                <w:rFonts w:ascii="Arial" w:cs="Arial" w:eastAsia="Arial" w:hAnsi="Arial"/>
                <w:sz w:val="14"/>
                <w:szCs w:val="14"/>
                <w:color w:val="auto"/>
              </w:rPr>
              <w:t>U.S. dollar</w:t>
            </w:r>
          </w:p>
        </w:tc>
        <w:tc>
          <w:tcPr>
            <w:tcW w:w="3540" w:type="dxa"/>
            <w:vAlign w:val="bottom"/>
          </w:tcPr>
          <w:p>
            <w:pPr>
              <w:ind w:left="1080"/>
              <w:spacing w:after="0"/>
              <w:rPr>
                <w:sz w:val="20"/>
                <w:szCs w:val="20"/>
                <w:color w:val="auto"/>
              </w:rPr>
            </w:pPr>
            <w:r>
              <w:rPr>
                <w:rFonts w:ascii="Arial" w:cs="Arial" w:eastAsia="Arial" w:hAnsi="Arial"/>
                <w:sz w:val="14"/>
                <w:szCs w:val="14"/>
                <w:color w:val="auto"/>
              </w:rPr>
              <w:t>British pound sterling</w:t>
            </w:r>
          </w:p>
        </w:tc>
        <w:tc>
          <w:tcPr>
            <w:tcW w:w="1340" w:type="dxa"/>
            <w:vAlign w:val="bottom"/>
          </w:tcPr>
          <w:p>
            <w:pPr>
              <w:spacing w:after="0"/>
              <w:rPr>
                <w:sz w:val="17"/>
                <w:szCs w:val="17"/>
                <w:color w:val="auto"/>
              </w:rPr>
            </w:pP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45.0</w:t>
            </w:r>
          </w:p>
        </w:tc>
        <w:tc>
          <w:tcPr>
            <w:tcW w:w="1220" w:type="dxa"/>
            <w:vAlign w:val="bottom"/>
          </w:tcPr>
          <w:p>
            <w:pPr>
              <w:jc w:val="right"/>
              <w:spacing w:after="0"/>
              <w:rPr>
                <w:sz w:val="20"/>
                <w:szCs w:val="20"/>
                <w:color w:val="auto"/>
              </w:rPr>
            </w:pPr>
            <w:r>
              <w:rPr>
                <w:rFonts w:ascii="Arial" w:cs="Arial" w:eastAsia="Arial" w:hAnsi="Arial"/>
                <w:sz w:val="14"/>
                <w:szCs w:val="14"/>
                <w:color w:val="auto"/>
              </w:rPr>
              <w:t>1.31</w:t>
            </w:r>
          </w:p>
        </w:tc>
        <w:tc>
          <w:tcPr>
            <w:tcW w:w="30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03"/>
        </w:trPr>
        <w:tc>
          <w:tcPr>
            <w:tcW w:w="2460" w:type="dxa"/>
            <w:vAlign w:val="bottom"/>
          </w:tcPr>
          <w:p>
            <w:pPr>
              <w:ind w:left="20"/>
              <w:spacing w:after="0"/>
              <w:rPr>
                <w:sz w:val="20"/>
                <w:szCs w:val="20"/>
                <w:color w:val="auto"/>
              </w:rPr>
            </w:pPr>
            <w:r>
              <w:rPr>
                <w:rFonts w:ascii="Arial" w:cs="Arial" w:eastAsia="Arial" w:hAnsi="Arial"/>
                <w:sz w:val="14"/>
                <w:szCs w:val="14"/>
                <w:color w:val="auto"/>
              </w:rPr>
              <w:t>U.S. dollar</w:t>
            </w:r>
          </w:p>
        </w:tc>
        <w:tc>
          <w:tcPr>
            <w:tcW w:w="3540" w:type="dxa"/>
            <w:vAlign w:val="bottom"/>
          </w:tcPr>
          <w:p>
            <w:pPr>
              <w:ind w:left="1080"/>
              <w:spacing w:after="0"/>
              <w:rPr>
                <w:sz w:val="20"/>
                <w:szCs w:val="20"/>
                <w:color w:val="auto"/>
              </w:rPr>
            </w:pPr>
            <w:r>
              <w:rPr>
                <w:rFonts w:ascii="Arial" w:cs="Arial" w:eastAsia="Arial" w:hAnsi="Arial"/>
                <w:sz w:val="14"/>
                <w:szCs w:val="14"/>
                <w:color w:val="auto"/>
              </w:rPr>
              <w:t>Euro</w:t>
            </w:r>
          </w:p>
        </w:tc>
        <w:tc>
          <w:tcPr>
            <w:tcW w:w="1340" w:type="dxa"/>
            <w:vAlign w:val="bottom"/>
          </w:tcPr>
          <w:p>
            <w:pPr>
              <w:spacing w:after="0"/>
              <w:rPr>
                <w:sz w:val="17"/>
                <w:szCs w:val="17"/>
                <w:color w:val="auto"/>
              </w:rPr>
            </w:pP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129.9</w:t>
            </w:r>
          </w:p>
        </w:tc>
        <w:tc>
          <w:tcPr>
            <w:tcW w:w="1220" w:type="dxa"/>
            <w:vAlign w:val="bottom"/>
          </w:tcPr>
          <w:p>
            <w:pPr>
              <w:jc w:val="right"/>
              <w:spacing w:after="0"/>
              <w:rPr>
                <w:sz w:val="20"/>
                <w:szCs w:val="20"/>
                <w:color w:val="auto"/>
              </w:rPr>
            </w:pPr>
            <w:r>
              <w:rPr>
                <w:rFonts w:ascii="Arial" w:cs="Arial" w:eastAsia="Arial" w:hAnsi="Arial"/>
                <w:sz w:val="14"/>
                <w:szCs w:val="14"/>
                <w:color w:val="auto"/>
              </w:rPr>
              <w:t>1.15</w:t>
            </w:r>
          </w:p>
        </w:tc>
        <w:tc>
          <w:tcPr>
            <w:tcW w:w="30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03"/>
        </w:trPr>
        <w:tc>
          <w:tcPr>
            <w:tcW w:w="2460" w:type="dxa"/>
            <w:vAlign w:val="bottom"/>
          </w:tcPr>
          <w:p>
            <w:pPr>
              <w:ind w:left="20"/>
              <w:spacing w:after="0"/>
              <w:rPr>
                <w:sz w:val="20"/>
                <w:szCs w:val="20"/>
                <w:color w:val="auto"/>
              </w:rPr>
            </w:pPr>
            <w:r>
              <w:rPr>
                <w:rFonts w:ascii="Arial" w:cs="Arial" w:eastAsia="Arial" w:hAnsi="Arial"/>
                <w:sz w:val="14"/>
                <w:szCs w:val="14"/>
                <w:color w:val="auto"/>
              </w:rPr>
              <w:t>U.S. dollar</w:t>
            </w:r>
          </w:p>
        </w:tc>
        <w:tc>
          <w:tcPr>
            <w:tcW w:w="3540" w:type="dxa"/>
            <w:vAlign w:val="bottom"/>
          </w:tcPr>
          <w:p>
            <w:pPr>
              <w:ind w:left="1080"/>
              <w:spacing w:after="0"/>
              <w:rPr>
                <w:sz w:val="20"/>
                <w:szCs w:val="20"/>
                <w:color w:val="auto"/>
              </w:rPr>
            </w:pPr>
            <w:r>
              <w:rPr>
                <w:rFonts w:ascii="Arial" w:cs="Arial" w:eastAsia="Arial" w:hAnsi="Arial"/>
                <w:sz w:val="14"/>
                <w:szCs w:val="14"/>
                <w:color w:val="auto"/>
              </w:rPr>
              <w:t>Chinese renminbi</w:t>
            </w:r>
          </w:p>
        </w:tc>
        <w:tc>
          <w:tcPr>
            <w:tcW w:w="1340" w:type="dxa"/>
            <w:vAlign w:val="bottom"/>
          </w:tcPr>
          <w:p>
            <w:pPr>
              <w:spacing w:after="0"/>
              <w:rPr>
                <w:sz w:val="17"/>
                <w:szCs w:val="17"/>
                <w:color w:val="auto"/>
              </w:rPr>
            </w:pP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289.4</w:t>
            </w:r>
          </w:p>
        </w:tc>
        <w:tc>
          <w:tcPr>
            <w:tcW w:w="1220" w:type="dxa"/>
            <w:vAlign w:val="bottom"/>
          </w:tcPr>
          <w:p>
            <w:pPr>
              <w:jc w:val="right"/>
              <w:spacing w:after="0"/>
              <w:rPr>
                <w:sz w:val="20"/>
                <w:szCs w:val="20"/>
                <w:color w:val="auto"/>
              </w:rPr>
            </w:pPr>
            <w:r>
              <w:rPr>
                <w:rFonts w:ascii="Arial" w:cs="Arial" w:eastAsia="Arial" w:hAnsi="Arial"/>
                <w:sz w:val="14"/>
                <w:szCs w:val="14"/>
                <w:color w:val="auto"/>
              </w:rPr>
              <w:t>7.04</w:t>
            </w:r>
          </w:p>
        </w:tc>
        <w:tc>
          <w:tcPr>
            <w:tcW w:w="30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03"/>
        </w:trPr>
        <w:tc>
          <w:tcPr>
            <w:tcW w:w="2460" w:type="dxa"/>
            <w:vAlign w:val="bottom"/>
          </w:tcPr>
          <w:p>
            <w:pPr>
              <w:ind w:left="20"/>
              <w:spacing w:after="0"/>
              <w:rPr>
                <w:sz w:val="20"/>
                <w:szCs w:val="20"/>
                <w:color w:val="auto"/>
              </w:rPr>
            </w:pPr>
            <w:r>
              <w:rPr>
                <w:rFonts w:ascii="Arial" w:cs="Arial" w:eastAsia="Arial" w:hAnsi="Arial"/>
                <w:sz w:val="14"/>
                <w:szCs w:val="14"/>
                <w:color w:val="auto"/>
              </w:rPr>
              <w:t>Polish zloty</w:t>
            </w:r>
          </w:p>
        </w:tc>
        <w:tc>
          <w:tcPr>
            <w:tcW w:w="3540" w:type="dxa"/>
            <w:vAlign w:val="bottom"/>
          </w:tcPr>
          <w:p>
            <w:pPr>
              <w:ind w:left="1080"/>
              <w:spacing w:after="0"/>
              <w:rPr>
                <w:sz w:val="20"/>
                <w:szCs w:val="20"/>
                <w:color w:val="auto"/>
              </w:rPr>
            </w:pPr>
            <w:r>
              <w:rPr>
                <w:rFonts w:ascii="Arial" w:cs="Arial" w:eastAsia="Arial" w:hAnsi="Arial"/>
                <w:sz w:val="14"/>
                <w:szCs w:val="14"/>
                <w:color w:val="auto"/>
              </w:rPr>
              <w:t>Euro</w:t>
            </w:r>
          </w:p>
        </w:tc>
        <w:tc>
          <w:tcPr>
            <w:tcW w:w="1340" w:type="dxa"/>
            <w:vAlign w:val="bottom"/>
          </w:tcPr>
          <w:p>
            <w:pPr>
              <w:spacing w:after="0"/>
              <w:rPr>
                <w:sz w:val="17"/>
                <w:szCs w:val="17"/>
                <w:color w:val="auto"/>
              </w:rPr>
            </w:pP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11.4</w:t>
            </w:r>
          </w:p>
        </w:tc>
        <w:tc>
          <w:tcPr>
            <w:tcW w:w="1220" w:type="dxa"/>
            <w:vAlign w:val="bottom"/>
          </w:tcPr>
          <w:p>
            <w:pPr>
              <w:jc w:val="right"/>
              <w:spacing w:after="0"/>
              <w:rPr>
                <w:sz w:val="20"/>
                <w:szCs w:val="20"/>
                <w:color w:val="auto"/>
              </w:rPr>
            </w:pPr>
            <w:r>
              <w:rPr>
                <w:rFonts w:ascii="Arial" w:cs="Arial" w:eastAsia="Arial" w:hAnsi="Arial"/>
                <w:sz w:val="14"/>
                <w:szCs w:val="14"/>
                <w:color w:val="auto"/>
              </w:rPr>
              <w:t>4.34</w:t>
            </w: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03"/>
        </w:trPr>
        <w:tc>
          <w:tcPr>
            <w:tcW w:w="2460" w:type="dxa"/>
            <w:vAlign w:val="bottom"/>
          </w:tcPr>
          <w:p>
            <w:pPr>
              <w:ind w:left="20"/>
              <w:spacing w:after="0"/>
              <w:rPr>
                <w:sz w:val="20"/>
                <w:szCs w:val="20"/>
                <w:color w:val="auto"/>
              </w:rPr>
            </w:pPr>
            <w:r>
              <w:rPr>
                <w:rFonts w:ascii="Arial" w:cs="Arial" w:eastAsia="Arial" w:hAnsi="Arial"/>
                <w:sz w:val="14"/>
                <w:szCs w:val="14"/>
                <w:color w:val="auto"/>
              </w:rPr>
              <w:t>British pound sterling</w:t>
            </w:r>
          </w:p>
        </w:tc>
        <w:tc>
          <w:tcPr>
            <w:tcW w:w="3540" w:type="dxa"/>
            <w:vAlign w:val="bottom"/>
          </w:tcPr>
          <w:p>
            <w:pPr>
              <w:ind w:left="1080"/>
              <w:spacing w:after="0"/>
              <w:rPr>
                <w:sz w:val="20"/>
                <w:szCs w:val="20"/>
                <w:color w:val="auto"/>
              </w:rPr>
            </w:pPr>
            <w:r>
              <w:rPr>
                <w:rFonts w:ascii="Arial" w:cs="Arial" w:eastAsia="Arial" w:hAnsi="Arial"/>
                <w:sz w:val="14"/>
                <w:szCs w:val="14"/>
                <w:color w:val="auto"/>
              </w:rPr>
              <w:t>Euro</w:t>
            </w:r>
          </w:p>
        </w:tc>
        <w:tc>
          <w:tcPr>
            <w:tcW w:w="1340" w:type="dxa"/>
            <w:vAlign w:val="bottom"/>
          </w:tcPr>
          <w:p>
            <w:pPr>
              <w:spacing w:after="0"/>
              <w:rPr>
                <w:sz w:val="17"/>
                <w:szCs w:val="17"/>
                <w:color w:val="auto"/>
              </w:rPr>
            </w:pP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5.8</w:t>
            </w:r>
          </w:p>
        </w:tc>
        <w:tc>
          <w:tcPr>
            <w:tcW w:w="1220" w:type="dxa"/>
            <w:vAlign w:val="bottom"/>
          </w:tcPr>
          <w:p>
            <w:pPr>
              <w:jc w:val="right"/>
              <w:spacing w:after="0"/>
              <w:rPr>
                <w:sz w:val="20"/>
                <w:szCs w:val="20"/>
                <w:color w:val="auto"/>
              </w:rPr>
            </w:pPr>
            <w:r>
              <w:rPr>
                <w:rFonts w:ascii="Arial" w:cs="Arial" w:eastAsia="Arial" w:hAnsi="Arial"/>
                <w:sz w:val="14"/>
                <w:szCs w:val="14"/>
                <w:color w:val="auto"/>
              </w:rPr>
              <w:t>0.88</w:t>
            </w:r>
          </w:p>
        </w:tc>
        <w:tc>
          <w:tcPr>
            <w:tcW w:w="30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46"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We had a number of smaller contracts at November 30, 2025 with an aggregate notional value of $11.6 million to purchase or sell other currencies. The aggregate fair value of these contracts was $(0.1) million at November 30, 2025.</w:t>
      </w:r>
    </w:p>
    <w:p>
      <w:pPr>
        <w:spacing w:after="0" w:line="99"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At November 30, 2024, we had foreign currency exchange contracts with an aggregate notional value of $1,034.2 million to purchase or sell other currencies. The aggregate fair value of these contracts was $(7.3) million at November 30, 2024.</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We also utilized cross currency interest rate swap contracts that are considered net investment hedges.</w:t>
      </w:r>
    </w:p>
    <w:p>
      <w:pPr>
        <w:spacing w:after="0" w:line="17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As of November 30, 2025 and 2024, we had cross currency interest rate swap contracts of (i) $ 250 million notional value to receive $250 million at USD Secured Overnight Financing Rate (SOFR) plus 0.907% and pay £194.1 million at three-month GBP SONIA plus 0.859% and</w:t>
      </w:r>
    </w:p>
    <w:p>
      <w:pPr>
        <w:ind w:right="360" w:firstLine="8"/>
        <w:spacing w:after="0" w:line="266" w:lineRule="auto"/>
        <w:tabs>
          <w:tab w:leader="none" w:pos="25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£194.1 million notional value to receive £194.1 million at three-month GBP SONIA plus 0.859% and pay €221.8 million at three-month Euro EURIBOR plus 0.808%. These cross-currency interest rate swap contracts expire in August 2027.</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November 30, 2025 and 2024, we also had cross currency interest rate swap contracts of (i) $250 million notional value to receive $250 million at USD SOFR plus 0.684% and pay £184.1 million at GBP SONIA plus 0.574% and (ii) £184.1 million notional value to receive £184.1 million at GBP SONIA plus 0.574% and pay €219.2 million at Euro ESTR plus 0.667%. These contracts expire in April 2030.</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38" w:name="page39"/>
    <w:bookmarkEnd w:id="38"/>
    <w:p>
      <w:pPr>
        <w:ind w:right="280"/>
        <w:spacing w:after="0" w:line="268" w:lineRule="auto"/>
        <w:rPr>
          <w:sz w:val="20"/>
          <w:szCs w:val="20"/>
          <w:color w:val="auto"/>
        </w:rPr>
      </w:pPr>
      <w:r>
        <w:rPr>
          <w:rFonts w:ascii="Arial" w:cs="Arial" w:eastAsia="Arial" w:hAnsi="Arial"/>
          <w:sz w:val="18"/>
          <w:szCs w:val="18"/>
          <w:i w:val="1"/>
          <w:iCs w:val="1"/>
          <w:color w:val="00539B"/>
        </w:rPr>
        <w:t xml:space="preserve">Interest Rate Risk </w:t>
      </w:r>
      <w:r>
        <w:rPr>
          <w:rFonts w:ascii="Arial" w:cs="Arial" w:eastAsia="Arial" w:hAnsi="Arial"/>
          <w:sz w:val="18"/>
          <w:szCs w:val="18"/>
          <w:color w:val="000000"/>
        </w:rPr>
        <w:t>– Our policy is to manage interest rate risk by entering into both fixed and variable rate debt arrangements. We are</w:t>
      </w:r>
      <w:r>
        <w:rPr>
          <w:rFonts w:ascii="Arial" w:cs="Arial" w:eastAsia="Arial" w:hAnsi="Arial"/>
          <w:sz w:val="18"/>
          <w:szCs w:val="18"/>
          <w:i w:val="1"/>
          <w:iCs w:val="1"/>
          <w:color w:val="00539B"/>
        </w:rPr>
        <w:t xml:space="preserve"> </w:t>
      </w:r>
      <w:r>
        <w:rPr>
          <w:rFonts w:ascii="Arial" w:cs="Arial" w:eastAsia="Arial" w:hAnsi="Arial"/>
          <w:sz w:val="18"/>
          <w:szCs w:val="18"/>
          <w:color w:val="000000"/>
        </w:rPr>
        <w:t>exposed to interest rate volatility, with primary exposures related to movements in U.S. Treasury rates, Secured Overnight Financing Rate (SOFR), and commercial paper rates.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also use interest rate swaps to minimize financing costs and to achieve a desired mix of fixed and variable rate debt. As of November 30, 2025 and 2024, we had interest rate swap contracts of $500 million and $600 million notional value outstanding, respectively, to receive fixed rate interest and pay variable rate interest. The table that follows provides principal cash flows and related interest rates, excluding the effect of interest rate swaps and the amortization of any discounts or fees, by fiscal year of maturity at November 30, 2025. For foreign currency-denominated debt, the information is presented in U.S. dollar equivalents. Variable interest rates are based on the weighted-average rates of the portfolio at the end of the year presented.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539B"/>
        </w:rPr>
        <w:t>YEARS OF MATURITY AT November 30, 2025</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500" w:type="dxa"/>
            <w:vAlign w:val="bottom"/>
            <w:tcBorders>
              <w:top w:val="single" w:sz="8" w:color="00539B"/>
              <w:bottom w:val="single" w:sz="8" w:color="00539B"/>
            </w:tcBorders>
          </w:tcPr>
          <w:p>
            <w:pPr>
              <w:spacing w:after="0"/>
              <w:rPr>
                <w:sz w:val="19"/>
                <w:szCs w:val="19"/>
                <w:color w:val="auto"/>
              </w:rPr>
            </w:pPr>
          </w:p>
        </w:tc>
        <w:tc>
          <w:tcPr>
            <w:tcW w:w="1260" w:type="dxa"/>
            <w:vAlign w:val="bottom"/>
            <w:tcBorders>
              <w:top w:val="single" w:sz="8" w:color="00539B"/>
              <w:bottom w:val="single" w:sz="8" w:color="00539B"/>
            </w:tcBorders>
          </w:tcPr>
          <w:p>
            <w:pPr>
              <w:spacing w:after="0"/>
              <w:rPr>
                <w:sz w:val="19"/>
                <w:szCs w:val="19"/>
                <w:color w:val="auto"/>
              </w:rPr>
            </w:pPr>
          </w:p>
        </w:tc>
        <w:tc>
          <w:tcPr>
            <w:tcW w:w="860" w:type="dxa"/>
            <w:vAlign w:val="bottom"/>
            <w:tcBorders>
              <w:top w:val="single" w:sz="8" w:color="00539B"/>
              <w:bottom w:val="single" w:sz="8" w:color="00539B"/>
            </w:tcBorders>
          </w:tcPr>
          <w:p>
            <w:pPr>
              <w:jc w:val="right"/>
              <w:ind w:right="328"/>
              <w:spacing w:after="0"/>
              <w:rPr>
                <w:sz w:val="20"/>
                <w:szCs w:val="20"/>
                <w:color w:val="auto"/>
              </w:rPr>
            </w:pPr>
            <w:r>
              <w:rPr>
                <w:rFonts w:ascii="Arial" w:cs="Arial" w:eastAsia="Arial" w:hAnsi="Arial"/>
                <w:sz w:val="14"/>
                <w:szCs w:val="14"/>
                <w:color w:val="auto"/>
              </w:rPr>
              <w:t>2026</w:t>
            </w:r>
          </w:p>
        </w:tc>
        <w:tc>
          <w:tcPr>
            <w:tcW w:w="260" w:type="dxa"/>
            <w:vAlign w:val="bottom"/>
            <w:tcBorders>
              <w:top w:val="single" w:sz="8" w:color="00539B"/>
              <w:bottom w:val="single" w:sz="8" w:color="00539B"/>
            </w:tcBorders>
          </w:tcPr>
          <w:p>
            <w:pPr>
              <w:spacing w:after="0"/>
              <w:rPr>
                <w:sz w:val="19"/>
                <w:szCs w:val="19"/>
                <w:color w:val="auto"/>
              </w:rPr>
            </w:pPr>
          </w:p>
        </w:tc>
        <w:tc>
          <w:tcPr>
            <w:tcW w:w="860" w:type="dxa"/>
            <w:vAlign w:val="bottom"/>
            <w:tcBorders>
              <w:top w:val="single" w:sz="8" w:color="00539B"/>
              <w:bottom w:val="single" w:sz="8" w:color="00539B"/>
            </w:tcBorders>
          </w:tcPr>
          <w:p>
            <w:pPr>
              <w:jc w:val="right"/>
              <w:ind w:right="328"/>
              <w:spacing w:after="0"/>
              <w:rPr>
                <w:sz w:val="20"/>
                <w:szCs w:val="20"/>
                <w:color w:val="auto"/>
              </w:rPr>
            </w:pPr>
            <w:r>
              <w:rPr>
                <w:rFonts w:ascii="Arial" w:cs="Arial" w:eastAsia="Arial" w:hAnsi="Arial"/>
                <w:sz w:val="14"/>
                <w:szCs w:val="14"/>
                <w:color w:val="auto"/>
              </w:rPr>
              <w:t>2027</w:t>
            </w:r>
          </w:p>
        </w:tc>
        <w:tc>
          <w:tcPr>
            <w:tcW w:w="260" w:type="dxa"/>
            <w:vAlign w:val="bottom"/>
            <w:tcBorders>
              <w:top w:val="single" w:sz="8" w:color="00539B"/>
              <w:bottom w:val="single" w:sz="8" w:color="00539B"/>
            </w:tcBorders>
          </w:tcPr>
          <w:p>
            <w:pPr>
              <w:spacing w:after="0"/>
              <w:rPr>
                <w:sz w:val="19"/>
                <w:szCs w:val="19"/>
                <w:color w:val="auto"/>
              </w:rPr>
            </w:pPr>
          </w:p>
        </w:tc>
        <w:tc>
          <w:tcPr>
            <w:tcW w:w="860" w:type="dxa"/>
            <w:vAlign w:val="bottom"/>
            <w:tcBorders>
              <w:top w:val="single" w:sz="8" w:color="00539B"/>
              <w:bottom w:val="single" w:sz="8" w:color="00539B"/>
            </w:tcBorders>
          </w:tcPr>
          <w:p>
            <w:pPr>
              <w:jc w:val="right"/>
              <w:ind w:right="328"/>
              <w:spacing w:after="0"/>
              <w:rPr>
                <w:sz w:val="20"/>
                <w:szCs w:val="20"/>
                <w:color w:val="auto"/>
              </w:rPr>
            </w:pPr>
            <w:r>
              <w:rPr>
                <w:rFonts w:ascii="Arial" w:cs="Arial" w:eastAsia="Arial" w:hAnsi="Arial"/>
                <w:sz w:val="14"/>
                <w:szCs w:val="14"/>
                <w:color w:val="auto"/>
              </w:rPr>
              <w:t>2028</w:t>
            </w:r>
          </w:p>
        </w:tc>
        <w:tc>
          <w:tcPr>
            <w:tcW w:w="260" w:type="dxa"/>
            <w:vAlign w:val="bottom"/>
            <w:tcBorders>
              <w:top w:val="single" w:sz="8" w:color="00539B"/>
              <w:bottom w:val="single" w:sz="8" w:color="00539B"/>
            </w:tcBorders>
          </w:tcPr>
          <w:p>
            <w:pPr>
              <w:spacing w:after="0"/>
              <w:rPr>
                <w:sz w:val="19"/>
                <w:szCs w:val="19"/>
                <w:color w:val="auto"/>
              </w:rPr>
            </w:pPr>
          </w:p>
        </w:tc>
        <w:tc>
          <w:tcPr>
            <w:tcW w:w="860" w:type="dxa"/>
            <w:vAlign w:val="bottom"/>
            <w:tcBorders>
              <w:top w:val="single" w:sz="8" w:color="00539B"/>
              <w:bottom w:val="single" w:sz="8" w:color="00539B"/>
            </w:tcBorders>
          </w:tcPr>
          <w:p>
            <w:pPr>
              <w:jc w:val="right"/>
              <w:ind w:right="328"/>
              <w:spacing w:after="0"/>
              <w:rPr>
                <w:sz w:val="20"/>
                <w:szCs w:val="20"/>
                <w:color w:val="auto"/>
              </w:rPr>
            </w:pPr>
            <w:r>
              <w:rPr>
                <w:rFonts w:ascii="Arial" w:cs="Arial" w:eastAsia="Arial" w:hAnsi="Arial"/>
                <w:sz w:val="14"/>
                <w:szCs w:val="14"/>
                <w:color w:val="auto"/>
              </w:rPr>
              <w:t>2029</w:t>
            </w:r>
          </w:p>
        </w:tc>
        <w:tc>
          <w:tcPr>
            <w:tcW w:w="180" w:type="dxa"/>
            <w:vAlign w:val="bottom"/>
            <w:tcBorders>
              <w:top w:val="single" w:sz="8" w:color="00539B"/>
              <w:bottom w:val="single" w:sz="8" w:color="00539B"/>
            </w:tcBorders>
          </w:tcPr>
          <w:p>
            <w:pPr>
              <w:spacing w:after="0"/>
              <w:rPr>
                <w:sz w:val="19"/>
                <w:szCs w:val="19"/>
                <w:color w:val="auto"/>
              </w:rPr>
            </w:pPr>
          </w:p>
        </w:tc>
        <w:tc>
          <w:tcPr>
            <w:tcW w:w="980" w:type="dxa"/>
            <w:vAlign w:val="bottom"/>
            <w:tcBorders>
              <w:top w:val="single" w:sz="8" w:color="00539B"/>
              <w:bottom w:val="single" w:sz="8" w:color="00539B"/>
            </w:tcBorders>
          </w:tcPr>
          <w:p>
            <w:pPr>
              <w:jc w:val="right"/>
              <w:ind w:right="168"/>
              <w:spacing w:after="0"/>
              <w:rPr>
                <w:sz w:val="20"/>
                <w:szCs w:val="20"/>
                <w:color w:val="auto"/>
              </w:rPr>
            </w:pPr>
            <w:r>
              <w:rPr>
                <w:rFonts w:ascii="Arial" w:cs="Arial" w:eastAsia="Arial" w:hAnsi="Arial"/>
                <w:sz w:val="14"/>
                <w:szCs w:val="14"/>
                <w:color w:val="auto"/>
              </w:rPr>
              <w:t>Thereafter</w:t>
            </w:r>
          </w:p>
        </w:tc>
        <w:tc>
          <w:tcPr>
            <w:tcW w:w="200" w:type="dxa"/>
            <w:vAlign w:val="bottom"/>
            <w:tcBorders>
              <w:top w:val="single" w:sz="8" w:color="00539B"/>
              <w:bottom w:val="single" w:sz="8" w:color="00539B"/>
            </w:tcBorders>
          </w:tcPr>
          <w:p>
            <w:pPr>
              <w:spacing w:after="0"/>
              <w:rPr>
                <w:sz w:val="19"/>
                <w:szCs w:val="19"/>
                <w:color w:val="auto"/>
              </w:rPr>
            </w:pPr>
          </w:p>
        </w:tc>
        <w:tc>
          <w:tcPr>
            <w:tcW w:w="800" w:type="dxa"/>
            <w:vAlign w:val="bottom"/>
            <w:tcBorders>
              <w:top w:val="single" w:sz="8" w:color="00539B"/>
              <w:bottom w:val="single" w:sz="8" w:color="00539B"/>
            </w:tcBorders>
          </w:tcPr>
          <w:p>
            <w:pPr>
              <w:jc w:val="right"/>
              <w:ind w:right="308"/>
              <w:spacing w:after="0"/>
              <w:rPr>
                <w:sz w:val="20"/>
                <w:szCs w:val="20"/>
                <w:color w:val="auto"/>
              </w:rPr>
            </w:pPr>
            <w:r>
              <w:rPr>
                <w:rFonts w:ascii="Arial" w:cs="Arial" w:eastAsia="Arial" w:hAnsi="Arial"/>
                <w:sz w:val="14"/>
                <w:szCs w:val="14"/>
                <w:color w:val="auto"/>
              </w:rPr>
              <w:t>Total</w:t>
            </w:r>
          </w:p>
        </w:tc>
        <w:tc>
          <w:tcPr>
            <w:tcW w:w="180" w:type="dxa"/>
            <w:vAlign w:val="bottom"/>
            <w:tcBorders>
              <w:top w:val="single" w:sz="8" w:color="00539B"/>
              <w:bottom w:val="single" w:sz="8" w:color="00539B"/>
            </w:tcBorders>
          </w:tcPr>
          <w:p>
            <w:pPr>
              <w:spacing w:after="0"/>
              <w:rPr>
                <w:sz w:val="19"/>
                <w:szCs w:val="19"/>
                <w:color w:val="auto"/>
              </w:rPr>
            </w:pPr>
          </w:p>
        </w:tc>
        <w:tc>
          <w:tcPr>
            <w:tcW w:w="880" w:type="dxa"/>
            <w:vAlign w:val="bottom"/>
            <w:tcBorders>
              <w:top w:val="single" w:sz="8" w:color="00539B"/>
              <w:bottom w:val="single" w:sz="8" w:color="00539B"/>
            </w:tcBorders>
          </w:tcPr>
          <w:p>
            <w:pPr>
              <w:jc w:val="right"/>
              <w:ind w:right="128"/>
              <w:spacing w:after="0"/>
              <w:rPr>
                <w:sz w:val="20"/>
                <w:szCs w:val="20"/>
                <w:color w:val="auto"/>
              </w:rPr>
            </w:pPr>
            <w:r>
              <w:rPr>
                <w:rFonts w:ascii="Arial" w:cs="Arial" w:eastAsia="Arial" w:hAnsi="Arial"/>
                <w:sz w:val="14"/>
                <w:szCs w:val="14"/>
                <w:color w:val="auto"/>
              </w:rPr>
              <w:t>Fair value</w:t>
            </w:r>
          </w:p>
        </w:tc>
      </w:tr>
      <w:tr>
        <w:trPr>
          <w:trHeight w:val="192"/>
        </w:trPr>
        <w:tc>
          <w:tcPr>
            <w:tcW w:w="2500" w:type="dxa"/>
            <w:vAlign w:val="bottom"/>
          </w:tcPr>
          <w:p>
            <w:pPr>
              <w:ind w:left="20"/>
              <w:spacing w:after="0"/>
              <w:rPr>
                <w:sz w:val="20"/>
                <w:szCs w:val="20"/>
                <w:color w:val="auto"/>
              </w:rPr>
            </w:pPr>
            <w:r>
              <w:rPr>
                <w:rFonts w:ascii="Arial" w:cs="Arial" w:eastAsia="Arial" w:hAnsi="Arial"/>
                <w:sz w:val="14"/>
                <w:szCs w:val="14"/>
                <w:color w:val="auto"/>
              </w:rPr>
              <w:t>Debt</w:t>
            </w:r>
          </w:p>
        </w:tc>
        <w:tc>
          <w:tcPr>
            <w:tcW w:w="1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3"/>
        </w:trPr>
        <w:tc>
          <w:tcPr>
            <w:tcW w:w="2500" w:type="dxa"/>
            <w:vAlign w:val="bottom"/>
          </w:tcPr>
          <w:p>
            <w:pPr>
              <w:ind w:left="20"/>
              <w:spacing w:after="0"/>
              <w:rPr>
                <w:sz w:val="20"/>
                <w:szCs w:val="20"/>
                <w:color w:val="auto"/>
              </w:rPr>
            </w:pPr>
            <w:r>
              <w:rPr>
                <w:rFonts w:ascii="Arial" w:cs="Arial" w:eastAsia="Arial" w:hAnsi="Arial"/>
                <w:sz w:val="14"/>
                <w:szCs w:val="14"/>
                <w:color w:val="auto"/>
              </w:rPr>
              <w:t>Fixed rate</w:t>
            </w: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538.7</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759.8</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10.4</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20.7</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2,354.7</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3,684.3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3,535.5</w:t>
            </w:r>
          </w:p>
        </w:tc>
      </w:tr>
      <w:tr>
        <w:trPr>
          <w:trHeight w:val="207"/>
        </w:trPr>
        <w:tc>
          <w:tcPr>
            <w:tcW w:w="2500" w:type="dxa"/>
            <w:vAlign w:val="bottom"/>
            <w:tcBorders>
              <w:bottom w:val="single" w:sz="8" w:color="00539B"/>
            </w:tcBorders>
          </w:tcPr>
          <w:p>
            <w:pPr>
              <w:ind w:left="140"/>
              <w:spacing w:after="0"/>
              <w:rPr>
                <w:sz w:val="20"/>
                <w:szCs w:val="20"/>
                <w:color w:val="auto"/>
              </w:rPr>
            </w:pPr>
            <w:r>
              <w:rPr>
                <w:rFonts w:ascii="Arial" w:cs="Arial" w:eastAsia="Arial" w:hAnsi="Arial"/>
                <w:sz w:val="14"/>
                <w:szCs w:val="14"/>
                <w:color w:val="auto"/>
              </w:rPr>
              <w:t>Average interest rate</w:t>
            </w:r>
          </w:p>
        </w:tc>
        <w:tc>
          <w:tcPr>
            <w:tcW w:w="1260" w:type="dxa"/>
            <w:vAlign w:val="bottom"/>
            <w:tcBorders>
              <w:bottom w:val="single" w:sz="8" w:color="00539B"/>
            </w:tcBorders>
          </w:tcPr>
          <w:p>
            <w:pPr>
              <w:spacing w:after="0"/>
              <w:rPr>
                <w:sz w:val="17"/>
                <w:szCs w:val="17"/>
                <w:color w:val="auto"/>
              </w:rPr>
            </w:pPr>
          </w:p>
        </w:tc>
        <w:tc>
          <w:tcPr>
            <w:tcW w:w="86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1.09 %</w:t>
            </w:r>
          </w:p>
        </w:tc>
        <w:tc>
          <w:tcPr>
            <w:tcW w:w="260" w:type="dxa"/>
            <w:vAlign w:val="bottom"/>
            <w:tcBorders>
              <w:bottom w:val="single" w:sz="8" w:color="00539B"/>
            </w:tcBorders>
          </w:tcPr>
          <w:p>
            <w:pPr>
              <w:spacing w:after="0"/>
              <w:rPr>
                <w:sz w:val="17"/>
                <w:szCs w:val="17"/>
                <w:color w:val="auto"/>
              </w:rPr>
            </w:pPr>
          </w:p>
        </w:tc>
        <w:tc>
          <w:tcPr>
            <w:tcW w:w="86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3.40 %</w:t>
            </w:r>
          </w:p>
        </w:tc>
        <w:tc>
          <w:tcPr>
            <w:tcW w:w="260" w:type="dxa"/>
            <w:vAlign w:val="bottom"/>
            <w:tcBorders>
              <w:bottom w:val="single" w:sz="8" w:color="00539B"/>
            </w:tcBorders>
          </w:tcPr>
          <w:p>
            <w:pPr>
              <w:spacing w:after="0"/>
              <w:rPr>
                <w:sz w:val="17"/>
                <w:szCs w:val="17"/>
                <w:color w:val="auto"/>
              </w:rPr>
            </w:pPr>
          </w:p>
        </w:tc>
        <w:tc>
          <w:tcPr>
            <w:tcW w:w="86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3.45 %</w:t>
            </w:r>
          </w:p>
        </w:tc>
        <w:tc>
          <w:tcPr>
            <w:tcW w:w="260" w:type="dxa"/>
            <w:vAlign w:val="bottom"/>
            <w:tcBorders>
              <w:bottom w:val="single" w:sz="8" w:color="00539B"/>
            </w:tcBorders>
          </w:tcPr>
          <w:p>
            <w:pPr>
              <w:spacing w:after="0"/>
              <w:rPr>
                <w:sz w:val="17"/>
                <w:szCs w:val="17"/>
                <w:color w:val="auto"/>
              </w:rPr>
            </w:pPr>
          </w:p>
        </w:tc>
        <w:tc>
          <w:tcPr>
            <w:tcW w:w="86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1.82 %</w:t>
            </w:r>
          </w:p>
        </w:tc>
        <w:tc>
          <w:tcPr>
            <w:tcW w:w="180" w:type="dxa"/>
            <w:vAlign w:val="bottom"/>
            <w:tcBorders>
              <w:bottom w:val="single" w:sz="8" w:color="00539B"/>
            </w:tcBorders>
          </w:tcPr>
          <w:p>
            <w:pPr>
              <w:spacing w:after="0"/>
              <w:rPr>
                <w:sz w:val="17"/>
                <w:szCs w:val="17"/>
                <w:color w:val="auto"/>
              </w:rPr>
            </w:pPr>
          </w:p>
        </w:tc>
        <w:tc>
          <w:tcPr>
            <w:tcW w:w="98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3.59 %</w:t>
            </w:r>
          </w:p>
        </w:tc>
        <w:tc>
          <w:tcPr>
            <w:tcW w:w="200" w:type="dxa"/>
            <w:vAlign w:val="bottom"/>
            <w:tcBorders>
              <w:bottom w:val="single" w:sz="8" w:color="00539B"/>
            </w:tcBorders>
          </w:tcPr>
          <w:p>
            <w:pPr>
              <w:spacing w:after="0"/>
              <w:rPr>
                <w:sz w:val="17"/>
                <w:szCs w:val="17"/>
                <w:color w:val="auto"/>
              </w:rPr>
            </w:pPr>
          </w:p>
        </w:tc>
        <w:tc>
          <w:tcPr>
            <w:tcW w:w="800" w:type="dxa"/>
            <w:vAlign w:val="bottom"/>
            <w:tcBorders>
              <w:bottom w:val="single" w:sz="8" w:color="00539B"/>
            </w:tcBorders>
          </w:tcPr>
          <w:p>
            <w:pPr>
              <w:spacing w:after="0"/>
              <w:rPr>
                <w:sz w:val="17"/>
                <w:szCs w:val="17"/>
                <w:color w:val="auto"/>
              </w:rPr>
            </w:pPr>
          </w:p>
        </w:tc>
        <w:tc>
          <w:tcPr>
            <w:tcW w:w="180" w:type="dxa"/>
            <w:vAlign w:val="bottom"/>
            <w:tcBorders>
              <w:bottom w:val="single" w:sz="8" w:color="00539B"/>
            </w:tcBorders>
          </w:tcPr>
          <w:p>
            <w:pPr>
              <w:spacing w:after="0"/>
              <w:rPr>
                <w:sz w:val="17"/>
                <w:szCs w:val="17"/>
                <w:color w:val="auto"/>
              </w:rPr>
            </w:pPr>
          </w:p>
        </w:tc>
        <w:tc>
          <w:tcPr>
            <w:tcW w:w="880" w:type="dxa"/>
            <w:vAlign w:val="bottom"/>
            <w:tcBorders>
              <w:bottom w:val="single" w:sz="8" w:color="00539B"/>
            </w:tcBorders>
          </w:tcPr>
          <w:p>
            <w:pPr>
              <w:spacing w:after="0"/>
              <w:rPr>
                <w:sz w:val="17"/>
                <w:szCs w:val="17"/>
                <w:color w:val="auto"/>
              </w:rPr>
            </w:pPr>
          </w:p>
        </w:tc>
      </w:tr>
      <w:tr>
        <w:trPr>
          <w:trHeight w:val="192"/>
        </w:trPr>
        <w:tc>
          <w:tcPr>
            <w:tcW w:w="2500" w:type="dxa"/>
            <w:vAlign w:val="bottom"/>
          </w:tcPr>
          <w:p>
            <w:pPr>
              <w:ind w:left="20"/>
              <w:spacing w:after="0"/>
              <w:rPr>
                <w:sz w:val="20"/>
                <w:szCs w:val="20"/>
                <w:color w:val="auto"/>
              </w:rPr>
            </w:pPr>
            <w:r>
              <w:rPr>
                <w:rFonts w:ascii="Arial" w:cs="Arial" w:eastAsia="Arial" w:hAnsi="Arial"/>
                <w:sz w:val="14"/>
                <w:szCs w:val="14"/>
                <w:color w:val="auto"/>
              </w:rPr>
              <w:t>Variable rate</w:t>
            </w: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351.8</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351.8</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351.8</w:t>
            </w:r>
          </w:p>
        </w:tc>
      </w:tr>
      <w:tr>
        <w:trPr>
          <w:trHeight w:val="218"/>
        </w:trPr>
        <w:tc>
          <w:tcPr>
            <w:tcW w:w="2500" w:type="dxa"/>
            <w:vAlign w:val="bottom"/>
            <w:tcBorders>
              <w:bottom w:val="single" w:sz="8" w:color="00539B"/>
            </w:tcBorders>
          </w:tcPr>
          <w:p>
            <w:pPr>
              <w:ind w:left="140"/>
              <w:spacing w:after="0"/>
              <w:rPr>
                <w:sz w:val="20"/>
                <w:szCs w:val="20"/>
                <w:color w:val="auto"/>
              </w:rPr>
            </w:pPr>
            <w:r>
              <w:rPr>
                <w:rFonts w:ascii="Arial" w:cs="Arial" w:eastAsia="Arial" w:hAnsi="Arial"/>
                <w:sz w:val="14"/>
                <w:szCs w:val="14"/>
                <w:color w:val="auto"/>
              </w:rPr>
              <w:t>Average interest rate</w:t>
            </w:r>
          </w:p>
        </w:tc>
        <w:tc>
          <w:tcPr>
            <w:tcW w:w="1260" w:type="dxa"/>
            <w:vAlign w:val="bottom"/>
            <w:tcBorders>
              <w:bottom w:val="single" w:sz="8" w:color="00539B"/>
            </w:tcBorders>
          </w:tcPr>
          <w:p>
            <w:pPr>
              <w:spacing w:after="0"/>
              <w:rPr>
                <w:sz w:val="18"/>
                <w:szCs w:val="18"/>
                <w:color w:val="auto"/>
              </w:rPr>
            </w:pPr>
          </w:p>
        </w:tc>
        <w:tc>
          <w:tcPr>
            <w:tcW w:w="86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4.06 %</w:t>
            </w:r>
          </w:p>
        </w:tc>
        <w:tc>
          <w:tcPr>
            <w:tcW w:w="260" w:type="dxa"/>
            <w:vAlign w:val="bottom"/>
            <w:tcBorders>
              <w:bottom w:val="single" w:sz="8" w:color="00539B"/>
            </w:tcBorders>
          </w:tcPr>
          <w:p>
            <w:pPr>
              <w:spacing w:after="0"/>
              <w:rPr>
                <w:sz w:val="18"/>
                <w:szCs w:val="18"/>
                <w:color w:val="auto"/>
              </w:rPr>
            </w:pPr>
          </w:p>
        </w:tc>
        <w:tc>
          <w:tcPr>
            <w:tcW w:w="860" w:type="dxa"/>
            <w:vAlign w:val="bottom"/>
            <w:tcBorders>
              <w:bottom w:val="single" w:sz="8" w:color="00539B"/>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00539B"/>
            </w:tcBorders>
          </w:tcPr>
          <w:p>
            <w:pPr>
              <w:spacing w:after="0"/>
              <w:rPr>
                <w:sz w:val="18"/>
                <w:szCs w:val="18"/>
                <w:color w:val="auto"/>
              </w:rPr>
            </w:pPr>
          </w:p>
        </w:tc>
        <w:tc>
          <w:tcPr>
            <w:tcW w:w="860" w:type="dxa"/>
            <w:vAlign w:val="bottom"/>
            <w:tcBorders>
              <w:bottom w:val="single" w:sz="8" w:color="00539B"/>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00539B"/>
            </w:tcBorders>
          </w:tcPr>
          <w:p>
            <w:pPr>
              <w:spacing w:after="0"/>
              <w:rPr>
                <w:sz w:val="18"/>
                <w:szCs w:val="18"/>
                <w:color w:val="auto"/>
              </w:rPr>
            </w:pPr>
          </w:p>
        </w:tc>
        <w:tc>
          <w:tcPr>
            <w:tcW w:w="860" w:type="dxa"/>
            <w:vAlign w:val="bottom"/>
            <w:tcBorders>
              <w:bottom w:val="single" w:sz="8" w:color="00539B"/>
            </w:tcBorders>
          </w:tcPr>
          <w:p>
            <w:pPr>
              <w:jc w:val="right"/>
              <w:ind w:right="10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00539B"/>
            </w:tcBorders>
          </w:tcPr>
          <w:p>
            <w:pPr>
              <w:spacing w:after="0"/>
              <w:rPr>
                <w:sz w:val="18"/>
                <w:szCs w:val="18"/>
                <w:color w:val="auto"/>
              </w:rPr>
            </w:pPr>
          </w:p>
        </w:tc>
        <w:tc>
          <w:tcPr>
            <w:tcW w:w="980" w:type="dxa"/>
            <w:vAlign w:val="bottom"/>
            <w:tcBorders>
              <w:bottom w:val="single" w:sz="8" w:color="00539B"/>
            </w:tcBorders>
          </w:tcPr>
          <w:p>
            <w:pPr>
              <w:jc w:val="right"/>
              <w:ind w:right="12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00539B"/>
            </w:tcBorders>
          </w:tcPr>
          <w:p>
            <w:pPr>
              <w:spacing w:after="0"/>
              <w:rPr>
                <w:sz w:val="18"/>
                <w:szCs w:val="18"/>
                <w:color w:val="auto"/>
              </w:rPr>
            </w:pPr>
          </w:p>
        </w:tc>
        <w:tc>
          <w:tcPr>
            <w:tcW w:w="800" w:type="dxa"/>
            <w:vAlign w:val="bottom"/>
            <w:tcBorders>
              <w:bottom w:val="single" w:sz="8" w:color="00539B"/>
            </w:tcBorders>
          </w:tcPr>
          <w:p>
            <w:pPr>
              <w:spacing w:after="0"/>
              <w:rPr>
                <w:sz w:val="18"/>
                <w:szCs w:val="18"/>
                <w:color w:val="auto"/>
              </w:rPr>
            </w:pPr>
          </w:p>
        </w:tc>
        <w:tc>
          <w:tcPr>
            <w:tcW w:w="180" w:type="dxa"/>
            <w:vAlign w:val="bottom"/>
            <w:tcBorders>
              <w:bottom w:val="single" w:sz="8" w:color="00539B"/>
            </w:tcBorders>
          </w:tcPr>
          <w:p>
            <w:pPr>
              <w:spacing w:after="0"/>
              <w:rPr>
                <w:sz w:val="18"/>
                <w:szCs w:val="18"/>
                <w:color w:val="auto"/>
              </w:rPr>
            </w:pPr>
          </w:p>
        </w:tc>
        <w:tc>
          <w:tcPr>
            <w:tcW w:w="880" w:type="dxa"/>
            <w:vAlign w:val="bottom"/>
            <w:tcBorders>
              <w:bottom w:val="single" w:sz="8" w:color="00539B"/>
            </w:tcBorders>
          </w:tcPr>
          <w:p>
            <w:pPr>
              <w:spacing w:after="0"/>
              <w:rPr>
                <w:sz w:val="18"/>
                <w:szCs w:val="18"/>
                <w:color w:val="auto"/>
              </w:rPr>
            </w:pPr>
          </w:p>
        </w:tc>
      </w:tr>
    </w:tbl>
    <w:p>
      <w:pPr>
        <w:spacing w:after="0" w:line="166" w:lineRule="exact"/>
        <w:rPr>
          <w:sz w:val="20"/>
          <w:szCs w:val="20"/>
          <w:color w:val="auto"/>
        </w:rPr>
      </w:pPr>
    </w:p>
    <w:p>
      <w:pPr>
        <w:ind w:right="280"/>
        <w:spacing w:after="0" w:line="305" w:lineRule="auto"/>
        <w:rPr>
          <w:sz w:val="20"/>
          <w:szCs w:val="20"/>
          <w:color w:val="auto"/>
        </w:rPr>
      </w:pPr>
      <w:r>
        <w:rPr>
          <w:rFonts w:ascii="Arial" w:cs="Arial" w:eastAsia="Arial" w:hAnsi="Arial"/>
          <w:sz w:val="14"/>
          <w:szCs w:val="14"/>
          <w:color w:val="auto"/>
        </w:rPr>
        <w:t>The table above displays the debt, including finance leases, by the terms of the original debt instrument without consideration of fair value, interest rate swaps, and any loan discounts or origination fees. Interest rate swaps have the following effects:</w:t>
      </w:r>
    </w:p>
    <w:p>
      <w:pPr>
        <w:spacing w:after="0" w:line="36" w:lineRule="exact"/>
        <w:rPr>
          <w:sz w:val="20"/>
          <w:szCs w:val="20"/>
          <w:color w:val="auto"/>
        </w:rPr>
      </w:pPr>
    </w:p>
    <w:p>
      <w:pPr>
        <w:ind w:left="660" w:hanging="328"/>
        <w:spacing w:after="0" w:line="269" w:lineRule="auto"/>
        <w:tabs>
          <w:tab w:leader="none" w:pos="656" w:val="left"/>
        </w:tabs>
        <w:numPr>
          <w:ilvl w:val="0"/>
          <w:numId w:val="12"/>
        </w:numPr>
        <w:rPr>
          <w:rFonts w:ascii="Arial" w:cs="Arial" w:eastAsia="Arial" w:hAnsi="Arial"/>
          <w:sz w:val="14"/>
          <w:szCs w:val="14"/>
          <w:color w:val="auto"/>
        </w:rPr>
      </w:pPr>
      <w:r>
        <w:rPr>
          <w:rFonts w:ascii="Arial" w:cs="Arial" w:eastAsia="Arial" w:hAnsi="Arial"/>
          <w:sz w:val="14"/>
          <w:szCs w:val="14"/>
          <w:color w:val="auto"/>
        </w:rPr>
        <w:t>We issued $750 million of 3.40% notes due in 2027 in August 2017. Forward treasury lock agreements settled upon issuance of these notes effectively set the interest rate on these $750 million notes at a weighted-average fixed rate of 3.44%. Separately, the fixed interest rate on $250 million of the 3.40% notes due in August 2027 was effectively converted to a variable rate by interest rate swaps through the notes maturity in 2027. Net interest payments are based on USD SOFR plus 0.907% with an effective variable rate of 4.98% as of November 30, 2025.</w:t>
      </w:r>
    </w:p>
    <w:p>
      <w:pPr>
        <w:spacing w:after="0" w:line="47" w:lineRule="exact"/>
        <w:rPr>
          <w:rFonts w:ascii="Arial" w:cs="Arial" w:eastAsia="Arial" w:hAnsi="Arial"/>
          <w:sz w:val="14"/>
          <w:szCs w:val="14"/>
          <w:color w:val="auto"/>
        </w:rPr>
      </w:pPr>
    </w:p>
    <w:p>
      <w:pPr>
        <w:ind w:left="660" w:right="20" w:hanging="328"/>
        <w:spacing w:after="0" w:line="276" w:lineRule="auto"/>
        <w:tabs>
          <w:tab w:leader="none" w:pos="656" w:val="left"/>
        </w:tabs>
        <w:numPr>
          <w:ilvl w:val="0"/>
          <w:numId w:val="12"/>
        </w:numPr>
        <w:rPr>
          <w:rFonts w:ascii="Arial" w:cs="Arial" w:eastAsia="Arial" w:hAnsi="Arial"/>
          <w:sz w:val="14"/>
          <w:szCs w:val="14"/>
          <w:color w:val="auto"/>
        </w:rPr>
      </w:pPr>
      <w:r>
        <w:rPr>
          <w:rFonts w:ascii="Arial" w:cs="Arial" w:eastAsia="Arial" w:hAnsi="Arial"/>
          <w:sz w:val="14"/>
          <w:szCs w:val="14"/>
          <w:color w:val="auto"/>
        </w:rPr>
        <w:t>We issued $500 million of 2.50% notes due April 15, 2030. Forward treasury lock agreements settled upon issuance of these notes effectively set the interest rate on these $500 million notes at a weighted-average fixed rate of 2.62%. Separately, the fixed interest rate on $250 million of the 2.50% notes due in April 2030 was effectively converted to a variable rate by interest rate swaps through the notes maturity in 2030. Net interest payments are based on USD SOFR plus 0.684% with an effective variable rate of 4.53% as of November 30, 2025.</w:t>
      </w:r>
    </w:p>
    <w:p>
      <w:pPr>
        <w:spacing w:after="0" w:line="42" w:lineRule="exact"/>
        <w:rPr>
          <w:rFonts w:ascii="Arial" w:cs="Arial" w:eastAsia="Arial" w:hAnsi="Arial"/>
          <w:sz w:val="14"/>
          <w:szCs w:val="14"/>
          <w:color w:val="auto"/>
        </w:rPr>
      </w:pPr>
    </w:p>
    <w:p>
      <w:pPr>
        <w:ind w:left="660" w:right="100" w:hanging="328"/>
        <w:spacing w:after="0" w:line="305" w:lineRule="auto"/>
        <w:tabs>
          <w:tab w:leader="none" w:pos="656" w:val="left"/>
        </w:tabs>
        <w:numPr>
          <w:ilvl w:val="0"/>
          <w:numId w:val="12"/>
        </w:numPr>
        <w:rPr>
          <w:rFonts w:ascii="Arial" w:cs="Arial" w:eastAsia="Arial" w:hAnsi="Arial"/>
          <w:sz w:val="14"/>
          <w:szCs w:val="14"/>
          <w:color w:val="auto"/>
        </w:rPr>
      </w:pPr>
      <w:r>
        <w:rPr>
          <w:rFonts w:ascii="Arial" w:cs="Arial" w:eastAsia="Arial" w:hAnsi="Arial"/>
          <w:sz w:val="14"/>
          <w:szCs w:val="14"/>
          <w:color w:val="auto"/>
        </w:rPr>
        <w:t>We issued $500 million of 4.95% notes due April 15, 2033. Forward treasury lock agreements settled upon issuance of these notes effectively set the interest rate on these $500 million notes at a weighted-average fixed rate of 5.00%.</w:t>
      </w:r>
    </w:p>
    <w:p>
      <w:pPr>
        <w:spacing w:after="0" w:line="36" w:lineRule="exact"/>
        <w:rPr>
          <w:rFonts w:ascii="Arial" w:cs="Arial" w:eastAsia="Arial" w:hAnsi="Arial"/>
          <w:sz w:val="14"/>
          <w:szCs w:val="14"/>
          <w:color w:val="auto"/>
        </w:rPr>
      </w:pPr>
    </w:p>
    <w:p>
      <w:pPr>
        <w:ind w:left="660" w:right="80" w:hanging="328"/>
        <w:spacing w:after="0" w:line="285" w:lineRule="auto"/>
        <w:tabs>
          <w:tab w:leader="none" w:pos="656" w:val="left"/>
        </w:tabs>
        <w:numPr>
          <w:ilvl w:val="0"/>
          <w:numId w:val="12"/>
        </w:numPr>
        <w:rPr>
          <w:rFonts w:ascii="Arial" w:cs="Arial" w:eastAsia="Arial" w:hAnsi="Arial"/>
          <w:sz w:val="14"/>
          <w:szCs w:val="14"/>
          <w:color w:val="auto"/>
        </w:rPr>
      </w:pPr>
      <w:r>
        <w:rPr>
          <w:rFonts w:ascii="Arial" w:cs="Arial" w:eastAsia="Arial" w:hAnsi="Arial"/>
          <w:sz w:val="14"/>
          <w:szCs w:val="14"/>
          <w:color w:val="auto"/>
        </w:rPr>
        <w:t>We issued $500 million of 4.70% notes due October 15, 2034. Forward treasury lock agreements settled upon issuance of these notes effectively set the interest rate on these $500 million notes at a weighted-average fixed rate of 4.68%.</w:t>
      </w:r>
    </w:p>
    <w:p>
      <w:pPr>
        <w:spacing w:after="0" w:line="35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00539B"/>
        </w:rPr>
        <w:t xml:space="preserve">Commodity Risk </w:t>
      </w:r>
      <w:r>
        <w:rPr>
          <w:rFonts w:ascii="Arial" w:cs="Arial" w:eastAsia="Arial" w:hAnsi="Arial"/>
          <w:sz w:val="18"/>
          <w:szCs w:val="18"/>
          <w:color w:val="000000"/>
        </w:rPr>
        <w:t>– We purchase certain raw materials which are subject to price volatility caused by weather, market conditions, growing and</w:t>
      </w:r>
      <w:r>
        <w:rPr>
          <w:rFonts w:ascii="Arial" w:cs="Arial" w:eastAsia="Arial" w:hAnsi="Arial"/>
          <w:sz w:val="18"/>
          <w:szCs w:val="18"/>
          <w:i w:val="1"/>
          <w:iCs w:val="1"/>
          <w:color w:val="00539B"/>
        </w:rPr>
        <w:t xml:space="preserve"> </w:t>
      </w:r>
      <w:r>
        <w:rPr>
          <w:rFonts w:ascii="Arial" w:cs="Arial" w:eastAsia="Arial" w:hAnsi="Arial"/>
          <w:sz w:val="18"/>
          <w:szCs w:val="18"/>
          <w:color w:val="000000"/>
        </w:rPr>
        <w:t>harvesting conditions, governmental actions, and other factors beyond our control. In 2025, our most significant raw materials were dairy products, pepper, garlic, onion, capsicums (red peppers and paprika), salt, tomato products, sugar, and soybean oil. While future movements of raw material costs are uncertain, we respond to this volatility in a number of ways, including strategic raw material purchases, purchases of raw material for future delivery, and customer price adjustments. Other than soybean oil hedging transactions used by McCormick de Mexico, we generally have not used derivatives to manage the volatility related to this risk.</w:t>
      </w:r>
    </w:p>
    <w:p>
      <w:pPr>
        <w:spacing w:after="0" w:line="12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00539B"/>
        </w:rPr>
        <w:t xml:space="preserve">Credit Risk </w:t>
      </w:r>
      <w:r>
        <w:rPr>
          <w:rFonts w:ascii="Arial" w:cs="Arial" w:eastAsia="Arial" w:hAnsi="Arial"/>
          <w:sz w:val="18"/>
          <w:szCs w:val="18"/>
          <w:color w:val="000000"/>
        </w:rPr>
        <w:t>– The customers of our Consumer segment are predominantly food retailers and food wholesalers. Consolidations in these</w:t>
      </w:r>
      <w:r>
        <w:rPr>
          <w:rFonts w:ascii="Arial" w:cs="Arial" w:eastAsia="Arial" w:hAnsi="Arial"/>
          <w:sz w:val="18"/>
          <w:szCs w:val="18"/>
          <w:i w:val="1"/>
          <w:iCs w:val="1"/>
          <w:color w:val="00539B"/>
        </w:rPr>
        <w:t xml:space="preserve"> </w:t>
      </w:r>
      <w:r>
        <w:rPr>
          <w:rFonts w:ascii="Arial" w:cs="Arial" w:eastAsia="Arial" w:hAnsi="Arial"/>
          <w:sz w:val="18"/>
          <w:szCs w:val="18"/>
          <w:color w:val="000000"/>
        </w:rPr>
        <w:t>industries have created larger customers. In addition, competition has increased with the growth in alternative channels including mass merchandisers, dollar stores, warehouse clubs, discount chains and e-commerce. This has caused some customers to be less profitable and increased our exposure to credit risk. Some of our customers and counterparties are highly leveraged. We continue to closely monitor the credit worthiness of our customers and counterparties. We feel that the allowance for doubtful accounts properly recognizes trade receivables at realizable value. We consider nonperformance credit risk for other financial instruments to be insignificant.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539B"/>
        </w:rPr>
        <w:t>RECENTLY ISSUED ACCOUNTING PRONOUNCEMENTS</w:t>
      </w:r>
    </w:p>
    <w:p>
      <w:pPr>
        <w:spacing w:after="0" w:line="104" w:lineRule="exact"/>
        <w:rPr>
          <w:sz w:val="20"/>
          <w:szCs w:val="20"/>
          <w:color w:val="auto"/>
        </w:rPr>
      </w:pPr>
    </w:p>
    <w:p>
      <w:pPr>
        <w:ind w:right="1000"/>
        <w:spacing w:after="0" w:line="287" w:lineRule="auto"/>
        <w:rPr>
          <w:sz w:val="20"/>
          <w:szCs w:val="20"/>
          <w:color w:val="auto"/>
        </w:rPr>
      </w:pPr>
      <w:r>
        <w:rPr>
          <w:rFonts w:ascii="Arial" w:cs="Arial" w:eastAsia="Arial" w:hAnsi="Arial"/>
          <w:sz w:val="18"/>
          <w:szCs w:val="18"/>
          <w:color w:val="auto"/>
        </w:rPr>
        <w:t>New accounting pronouncements are issued periodically that affect our current and future operations. See Note 1 of notes to our consolidated financial statements for further details of these impacts.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2"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00539B"/>
        </w:rPr>
        <w:t>CRITICAL ACCOUNTING ESTIMATES AND ASSUMPTIONS</w:t>
      </w:r>
    </w:p>
    <w:p>
      <w:pPr>
        <w:spacing w:after="0" w:line="104"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In preparing the financial statements, we are required to make estimates and assumptions that have an impact on the assets, liabilities, revenue, and expenses reported. These estimates can also affect supplemental information disclosed by us, including information about contingencies, risk, and financial condition. We believe, given current facts and circumstances, our estimates and assumptions are reasonable, adhere to U.S. GAAP and are consistently applied. Inherent in the nature of an estimate or assumption is the fact that actual results may differ from estimates, and estimates may vary as new facts and circumstances arise. In preparing the financial statements, we make routine estimates and judgments in determining the net realizable value of accounts receivable, inventory, fixed assets and prepaid allowances. Our most critical accounting estimates and assumptions, which are those that have or are reasonably likely to have a material impact on our financial condition or results of operations, are in the following areas: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539B"/>
        </w:rPr>
        <w:t>Customer Contracts</w:t>
      </w:r>
    </w:p>
    <w:p>
      <w:pPr>
        <w:spacing w:after="0" w:line="2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In several of our major geographic markets, the Consumer segment sells our products by entering into annual or multi-year customer arrangements. Known or expected pricing or revenue adjustments, such as trade discounts, rebates, or returns, are estimated at the time of sale. Where applicable, future reimbursements are estimated based on current expectations regarding what was earned through these programs as of the balance sheet date. Key sales terms, such as pricing and quantities ordered, are established on a frequent basis such that most customer arrangements and related incentives have a one-year or shorter duration. Estimates that affect revenue, such as trade incentives and product returns, are monitored and adjusted each period until the incentives or product returns are realized. Certain of our customer arrangements are annual arrangements such that the degree of estimates that affects revenue reduces as a year progresses. We do not believe that there will be significant changes to our estimates of customer consideration when any uncertainties are resolved with customers.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539B"/>
        </w:rPr>
        <w:t>Goodwill Impairment</w:t>
      </w:r>
    </w:p>
    <w:p>
      <w:pPr>
        <w:spacing w:after="0" w:line="2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Our reporting units are aligned with our operating segments. Determining the fair value of a reporting unit involves significant judgment and the use of estimates and assumptions, as detailed in Note 1 of our consolidated financial statements. We estimate fair value using a discounted cash flow model, which calculates this value by present valuing the future expected cash flows of our reporting units with a market-based discount rate. As required by the quantitative goodwill impairment test, we then compare the calculated estimated fair value of each reporting unit to its carrying amount, including intangible assets and goodwill. If the carrying amount exceeds the estimated fair value, an impairment charge is recognized.</w:t>
      </w:r>
    </w:p>
    <w:p>
      <w:pPr>
        <w:spacing w:after="0" w:line="1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November 30, 2025, we had $5,301.3 million of goodwill recorded in our balance sheet ($3,645.6 million in the Consumer segment and $1,655.7 million in the Flavor Solutions segment). Our fiscal year 2025 impairment testing indicated that the estimated fair values of our reporting units were significantly in excess of their carrying values. Accordingly, we believe that only significant changes in the cash flow assumptions would result in an impairment of goodwill. However, variances between the actual performance of the businesses and the assumptions that were used in developing the estimates of fair value could result in impairment charges in future periods.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539B"/>
        </w:rPr>
        <w:t>Indefinite-lived Intangible Asset Impairment</w:t>
      </w:r>
    </w:p>
    <w:p>
      <w:pPr>
        <w:spacing w:after="0" w:line="25"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Our indefinite-lived intangible assets consist of brand names and trademarks. We estimate fair values through the use of the relief-from-royalty method and then compare those fair values to the related carrying amounts of the indefinite-lived intangible asset. In the event that the fair value of any of the brand names or trademarks are less than their related carrying amounts, a non-cash impairment loss would be recognized in an amount equal to the difference.</w:t>
      </w:r>
    </w:p>
    <w:p>
      <w:pPr>
        <w:spacing w:after="0" w:line="12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estimation of fair values of our brand names and trademarks requires us to make significant assumptions, including expectations regarding sales and profits of the respective brands and trademarks, related royalty rates, income tax rates, and appropriate discount rates. These discount rates are based, in part, on current interest rates, adjusted for our assessment of reasonable country- and brand</w:t>
      </w:r>
      <w:r>
        <w:rPr>
          <w:rFonts w:ascii="Times New Roman" w:cs="Times New Roman" w:eastAsia="Times New Roman" w:hAnsi="Times New Roman"/>
          <w:sz w:val="18"/>
          <w:szCs w:val="18"/>
          <w:color w:val="auto"/>
        </w:rPr>
        <w:t>-</w:t>
      </w:r>
      <w:r>
        <w:rPr>
          <w:rFonts w:ascii="Arial" w:cs="Arial" w:eastAsia="Arial" w:hAnsi="Arial"/>
          <w:sz w:val="18"/>
          <w:szCs w:val="18"/>
          <w:color w:val="auto"/>
        </w:rPr>
        <w:t>specific risks, considering both past performance and anticipated future performance of the related brand names and trademarks</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The assumptions used to assess impairment consider historical trends, macroeconomic conditions, and projections consistent with our operating strategy. Changes in these estimates can have a significant impact on the assessment of fair value which could result in material impairment losses.</w:t>
      </w:r>
    </w:p>
    <w:p>
      <w:pPr>
        <w:spacing w:after="0" w:line="12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As of November 30, 2025, we had $3,048.8 million of brand name assets and trademarks recognized in our consolidated balance sheet, and none of the balances exceeded their estimated fair values at that date. Of the $3,048.8 million in brand name assets and trademarks as of November 30, 2025: (i) $2,320.0 million relates to the</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52" w:right="379" w:bottom="1440" w:gutter="0" w:footer="0" w:header="0"/>
        </w:sectPr>
      </w:pPr>
    </w:p>
    <w:bookmarkStart w:id="40" w:name="page41"/>
    <w:bookmarkEnd w:id="40"/>
    <w:p>
      <w:pPr>
        <w:spacing w:after="0" w:line="260" w:lineRule="auto"/>
        <w:rPr>
          <w:sz w:val="20"/>
          <w:szCs w:val="20"/>
          <w:color w:val="auto"/>
        </w:rPr>
      </w:pPr>
      <w:r>
        <w:rPr>
          <w:rFonts w:ascii="Arial" w:cs="Arial" w:eastAsia="Arial" w:hAnsi="Arial"/>
          <w:sz w:val="18"/>
          <w:szCs w:val="18"/>
          <w:color w:val="auto"/>
        </w:rPr>
        <w:t>French’s, Frank’s RedHot, and Cattlemen’s brand names and trademarks which we group for purposes of our impairment analysis; (ii) $380.0 million relates to the Cholula brand names and trademarks associated with the acquisition of Cholula in November 2020; and (iii)</w:t>
      </w:r>
    </w:p>
    <w:p>
      <w:pPr>
        <w:spacing w:after="0" w:line="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$348.8 million represents various other brand name assets and trademarks with individual carrying values ranging from $0.2 million to $106.4 million. The percentage excess of estimated fair value over respective book values for each of our brand names and trademarks exceeded 20% as of our fourth quarter annual impairment assessment except for three brand names that have an aggregate carrying value of $45.0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539B"/>
        </w:rPr>
        <w:t>Income Taxes</w:t>
      </w:r>
    </w:p>
    <w:p>
      <w:pPr>
        <w:spacing w:after="0" w:line="2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estimate income taxes and file tax returns in each taxing jurisdiction where we operate and are required to do so. At the end of each year, we record an estimate for income taxes in our financial statements. Tax returns are typically filed in the third or fourth quarter of the subsequent year. At that time, we perform a reconciliation of the estimate to the final tax return, which may result in changes to the original estimate. While we believe our tax return positions are appropriately supported, tax authorities may challenge certain positions. We evaluate our uncertain tax positions in accordance with GAAP guidance for uncertainty in income taxes. We recognize a tax benefit when it is more likely than not that the position will be sustained upon examination, based on its technical merits. The tax position is measured at the largest amount of benefit that is greater than 50 percent likely to be realized upon ultimate settlement. Any change in judgment regarding the expected resolution of uncertain tax positions is recognized in earnings in the quarter of such change. We believe our reserve for uncertain tax positions, including related interest and penalties, is adequate.</w:t>
      </w:r>
    </w:p>
    <w:p>
      <w:pPr>
        <w:spacing w:after="0" w:line="13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of November 30, 2025, the Company had $14.4 million of unrecognized tax benefits, including interest and penalties, recorded in Other long-term liabilities. The amounts ultimately paid upon resolution of audits could differ materially from those previously included in our income tax expense, potentially impacting our tax provision, net income, and cash flows. We have also recorded valuation allowances to reduce our deferred tax assets to the amount that is more likely than not to be realized. In making this assessment, we have considered future taxable income and tax planning strategies, both of which involve a number of estimates, as more fully described in Note 1 of notes to our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539B"/>
        </w:rPr>
        <w:t>Pension Benefits</w:t>
      </w:r>
    </w:p>
    <w:p>
      <w:pPr>
        <w:spacing w:after="0" w:line="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Pension plan costs require the use of assumptions regarding discount rates, investment returns, projected salary increases, and mortality rates. We review the actuarial assumptions used in our pension benefit reporting annually and compare them with external benchmarks to ensure they accurately reflect our future pension benefit obligations. While we believe these assumptions are appropriate, changes in various factors—such as actual returns on plan assets versus expected returns, as well as projected future rates of return—can affect the pension expense or income recognized. Specifically, a 1% increase or decrease in the actuarial assumption for the discount rate would impact our 2026 pension benefit expense by approximately $0.1 million. Similarly, a 1% increase or decrease in the expected return on plan assets would affect the 2026 pension expense by approximately $9.4 million.</w:t>
      </w:r>
    </w:p>
    <w:p>
      <w:pPr>
        <w:spacing w:after="0" w:line="12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will continue to evaluate the appropriateness of the assumptions used in the measurement of our pension benefit obligations. In addition, see Note 10 of notes to our consolidated financial statements for a discussion of these assumptions and the effects on the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539B"/>
        </w:rPr>
        <w:t>ITEM 7A. QUANTITATIVE AND QUALITATIVE DISCLOSURES ABOUT MARKET RISK</w:t>
      </w:r>
    </w:p>
    <w:p>
      <w:pPr>
        <w:spacing w:after="0" w:line="104"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This information is set forth in the “Market Risk Sensitivity” section of “Management’s Discussion and Analysis of Financial Condition and Results of Operations” and in Note 7 of our notes to consolidated financial statements.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00539B"/>
        </w:rPr>
        <w:t>ITEM 8. FINANCIAL STATEMENTS AND SUPPLEMENTARY DATA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539B"/>
        </w:rPr>
        <w:t>REPORT OF MANAGEMENT</w:t>
      </w:r>
    </w:p>
    <w:p>
      <w:pPr>
        <w:spacing w:after="0" w:line="117"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We are responsible for the preparation and integrity of the consolidated financial statements appearing in our Annual Report. The consolidated financial statements were prepared in conformity with United States generally accepted accounting principles and include amounts based on our estimates and judgments. All other financial information in this report has been presented on a basis consistent with the information included in the financial statements.</w:t>
      </w:r>
    </w:p>
    <w:p>
      <w:pPr>
        <w:spacing w:after="0" w:line="12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are also responsible for establishing and maintaining adequate internal control over financial reporting. We maintain a system of internal control that is designed to provide reasonable assurance as to the fair and reliable preparation and presentation of the consolidated financial statements, as well as to safeguard assets from unauthorized use or disposition.</w:t>
      </w:r>
    </w:p>
    <w:p>
      <w:pPr>
        <w:spacing w:after="0" w:line="117"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Our control environment is the foundation for our system of internal control over financial reporting and is embodied in our Business Ethics Policy. It sets the tone of our organization and includes factors such as integrity and ethical values. Our internal control over financial reporting is supported by formal policies and procedures which are reviewed, modified and improved as changes occur in business conditions and operations.</w:t>
      </w:r>
    </w:p>
    <w:p>
      <w:pPr>
        <w:spacing w:after="0" w:line="12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Audit Committee of the Board of Directors, which is composed solely of independent directors, meets periodically with members of management, the internal auditors and the independent registered public accounting firm to review and discuss internal control over financial reporting and accounting and financial reporting matters. The independent registered public accounting firm and internal auditors report to the Audit Committee and accordingly have full and free access to the Audit Committee at any time.</w:t>
      </w:r>
    </w:p>
    <w:p>
      <w:pPr>
        <w:spacing w:after="0" w:line="12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We conducted an assessment of the effectiveness of our internal control over financial reporting based on the framework in </w:t>
      </w:r>
      <w:r>
        <w:rPr>
          <w:rFonts w:ascii="Arial" w:cs="Arial" w:eastAsia="Arial" w:hAnsi="Arial"/>
          <w:sz w:val="18"/>
          <w:szCs w:val="18"/>
          <w:i w:val="1"/>
          <w:iCs w:val="1"/>
          <w:color w:val="auto"/>
        </w:rPr>
        <w:t>Internal Control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w:t>
      </w:r>
      <w:r>
        <w:rPr>
          <w:rFonts w:ascii="Arial" w:cs="Arial" w:eastAsia="Arial" w:hAnsi="Arial"/>
          <w:sz w:val="18"/>
          <w:szCs w:val="18"/>
          <w:color w:val="auto"/>
        </w:rPr>
        <w:t>issued by the Committee of Sponsoring Organizations of the Treadway Commission (2013 framework). This</w:t>
      </w:r>
      <w:r>
        <w:rPr>
          <w:rFonts w:ascii="Arial" w:cs="Arial" w:eastAsia="Arial" w:hAnsi="Arial"/>
          <w:sz w:val="18"/>
          <w:szCs w:val="18"/>
          <w:i w:val="1"/>
          <w:iCs w:val="1"/>
          <w:color w:val="auto"/>
        </w:rPr>
        <w:t xml:space="preserve"> </w:t>
      </w:r>
      <w:r>
        <w:rPr>
          <w:rFonts w:ascii="Arial" w:cs="Arial" w:eastAsia="Arial" w:hAnsi="Arial"/>
          <w:sz w:val="18"/>
          <w:szCs w:val="18"/>
          <w:color w:val="auto"/>
        </w:rPr>
        <w:t>assessment included review of the documentation of controls, evaluation of the design effectiveness of controls, testing of the operating effectiveness of controls and a conclusion on this assessment. Although there are inherent limitations in the effectiveness of any system of internal control over financial reporting, based on our assessment, we have concluded with reasonable assurance that our internal control over financial reporting was effective as of November 30, 2025.</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Our internal control over financial reporting as of November 30, 2025 has been audited by 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1234440" cy="5575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3444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Brendan M. Foley</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Chairman, President &amp;</w:t>
      </w:r>
    </w:p>
    <w:p>
      <w:pPr>
        <w:ind w:left="400"/>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148715" cy="5657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14871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Marcos M. Gabriel</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Executive Vice President &amp;</w:t>
      </w:r>
    </w:p>
    <w:p>
      <w:pPr>
        <w:ind w:left="40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899795" cy="4718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9979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Gregory P. Repas</w:t>
      </w:r>
    </w:p>
    <w:p>
      <w:pPr>
        <w:spacing w:after="0" w:line="79"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Vice President &amp; Controller</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52" w:right="39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00539B"/>
        </w:rPr>
        <w:t>REPORT OF INDEPENDENT REGISTERED PUBLIC ACCOUNTING FIRM</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McCormick &amp; Company, Incorporated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00539B"/>
        </w:rPr>
        <w:t>Opinion on Internal Control Over Financial Reporting</w:t>
      </w:r>
    </w:p>
    <w:p>
      <w:pPr>
        <w:spacing w:after="0" w:line="225"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We have audited McCormick &amp; Company, Incorporated’s internal control over financial reporting as of November 30, 2025, based on criteria established in Internal Control – Integrated Framework issued by the Committee of Sponsoring Organizations of the Treadway Commission</w:t>
      </w:r>
    </w:p>
    <w:p>
      <w:pPr>
        <w:spacing w:after="0" w:line="237" w:lineRule="auto"/>
        <w:rPr>
          <w:sz w:val="20"/>
          <w:szCs w:val="20"/>
          <w:color w:val="auto"/>
        </w:rPr>
      </w:pPr>
      <w:r>
        <w:rPr>
          <w:rFonts w:ascii="Arial" w:cs="Arial" w:eastAsia="Arial" w:hAnsi="Arial"/>
          <w:sz w:val="18"/>
          <w:szCs w:val="18"/>
          <w:color w:val="auto"/>
        </w:rPr>
        <w:t>(2013 framework) (the COSO criteria). In our opinion, McCormick &amp; Company, Incorporated (the Company) maintained, in all material respects, effective internal control over financial reporting as of November 30, 2025, based on the COSO criteria.</w:t>
      </w:r>
    </w:p>
    <w:p>
      <w:pPr>
        <w:spacing w:after="0" w:line="208"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November 30, 2025 and 2024, the related consolidated income statements, statements of comprehensive income, cash flow statements and statements of shareholders’ equity for each of the three years in the period ended November 30, 2025, and the related notes and the financial statement schedule listed in the Index at item 15(2) and our report dated January 22, 2026 expressed an unqualified opinion thereon.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00539B"/>
        </w:rPr>
        <w:t>Basis for Opinion</w:t>
      </w:r>
    </w:p>
    <w:p>
      <w:pPr>
        <w:spacing w:after="0" w:line="225"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Report of Management. Our responsibility is to express</w:t>
      </w:r>
    </w:p>
    <w:p>
      <w:pPr>
        <w:spacing w:after="0" w:line="226" w:lineRule="auto"/>
        <w:rPr>
          <w:sz w:val="20"/>
          <w:szCs w:val="20"/>
          <w:color w:val="auto"/>
        </w:rPr>
      </w:pPr>
      <w:r>
        <w:rPr>
          <w:rFonts w:ascii="Arial" w:cs="Arial" w:eastAsia="Arial" w:hAnsi="Arial"/>
          <w:sz w:val="18"/>
          <w:szCs w:val="18"/>
          <w:color w:val="auto"/>
        </w:rPr>
        <w:t>an opinion on the Company’s internal control over financial reporting based on our audit. We are a public accounting firm registered with the PCAOB and are required to be independent with respect to the Company in accordance with the U.S. federal securities laws and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applicable rules and regulations of the Securities and Exchange Commission and the PCAOB.</w:t>
      </w:r>
    </w:p>
    <w:p>
      <w:pPr>
        <w:spacing w:after="0" w:line="207"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8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procedures as we considered necessary in the circumstances. We believe that our audit provides a reasonable basis for our opinion.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0539B"/>
        </w:rPr>
        <w:t>Definition and Limitations of Internal Control Over Financial Reporting</w:t>
      </w:r>
    </w:p>
    <w:p>
      <w:pPr>
        <w:spacing w:after="0" w:line="225"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w:t>
      </w:r>
    </w:p>
    <w:p>
      <w:pPr>
        <w:spacing w:after="0" w:line="226" w:lineRule="auto"/>
        <w:rPr>
          <w:sz w:val="20"/>
          <w:szCs w:val="20"/>
          <w:color w:val="auto"/>
        </w:rPr>
      </w:pPr>
      <w:r>
        <w:rPr>
          <w:rFonts w:ascii="Arial" w:cs="Arial" w:eastAsia="Arial" w:hAnsi="Arial"/>
          <w:sz w:val="18"/>
          <w:szCs w:val="18"/>
          <w:color w:val="auto"/>
        </w:rPr>
        <w:t>principles. A company’s internal control over financial reporting includes those policies and procedures that (1) pertain to the maintenance of records that, in reasonable detail, accurately and fairly reflect the transactions and dispositions of the assets of the company; (2) provide</w:t>
      </w:r>
    </w:p>
    <w:p>
      <w:pPr>
        <w:spacing w:after="0" w:line="236" w:lineRule="auto"/>
        <w:rPr>
          <w:sz w:val="20"/>
          <w:szCs w:val="20"/>
          <w:color w:val="auto"/>
        </w:rPr>
      </w:pPr>
      <w:r>
        <w:rPr>
          <w:rFonts w:ascii="Arial" w:cs="Arial" w:eastAsia="Arial" w:hAnsi="Arial"/>
          <w:sz w:val="18"/>
          <w:szCs w:val="18"/>
          <w:color w:val="auto"/>
        </w:rPr>
        <w:t>reasonable assurance that transactions are recorded as necessary to permit preparation of financial statements in accordance with generally</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accepted accounting principles, and that receipts and expenditures of the company are being made only in accordance with authorizations of management and directors of the company; and (3) provide reasonable assurance regarding prevention or timely detection of unauthorized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acquisition, use, or disposition of the company’s assets that could have a material effect on the financial statements.</w:t>
      </w:r>
    </w:p>
    <w:p>
      <w:pPr>
        <w:spacing w:after="0" w:line="22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or that the degree of compliance with the policies or procedures may deteriorate.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1423035" cy="2654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423035"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January 22, 2026</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00539B"/>
        </w:rPr>
        <w:t>REPORT OF INDEPENDENT REGISTERED PUBLIC ACCOUNTING FIRM</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McCormick &amp; Company, Incorporated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00539B"/>
        </w:rPr>
        <w:t>Opinion on the Financial Statements</w:t>
      </w:r>
    </w:p>
    <w:p>
      <w:pPr>
        <w:spacing w:after="0" w:line="23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audited the accompanying consolidated balance sheets of McCormick &amp; Company, Incorporated (the Company) as of November 30, 2025 and 2024, the related consolidated income statements, statements of comprehensive income, cash flow statements and statements</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of shareholders’ equity for each of the three years in the period ended November 30, 2025, and the related notes and financial statement schedule listed in the Index at item 15(2) (collectively referred to as the “consolidated financial statements”). In our opinion, the consolidated</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financial statements present fairly, in all material respects, the financial position of the Company at November 30, 2025 and 2024, and the results of its operations and its cash flows for each of the three years in the period ended November 30, 2025, in conformity with U.S.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generally accepted accounting principles.</w:t>
      </w:r>
    </w:p>
    <w:p>
      <w:pPr>
        <w:spacing w:after="0" w:line="207"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November 30, 2025, based on criteria established in Internal Control – Integrated</w:t>
      </w:r>
    </w:p>
    <w:p>
      <w:pPr>
        <w:jc w:val="both"/>
        <w:spacing w:after="0" w:line="237" w:lineRule="auto"/>
        <w:rPr>
          <w:sz w:val="20"/>
          <w:szCs w:val="20"/>
          <w:color w:val="auto"/>
        </w:rPr>
      </w:pPr>
      <w:r>
        <w:rPr>
          <w:rFonts w:ascii="Arial" w:cs="Arial" w:eastAsia="Arial" w:hAnsi="Arial"/>
          <w:sz w:val="18"/>
          <w:szCs w:val="18"/>
          <w:color w:val="auto"/>
        </w:rPr>
        <w:t>Framework issued by the Committee of Sponsoring Organizations of the Treadway Commission (2013 framework) and our report dated January 22, 2026 expressed an unqualified opinion thereon.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00539B"/>
        </w:rPr>
        <w:t>Basis for Opinion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Company’s financial statements based on our audits. We are a public accounting firm registered with the PCAOB and are required to be independent with respect to the Company in accordance with the U.S. federal securities laws and the applicable rules and regulations of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and the PCAOB.</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obtain reasonable assurance about whether the financial statements are free of material misstatement, whether due to error or fraud. Our audits included performing procedures to assess the risks of material misstatement of the financial statements, whether due to error or fraud,</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and performing procedures that respond to those risks. Such procedures included examining, on a test basis, evidence regarding the amounts and disclosures in the financial statements. Our audits also included evaluating the accounting principles used and significant</w:t>
      </w:r>
    </w:p>
    <w:p>
      <w:pPr>
        <w:spacing w:after="0" w:line="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estimates made by management, as well as evaluating the overall presentation of the financial statements. We believe that our audits provide a reasonable basis for our opinion.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Critical Audit Matter</w:t>
      </w:r>
    </w:p>
    <w:p>
      <w:pPr>
        <w:spacing w:after="0" w:line="2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4282D"/>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44" w:name="page45"/>
    <w:bookmarkEnd w:id="44"/>
    <w:p>
      <w:pPr>
        <w:ind w:left="2160"/>
        <w:spacing w:after="0"/>
        <w:rPr>
          <w:sz w:val="20"/>
          <w:szCs w:val="20"/>
          <w:color w:val="auto"/>
        </w:rPr>
      </w:pPr>
      <w:r>
        <w:rPr>
          <w:rFonts w:ascii="Arial" w:cs="Arial" w:eastAsia="Arial" w:hAnsi="Arial"/>
          <w:sz w:val="18"/>
          <w:szCs w:val="18"/>
          <w:b w:val="1"/>
          <w:bCs w:val="1"/>
          <w:color w:val="auto"/>
        </w:rPr>
        <w:t>Valuation of Indefinite-lived Intangible Assets</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 xml:space="preserve">Description of the </w:t>
      </w:r>
      <w:r>
        <w:rPr>
          <w:rFonts w:ascii="Arial" w:cs="Arial" w:eastAsia="Arial" w:hAnsi="Arial"/>
          <w:sz w:val="18"/>
          <w:szCs w:val="18"/>
          <w:color w:val="auto"/>
        </w:rPr>
        <w:t>At November 30, 2025, the Company's indefinite-lived intangible assets consist of brand names and</w:t>
      </w:r>
    </w:p>
    <w:p>
      <w:pPr>
        <w:ind w:left="700"/>
        <w:spacing w:after="0" w:line="219" w:lineRule="auto"/>
        <w:tabs>
          <w:tab w:leader="none" w:pos="2140" w:val="left"/>
        </w:tabs>
        <w:rPr>
          <w:sz w:val="20"/>
          <w:szCs w:val="20"/>
          <w:color w:val="auto"/>
        </w:rPr>
      </w:pPr>
      <w:r>
        <w:rPr>
          <w:rFonts w:ascii="Arial" w:cs="Arial" w:eastAsia="Arial" w:hAnsi="Arial"/>
          <w:sz w:val="18"/>
          <w:szCs w:val="18"/>
          <w:i w:val="1"/>
          <w:iCs w:val="1"/>
          <w:color w:val="auto"/>
        </w:rPr>
        <w:t>Matter</w:t>
      </w:r>
      <w:r>
        <w:rPr>
          <w:sz w:val="20"/>
          <w:szCs w:val="20"/>
          <w:color w:val="auto"/>
        </w:rPr>
        <w:tab/>
      </w:r>
      <w:r>
        <w:rPr>
          <w:rFonts w:ascii="Arial" w:cs="Arial" w:eastAsia="Arial" w:hAnsi="Arial"/>
          <w:sz w:val="18"/>
          <w:szCs w:val="18"/>
          <w:color w:val="auto"/>
        </w:rPr>
        <w:t>trademarks with an aggregate carrying value of approximately $3.0 billion. As explained in Note 1 to the</w:t>
      </w:r>
    </w:p>
    <w:p>
      <w:pPr>
        <w:jc w:val="both"/>
        <w:ind w:left="2160"/>
        <w:spacing w:after="0" w:line="208" w:lineRule="auto"/>
        <w:rPr>
          <w:sz w:val="20"/>
          <w:szCs w:val="20"/>
          <w:color w:val="auto"/>
        </w:rPr>
      </w:pPr>
      <w:r>
        <w:rPr>
          <w:rFonts w:ascii="Arial" w:cs="Arial" w:eastAsia="Arial" w:hAnsi="Arial"/>
          <w:sz w:val="18"/>
          <w:szCs w:val="18"/>
          <w:color w:val="auto"/>
        </w:rPr>
        <w:t>consolidated financial statements, these assets are assessed for impairment at least annually using the relief-from-royalty methodology to determine their fair values. If the fair value of any brand name or trademark is less than its carrying amount, an impairment loss is recognized in an amount equal to the</w:t>
      </w:r>
    </w:p>
    <w:p>
      <w:pPr>
        <w:spacing w:after="0" w:line="2"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difference.</w:t>
      </w:r>
    </w:p>
    <w:p>
      <w:pPr>
        <w:spacing w:after="0" w:line="194" w:lineRule="exact"/>
        <w:rPr>
          <w:sz w:val="20"/>
          <w:szCs w:val="20"/>
          <w:color w:val="auto"/>
        </w:rPr>
      </w:pPr>
    </w:p>
    <w:p>
      <w:pPr>
        <w:ind w:left="2160"/>
        <w:spacing w:after="0" w:line="221" w:lineRule="auto"/>
        <w:rPr>
          <w:sz w:val="20"/>
          <w:szCs w:val="20"/>
          <w:color w:val="auto"/>
        </w:rPr>
      </w:pPr>
      <w:r>
        <w:rPr>
          <w:rFonts w:ascii="Arial" w:cs="Arial" w:eastAsia="Arial" w:hAnsi="Arial"/>
          <w:sz w:val="18"/>
          <w:szCs w:val="18"/>
          <w:color w:val="auto"/>
        </w:rPr>
        <w:t>Auditing the Company's impairment assessments is complex due to the significant estimation required in determining the fair value of the brand names and trademarks. Significant management judgment is also</w:t>
      </w:r>
    </w:p>
    <w:p>
      <w:pPr>
        <w:spacing w:after="0" w:line="1" w:lineRule="exact"/>
        <w:rPr>
          <w:sz w:val="20"/>
          <w:szCs w:val="20"/>
          <w:color w:val="auto"/>
        </w:rPr>
      </w:pPr>
    </w:p>
    <w:p>
      <w:pPr>
        <w:jc w:val="both"/>
        <w:ind w:left="2160" w:right="20"/>
        <w:spacing w:after="0" w:line="208" w:lineRule="auto"/>
        <w:rPr>
          <w:sz w:val="20"/>
          <w:szCs w:val="20"/>
          <w:color w:val="auto"/>
        </w:rPr>
      </w:pPr>
      <w:r>
        <w:rPr>
          <w:rFonts w:ascii="Arial" w:cs="Arial" w:eastAsia="Arial" w:hAnsi="Arial"/>
          <w:sz w:val="18"/>
          <w:szCs w:val="18"/>
          <w:color w:val="auto"/>
        </w:rPr>
        <w:t>involved in determining whether individual brand names and trademarks should be grouped for purposes of the fair value determination or must be evaluated individually. The Company's methodologies for estimating the fair value of these assets involve significant assumptions and inputs, including projected</w:t>
      </w:r>
    </w:p>
    <w:p>
      <w:pPr>
        <w:spacing w:after="0" w:line="2" w:lineRule="exact"/>
        <w:rPr>
          <w:sz w:val="20"/>
          <w:szCs w:val="20"/>
          <w:color w:val="auto"/>
        </w:rPr>
      </w:pPr>
    </w:p>
    <w:p>
      <w:pPr>
        <w:jc w:val="both"/>
        <w:ind w:left="2160"/>
        <w:spacing w:after="0" w:line="208" w:lineRule="auto"/>
        <w:rPr>
          <w:sz w:val="20"/>
          <w:szCs w:val="20"/>
          <w:color w:val="auto"/>
        </w:rPr>
      </w:pPr>
      <w:r>
        <w:rPr>
          <w:rFonts w:ascii="Arial" w:cs="Arial" w:eastAsia="Arial" w:hAnsi="Arial"/>
          <w:sz w:val="18"/>
          <w:szCs w:val="18"/>
          <w:color w:val="auto"/>
        </w:rPr>
        <w:t>financial information for net sales and operating profit by brand, royalty rates, and discount rates, all of which are sensitive to and affected by economic, industry, and company-specific qualitative factors. These significant assumptions and inputs are forward-looking and could be affected by future economic</w:t>
      </w:r>
    </w:p>
    <w:p>
      <w:pPr>
        <w:spacing w:after="0" w:line="2"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and market conditions.</w:t>
      </w:r>
    </w:p>
    <w:p>
      <w:pPr>
        <w:sectPr>
          <w:pgSz w:w="11900" w:h="16838" w:orient="portrait"/>
          <w:cols w:equalWidth="0" w:num="1">
            <w:col w:w="10560"/>
          </w:cols>
          <w:pgMar w:left="320" w:top="931" w:right="1019" w:bottom="1440" w:gutter="0" w:footer="0" w:header="0"/>
        </w:sectPr>
      </w:pPr>
    </w:p>
    <w:p>
      <w:pPr>
        <w:spacing w:after="0" w:line="250" w:lineRule="exact"/>
        <w:rPr>
          <w:sz w:val="20"/>
          <w:szCs w:val="20"/>
          <w:color w:val="auto"/>
        </w:rPr>
      </w:pPr>
    </w:p>
    <w:p>
      <w:pPr>
        <w:ind w:left="700"/>
        <w:spacing w:after="0" w:line="253" w:lineRule="auto"/>
        <w:rPr>
          <w:sz w:val="20"/>
          <w:szCs w:val="20"/>
          <w:color w:val="auto"/>
        </w:rPr>
      </w:pPr>
      <w:r>
        <w:rPr>
          <w:rFonts w:ascii="Arial" w:cs="Arial" w:eastAsia="Arial" w:hAnsi="Arial"/>
          <w:sz w:val="17"/>
          <w:szCs w:val="17"/>
          <w:i w:val="1"/>
          <w:iCs w:val="1"/>
          <w:color w:val="auto"/>
        </w:rPr>
        <w:t>How We Addressed the</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We obtained an understanding, evaluated the design and tested the operating effectiveness of the Company's controls over the Company’s indefinite-lived intangible asset impairment assessments,</w:t>
      </w:r>
    </w:p>
    <w:p>
      <w:pPr>
        <w:spacing w:after="0" w:line="1" w:lineRule="exact"/>
        <w:rPr>
          <w:sz w:val="20"/>
          <w:szCs w:val="20"/>
          <w:color w:val="auto"/>
        </w:rPr>
      </w:pPr>
    </w:p>
    <w:p>
      <w:pPr>
        <w:sectPr>
          <w:pgSz w:w="11900" w:h="16838" w:orient="portrait"/>
          <w:cols w:equalWidth="0" w:num="2">
            <w:col w:w="1860" w:space="300"/>
            <w:col w:w="8400"/>
          </w:cols>
          <w:pgMar w:left="320" w:top="931" w:right="1019" w:bottom="1440" w:gutter="0" w:footer="0" w:header="0"/>
          <w:type w:val="continuous"/>
        </w:sectPr>
      </w:pPr>
    </w:p>
    <w:p>
      <w:pPr>
        <w:ind w:left="700"/>
        <w:spacing w:after="0" w:line="187" w:lineRule="auto"/>
        <w:rPr>
          <w:sz w:val="20"/>
          <w:szCs w:val="20"/>
          <w:color w:val="auto"/>
        </w:rPr>
      </w:pPr>
      <w:r>
        <w:rPr>
          <w:rFonts w:ascii="Arial" w:cs="Arial" w:eastAsia="Arial" w:hAnsi="Arial"/>
          <w:sz w:val="16"/>
          <w:szCs w:val="16"/>
          <w:i w:val="1"/>
          <w:iCs w:val="1"/>
          <w:color w:val="auto"/>
        </w:rPr>
        <w:t>Matter in Our</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Audit</w:t>
      </w:r>
    </w:p>
    <w:p>
      <w:pPr>
        <w:spacing w:after="0" w:line="20" w:lineRule="exact"/>
        <w:rPr>
          <w:sz w:val="20"/>
          <w:szCs w:val="20"/>
          <w:color w:val="auto"/>
        </w:rPr>
      </w:pPr>
      <w:r>
        <w:rPr>
          <w:sz w:val="20"/>
          <w:szCs w:val="20"/>
          <w:color w:val="auto"/>
        </w:rPr>
        <w:br w:type="column"/>
      </w:r>
    </w:p>
    <w:p>
      <w:pPr>
        <w:jc w:val="both"/>
        <w:ind w:right="20"/>
        <w:spacing w:after="0" w:line="208" w:lineRule="auto"/>
        <w:rPr>
          <w:sz w:val="20"/>
          <w:szCs w:val="20"/>
          <w:color w:val="auto"/>
        </w:rPr>
      </w:pPr>
      <w:r>
        <w:rPr>
          <w:rFonts w:ascii="Arial" w:cs="Arial" w:eastAsia="Arial" w:hAnsi="Arial"/>
          <w:sz w:val="18"/>
          <w:szCs w:val="18"/>
          <w:color w:val="auto"/>
        </w:rPr>
        <w:t>including controls over management’s review of its asset groupings and the significant assumptions described above. We tested controls over the review of methodologies used, significant assumptions and inputs, asset groupings, and completeness and accuracy of the data used in the measurements.</w:t>
      </w:r>
    </w:p>
    <w:p>
      <w:pPr>
        <w:spacing w:after="0" w:line="127" w:lineRule="exact"/>
        <w:rPr>
          <w:sz w:val="20"/>
          <w:szCs w:val="20"/>
          <w:color w:val="auto"/>
        </w:rPr>
      </w:pPr>
    </w:p>
    <w:p>
      <w:pPr>
        <w:sectPr>
          <w:pgSz w:w="11900" w:h="16838" w:orient="portrait"/>
          <w:cols w:equalWidth="0" w:num="2">
            <w:col w:w="1740" w:space="420"/>
            <w:col w:w="8400"/>
          </w:cols>
          <w:pgMar w:left="320" w:top="931" w:right="1019" w:bottom="1440" w:gutter="0" w:footer="0" w:header="0"/>
          <w:type w:val="continuous"/>
        </w:sectPr>
      </w:pPr>
    </w:p>
    <w:p>
      <w:pPr>
        <w:jc w:val="both"/>
        <w:ind w:left="2160"/>
        <w:spacing w:after="0" w:line="215" w:lineRule="auto"/>
        <w:rPr>
          <w:sz w:val="20"/>
          <w:szCs w:val="20"/>
          <w:color w:val="auto"/>
        </w:rPr>
      </w:pPr>
      <w:r>
        <w:rPr>
          <w:rFonts w:ascii="Arial" w:cs="Arial" w:eastAsia="Arial" w:hAnsi="Arial"/>
          <w:sz w:val="18"/>
          <w:szCs w:val="18"/>
          <w:color w:val="auto"/>
        </w:rPr>
        <w:t>To test the estimated fair value of the Company’s indefinite-lived intangible assets, we performed audit procedures that included, among others, evaluating the asset groupings used by the Company to perform its impairment assessments, assessing the methodologies, and testing the significant assumptions</w:t>
      </w:r>
    </w:p>
    <w:p>
      <w:pPr>
        <w:spacing w:after="0" w:line="2" w:lineRule="exact"/>
        <w:rPr>
          <w:sz w:val="20"/>
          <w:szCs w:val="20"/>
          <w:color w:val="auto"/>
        </w:rPr>
      </w:pPr>
    </w:p>
    <w:p>
      <w:pPr>
        <w:jc w:val="both"/>
        <w:ind w:left="2160" w:right="20"/>
        <w:spacing w:after="0" w:line="208" w:lineRule="auto"/>
        <w:rPr>
          <w:sz w:val="20"/>
          <w:szCs w:val="20"/>
          <w:color w:val="auto"/>
        </w:rPr>
      </w:pPr>
      <w:r>
        <w:rPr>
          <w:rFonts w:ascii="Arial" w:cs="Arial" w:eastAsia="Arial" w:hAnsi="Arial"/>
          <w:sz w:val="18"/>
          <w:szCs w:val="18"/>
          <w:color w:val="auto"/>
        </w:rPr>
        <w:t>discussed above and the underlying data used by the Company in its analyses. We compared the significant assumptions to current industry, market and economic trends, to the Company's historical results, to other guideline companies within the same industry, and to other relevant data. In addition, we</w:t>
      </w:r>
    </w:p>
    <w:p>
      <w:pPr>
        <w:spacing w:after="0" w:line="2" w:lineRule="exact"/>
        <w:rPr>
          <w:sz w:val="20"/>
          <w:szCs w:val="20"/>
          <w:color w:val="auto"/>
        </w:rPr>
      </w:pPr>
    </w:p>
    <w:p>
      <w:pPr>
        <w:jc w:val="both"/>
        <w:ind w:left="2160"/>
        <w:spacing w:after="0" w:line="208" w:lineRule="auto"/>
        <w:rPr>
          <w:sz w:val="20"/>
          <w:szCs w:val="20"/>
          <w:color w:val="auto"/>
        </w:rPr>
      </w:pPr>
      <w:r>
        <w:rPr>
          <w:rFonts w:ascii="Arial" w:cs="Arial" w:eastAsia="Arial" w:hAnsi="Arial"/>
          <w:sz w:val="18"/>
          <w:szCs w:val="18"/>
          <w:color w:val="auto"/>
        </w:rPr>
        <w:t>evaluated management’s ability to estimate net sales by comparing the current year actual net sales for certain brand names or trademarks to the estimates made in the Company’s prior year impairment assessments. We also performed sensitivity analyses of certain significant assumptions to evaluate the</w:t>
      </w:r>
    </w:p>
    <w:p>
      <w:pPr>
        <w:spacing w:after="0" w:line="2" w:lineRule="exact"/>
        <w:rPr>
          <w:sz w:val="20"/>
          <w:szCs w:val="20"/>
          <w:color w:val="auto"/>
        </w:rPr>
      </w:pPr>
    </w:p>
    <w:p>
      <w:pPr>
        <w:jc w:val="both"/>
        <w:ind w:left="2160" w:right="20"/>
        <w:spacing w:after="0" w:line="208" w:lineRule="auto"/>
        <w:rPr>
          <w:sz w:val="20"/>
          <w:szCs w:val="20"/>
          <w:color w:val="auto"/>
        </w:rPr>
      </w:pPr>
      <w:r>
        <w:rPr>
          <w:rFonts w:ascii="Arial" w:cs="Arial" w:eastAsia="Arial" w:hAnsi="Arial"/>
          <w:sz w:val="18"/>
          <w:szCs w:val="18"/>
          <w:color w:val="auto"/>
        </w:rPr>
        <w:t>potential change in the fair values of the brand names and trademarks resulting from hypothetical changes in underlying assumptions. We used an internal valuation specialist to assist in our evaluation of the methodologies used and significant assumptions and inputs used by the Company to determine the</w:t>
      </w:r>
    </w:p>
    <w:p>
      <w:pPr>
        <w:spacing w:after="0" w:line="2"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estimated fair value of certain brand names and trademarks.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1423035" cy="2654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423035" cy="265430"/>
                    </a:xfrm>
                    <a:prstGeom prst="rect">
                      <a:avLst/>
                    </a:prstGeom>
                    <a:noFill/>
                  </pic:spPr>
                </pic:pic>
              </a:graphicData>
            </a:graphic>
          </wp:anchor>
        </w:drawing>
      </w:r>
    </w:p>
    <w:p>
      <w:pPr>
        <w:sectPr>
          <w:pgSz w:w="11900" w:h="16838" w:orient="portrait"/>
          <w:cols w:equalWidth="0" w:num="1">
            <w:col w:w="10560"/>
          </w:cols>
          <w:pgMar w:left="320" w:top="931" w:right="10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1982.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January 22, 2026</w:t>
      </w:r>
    </w:p>
    <w:p>
      <w:pPr>
        <w:spacing w:after="0" w:line="200" w:lineRule="exact"/>
        <w:rPr>
          <w:sz w:val="20"/>
          <w:szCs w:val="20"/>
          <w:color w:val="auto"/>
        </w:rPr>
      </w:pPr>
    </w:p>
    <w:p>
      <w:pPr>
        <w:spacing w:after="0" w:line="34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931" w:right="101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b w:val="1"/>
          <w:bCs w:val="1"/>
          <w:color w:val="00539B"/>
        </w:rPr>
        <w:t>CONSOLIDATED INCOME STATEMENTS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920" w:type="dxa"/>
            <w:vAlign w:val="bottom"/>
            <w:tcBorders>
              <w:top w:val="single" w:sz="8" w:color="00539B"/>
              <w:bottom w:val="single" w:sz="8" w:color="00539B"/>
            </w:tcBorders>
          </w:tcPr>
          <w:p>
            <w:pPr>
              <w:ind w:left="20"/>
              <w:spacing w:after="0"/>
              <w:rPr>
                <w:sz w:val="20"/>
                <w:szCs w:val="20"/>
                <w:color w:val="auto"/>
              </w:rPr>
            </w:pPr>
            <w:r>
              <w:rPr>
                <w:rFonts w:ascii="Arial" w:cs="Arial" w:eastAsia="Arial" w:hAnsi="Arial"/>
                <w:sz w:val="14"/>
                <w:szCs w:val="14"/>
                <w:color w:val="auto"/>
              </w:rPr>
              <w:t>for the year ended November 30 (millions except per share data)</w:t>
            </w:r>
          </w:p>
        </w:tc>
        <w:tc>
          <w:tcPr>
            <w:tcW w:w="80" w:type="dxa"/>
            <w:vAlign w:val="bottom"/>
            <w:tcBorders>
              <w:top w:val="single" w:sz="8" w:color="00539B"/>
              <w:bottom w:val="single" w:sz="8" w:color="00539B"/>
            </w:tcBorders>
          </w:tcPr>
          <w:p>
            <w:pPr>
              <w:spacing w:after="0"/>
              <w:rPr>
                <w:sz w:val="19"/>
                <w:szCs w:val="19"/>
                <w:color w:val="auto"/>
              </w:rPr>
            </w:pPr>
          </w:p>
        </w:tc>
        <w:tc>
          <w:tcPr>
            <w:tcW w:w="120" w:type="dxa"/>
            <w:vAlign w:val="bottom"/>
            <w:tcBorders>
              <w:top w:val="single" w:sz="8" w:color="00539B"/>
              <w:bottom w:val="single" w:sz="8" w:color="00539B"/>
            </w:tcBorders>
            <w:shd w:val="clear" w:color="auto" w:fill="E0E3F1"/>
          </w:tcPr>
          <w:p>
            <w:pPr>
              <w:spacing w:after="0"/>
              <w:rPr>
                <w:sz w:val="19"/>
                <w:szCs w:val="19"/>
                <w:color w:val="auto"/>
              </w:rPr>
            </w:pPr>
          </w:p>
        </w:tc>
        <w:tc>
          <w:tcPr>
            <w:tcW w:w="1240" w:type="dxa"/>
            <w:vAlign w:val="bottom"/>
            <w:tcBorders>
              <w:top w:val="single" w:sz="8" w:color="00539B"/>
              <w:bottom w:val="single" w:sz="8" w:color="00539B"/>
            </w:tcBorders>
            <w:shd w:val="clear" w:color="auto" w:fill="E0E3F1"/>
          </w:tcPr>
          <w:p>
            <w:pPr>
              <w:jc w:val="right"/>
              <w:ind w:right="411"/>
              <w:spacing w:after="0"/>
              <w:rPr>
                <w:sz w:val="20"/>
                <w:szCs w:val="20"/>
                <w:color w:val="auto"/>
              </w:rPr>
            </w:pPr>
            <w:r>
              <w:rPr>
                <w:rFonts w:ascii="Arial" w:cs="Arial" w:eastAsia="Arial" w:hAnsi="Arial"/>
                <w:sz w:val="14"/>
                <w:szCs w:val="14"/>
                <w:color w:val="auto"/>
              </w:rPr>
              <w:t>2025</w:t>
            </w:r>
          </w:p>
        </w:tc>
        <w:tc>
          <w:tcPr>
            <w:tcW w:w="360" w:type="dxa"/>
            <w:vAlign w:val="bottom"/>
            <w:tcBorders>
              <w:top w:val="single" w:sz="8" w:color="00539B"/>
              <w:left w:val="single" w:sz="8" w:color="E0E3F1"/>
              <w:bottom w:val="single" w:sz="8" w:color="00539B"/>
            </w:tcBorders>
          </w:tcPr>
          <w:p>
            <w:pPr>
              <w:spacing w:after="0"/>
              <w:rPr>
                <w:sz w:val="19"/>
                <w:szCs w:val="19"/>
                <w:color w:val="auto"/>
              </w:rPr>
            </w:pPr>
          </w:p>
        </w:tc>
        <w:tc>
          <w:tcPr>
            <w:tcW w:w="1060" w:type="dxa"/>
            <w:vAlign w:val="bottom"/>
            <w:tcBorders>
              <w:top w:val="single" w:sz="8" w:color="00539B"/>
              <w:bottom w:val="single" w:sz="8" w:color="00539B"/>
            </w:tcBorders>
          </w:tcPr>
          <w:p>
            <w:pPr>
              <w:jc w:val="right"/>
              <w:ind w:right="451"/>
              <w:spacing w:after="0"/>
              <w:rPr>
                <w:sz w:val="20"/>
                <w:szCs w:val="20"/>
                <w:color w:val="auto"/>
              </w:rPr>
            </w:pPr>
            <w:r>
              <w:rPr>
                <w:rFonts w:ascii="Arial" w:cs="Arial" w:eastAsia="Arial" w:hAnsi="Arial"/>
                <w:sz w:val="14"/>
                <w:szCs w:val="14"/>
                <w:color w:val="auto"/>
              </w:rPr>
              <w:t>2024</w:t>
            </w:r>
          </w:p>
        </w:tc>
        <w:tc>
          <w:tcPr>
            <w:tcW w:w="340" w:type="dxa"/>
            <w:vAlign w:val="bottom"/>
            <w:tcBorders>
              <w:top w:val="single" w:sz="8" w:color="00539B"/>
              <w:bottom w:val="single" w:sz="8" w:color="00539B"/>
            </w:tcBorders>
          </w:tcPr>
          <w:p>
            <w:pPr>
              <w:spacing w:after="0"/>
              <w:rPr>
                <w:sz w:val="19"/>
                <w:szCs w:val="19"/>
                <w:color w:val="auto"/>
              </w:rPr>
            </w:pPr>
          </w:p>
        </w:tc>
        <w:tc>
          <w:tcPr>
            <w:tcW w:w="1080" w:type="dxa"/>
            <w:vAlign w:val="bottom"/>
            <w:tcBorders>
              <w:top w:val="single" w:sz="8" w:color="00539B"/>
              <w:bottom w:val="single" w:sz="8" w:color="00539B"/>
            </w:tcBorders>
          </w:tcPr>
          <w:p>
            <w:pPr>
              <w:jc w:val="right"/>
              <w:ind w:right="451"/>
              <w:spacing w:after="0"/>
              <w:rPr>
                <w:sz w:val="20"/>
                <w:szCs w:val="20"/>
                <w:color w:val="auto"/>
              </w:rPr>
            </w:pPr>
            <w:r>
              <w:rPr>
                <w:rFonts w:ascii="Arial" w:cs="Arial" w:eastAsia="Arial" w:hAnsi="Arial"/>
                <w:sz w:val="14"/>
                <w:szCs w:val="14"/>
                <w:color w:val="auto"/>
              </w:rPr>
              <w:t>2023</w:t>
            </w:r>
          </w:p>
        </w:tc>
      </w:tr>
      <w:tr>
        <w:trPr>
          <w:trHeight w:val="227"/>
        </w:trPr>
        <w:tc>
          <w:tcPr>
            <w:tcW w:w="6920" w:type="dxa"/>
            <w:vAlign w:val="bottom"/>
          </w:tcPr>
          <w:p>
            <w:pPr>
              <w:ind w:left="20"/>
              <w:spacing w:after="0"/>
              <w:rPr>
                <w:sz w:val="20"/>
                <w:szCs w:val="20"/>
                <w:color w:val="auto"/>
              </w:rPr>
            </w:pPr>
            <w:r>
              <w:rPr>
                <w:rFonts w:ascii="Arial" w:cs="Arial" w:eastAsia="Arial" w:hAnsi="Arial"/>
                <w:sz w:val="18"/>
                <w:szCs w:val="18"/>
                <w:color w:val="auto"/>
              </w:rPr>
              <w:t>Net sales</w:t>
            </w:r>
          </w:p>
        </w:tc>
        <w:tc>
          <w:tcPr>
            <w:tcW w:w="80" w:type="dxa"/>
            <w:vAlign w:val="bottom"/>
          </w:tcPr>
          <w:p>
            <w:pPr>
              <w:spacing w:after="0"/>
              <w:rPr>
                <w:sz w:val="19"/>
                <w:szCs w:val="19"/>
                <w:color w:val="auto"/>
              </w:rPr>
            </w:pPr>
          </w:p>
        </w:tc>
        <w:tc>
          <w:tcPr>
            <w:tcW w:w="120" w:type="dxa"/>
            <w:vAlign w:val="bottom"/>
            <w:shd w:val="clear" w:color="auto" w:fill="E0E3F1"/>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E0E3F1"/>
          </w:tcPr>
          <w:p>
            <w:pPr>
              <w:jc w:val="right"/>
              <w:spacing w:after="0"/>
              <w:rPr>
                <w:sz w:val="20"/>
                <w:szCs w:val="20"/>
                <w:color w:val="auto"/>
              </w:rPr>
            </w:pPr>
            <w:r>
              <w:rPr>
                <w:rFonts w:ascii="Arial" w:cs="Arial" w:eastAsia="Arial" w:hAnsi="Arial"/>
                <w:sz w:val="18"/>
                <w:szCs w:val="18"/>
                <w:color w:val="auto"/>
              </w:rPr>
              <w:t>6,840.3</w:t>
            </w:r>
          </w:p>
        </w:tc>
        <w:tc>
          <w:tcPr>
            <w:tcW w:w="360" w:type="dxa"/>
            <w:vAlign w:val="bottom"/>
            <w:tcBorders>
              <w:left w:val="single" w:sz="8" w:color="E0E3F1"/>
            </w:tcBorders>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6,723.7</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6,662.2</w:t>
            </w:r>
          </w:p>
        </w:tc>
      </w:tr>
      <w:tr>
        <w:trPr>
          <w:trHeight w:val="229"/>
        </w:trPr>
        <w:tc>
          <w:tcPr>
            <w:tcW w:w="6920" w:type="dxa"/>
            <w:vAlign w:val="bottom"/>
            <w:tcBorders>
              <w:bottom w:val="single" w:sz="8" w:color="00539B"/>
            </w:tcBorders>
          </w:tcPr>
          <w:p>
            <w:pPr>
              <w:ind w:left="360"/>
              <w:spacing w:after="0"/>
              <w:rPr>
                <w:sz w:val="20"/>
                <w:szCs w:val="20"/>
                <w:color w:val="auto"/>
              </w:rPr>
            </w:pPr>
            <w:r>
              <w:rPr>
                <w:rFonts w:ascii="Arial" w:cs="Arial" w:eastAsia="Arial" w:hAnsi="Arial"/>
                <w:sz w:val="18"/>
                <w:szCs w:val="18"/>
                <w:color w:val="auto"/>
              </w:rPr>
              <w:t>Cost of goods sold</w:t>
            </w:r>
          </w:p>
        </w:tc>
        <w:tc>
          <w:tcPr>
            <w:tcW w:w="80" w:type="dxa"/>
            <w:vAlign w:val="bottom"/>
            <w:tcBorders>
              <w:bottom w:val="single" w:sz="8" w:color="00539B"/>
            </w:tcBorders>
          </w:tcPr>
          <w:p>
            <w:pPr>
              <w:spacing w:after="0"/>
              <w:rPr>
                <w:sz w:val="19"/>
                <w:szCs w:val="19"/>
                <w:color w:val="auto"/>
              </w:rPr>
            </w:pPr>
          </w:p>
        </w:tc>
        <w:tc>
          <w:tcPr>
            <w:tcW w:w="120" w:type="dxa"/>
            <w:vAlign w:val="bottom"/>
            <w:tcBorders>
              <w:bottom w:val="single" w:sz="8" w:color="00539B"/>
            </w:tcBorders>
            <w:shd w:val="clear" w:color="auto" w:fill="E0E3F1"/>
          </w:tcPr>
          <w:p>
            <w:pPr>
              <w:spacing w:after="0"/>
              <w:rPr>
                <w:sz w:val="19"/>
                <w:szCs w:val="19"/>
                <w:color w:val="auto"/>
              </w:rPr>
            </w:pPr>
          </w:p>
        </w:tc>
        <w:tc>
          <w:tcPr>
            <w:tcW w:w="124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8"/>
                <w:szCs w:val="18"/>
                <w:color w:val="auto"/>
              </w:rPr>
              <w:t>4,248.1</w:t>
            </w:r>
          </w:p>
        </w:tc>
        <w:tc>
          <w:tcPr>
            <w:tcW w:w="360" w:type="dxa"/>
            <w:vAlign w:val="bottom"/>
            <w:tcBorders>
              <w:left w:val="single" w:sz="8" w:color="E0E3F1"/>
              <w:bottom w:val="single" w:sz="8" w:color="00539B"/>
            </w:tcBorders>
          </w:tcPr>
          <w:p>
            <w:pPr>
              <w:spacing w:after="0"/>
              <w:rPr>
                <w:sz w:val="19"/>
                <w:szCs w:val="19"/>
                <w:color w:val="auto"/>
              </w:rPr>
            </w:pPr>
          </w:p>
        </w:tc>
        <w:tc>
          <w:tcPr>
            <w:tcW w:w="1060" w:type="dxa"/>
            <w:vAlign w:val="bottom"/>
            <w:tcBorders>
              <w:bottom w:val="single" w:sz="8" w:color="00539B"/>
            </w:tcBorders>
          </w:tcPr>
          <w:p>
            <w:pPr>
              <w:jc w:val="right"/>
              <w:spacing w:after="0"/>
              <w:rPr>
                <w:sz w:val="20"/>
                <w:szCs w:val="20"/>
                <w:color w:val="auto"/>
              </w:rPr>
            </w:pPr>
            <w:r>
              <w:rPr>
                <w:rFonts w:ascii="Arial" w:cs="Arial" w:eastAsia="Arial" w:hAnsi="Arial"/>
                <w:sz w:val="18"/>
                <w:szCs w:val="18"/>
                <w:color w:val="auto"/>
              </w:rPr>
              <w:t>4,132.7</w:t>
            </w:r>
          </w:p>
        </w:tc>
        <w:tc>
          <w:tcPr>
            <w:tcW w:w="340" w:type="dxa"/>
            <w:vAlign w:val="bottom"/>
            <w:tcBorders>
              <w:bottom w:val="single" w:sz="8" w:color="00539B"/>
            </w:tcBorders>
          </w:tcPr>
          <w:p>
            <w:pPr>
              <w:spacing w:after="0"/>
              <w:rPr>
                <w:sz w:val="19"/>
                <w:szCs w:val="19"/>
                <w:color w:val="auto"/>
              </w:rPr>
            </w:pPr>
          </w:p>
        </w:tc>
        <w:tc>
          <w:tcPr>
            <w:tcW w:w="1080" w:type="dxa"/>
            <w:vAlign w:val="bottom"/>
            <w:tcBorders>
              <w:bottom w:val="single" w:sz="8" w:color="00539B"/>
            </w:tcBorders>
          </w:tcPr>
          <w:p>
            <w:pPr>
              <w:jc w:val="right"/>
              <w:spacing w:after="0"/>
              <w:rPr>
                <w:sz w:val="20"/>
                <w:szCs w:val="20"/>
                <w:color w:val="auto"/>
              </w:rPr>
            </w:pPr>
            <w:r>
              <w:rPr>
                <w:rFonts w:ascii="Arial" w:cs="Arial" w:eastAsia="Arial" w:hAnsi="Arial"/>
                <w:sz w:val="18"/>
                <w:szCs w:val="18"/>
                <w:color w:val="auto"/>
              </w:rPr>
              <w:t>4,159.7</w:t>
            </w:r>
          </w:p>
        </w:tc>
      </w:tr>
      <w:tr>
        <w:trPr>
          <w:trHeight w:val="218"/>
        </w:trPr>
        <w:tc>
          <w:tcPr>
            <w:tcW w:w="692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80" w:type="dxa"/>
            <w:vAlign w:val="bottom"/>
          </w:tcPr>
          <w:p>
            <w:pPr>
              <w:spacing w:after="0"/>
              <w:rPr>
                <w:sz w:val="18"/>
                <w:szCs w:val="18"/>
                <w:color w:val="auto"/>
              </w:rPr>
            </w:pPr>
          </w:p>
        </w:tc>
        <w:tc>
          <w:tcPr>
            <w:tcW w:w="120" w:type="dxa"/>
            <w:vAlign w:val="bottom"/>
            <w:shd w:val="clear" w:color="auto" w:fill="E0E3F1"/>
          </w:tcPr>
          <w:p>
            <w:pPr>
              <w:spacing w:after="0"/>
              <w:rPr>
                <w:sz w:val="18"/>
                <w:szCs w:val="18"/>
                <w:color w:val="auto"/>
              </w:rPr>
            </w:pPr>
          </w:p>
        </w:tc>
        <w:tc>
          <w:tcPr>
            <w:tcW w:w="1240" w:type="dxa"/>
            <w:vAlign w:val="bottom"/>
            <w:shd w:val="clear" w:color="auto" w:fill="E0E3F1"/>
          </w:tcPr>
          <w:p>
            <w:pPr>
              <w:jc w:val="right"/>
              <w:spacing w:after="0"/>
              <w:rPr>
                <w:sz w:val="20"/>
                <w:szCs w:val="20"/>
                <w:color w:val="auto"/>
              </w:rPr>
            </w:pPr>
            <w:r>
              <w:rPr>
                <w:rFonts w:ascii="Arial" w:cs="Arial" w:eastAsia="Arial" w:hAnsi="Arial"/>
                <w:sz w:val="18"/>
                <w:szCs w:val="18"/>
                <w:color w:val="auto"/>
              </w:rPr>
              <w:t>2,592.2</w:t>
            </w:r>
          </w:p>
        </w:tc>
        <w:tc>
          <w:tcPr>
            <w:tcW w:w="360" w:type="dxa"/>
            <w:vAlign w:val="bottom"/>
            <w:tcBorders>
              <w:left w:val="single" w:sz="8" w:color="E0E3F1"/>
            </w:tcBorders>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2,591.0</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2,502.5</w:t>
            </w:r>
          </w:p>
        </w:tc>
      </w:tr>
      <w:tr>
        <w:trPr>
          <w:trHeight w:val="229"/>
        </w:trPr>
        <w:tc>
          <w:tcPr>
            <w:tcW w:w="6920" w:type="dxa"/>
            <w:vAlign w:val="bottom"/>
          </w:tcPr>
          <w:p>
            <w:pPr>
              <w:ind w:left="360"/>
              <w:spacing w:after="0"/>
              <w:rPr>
                <w:sz w:val="20"/>
                <w:szCs w:val="20"/>
                <w:color w:val="auto"/>
              </w:rPr>
            </w:pPr>
            <w:r>
              <w:rPr>
                <w:rFonts w:ascii="Arial" w:cs="Arial" w:eastAsia="Arial" w:hAnsi="Arial"/>
                <w:sz w:val="18"/>
                <w:szCs w:val="18"/>
                <w:color w:val="auto"/>
              </w:rPr>
              <w:t>Selling, general and administrative expense</w:t>
            </w:r>
          </w:p>
        </w:tc>
        <w:tc>
          <w:tcPr>
            <w:tcW w:w="80" w:type="dxa"/>
            <w:vAlign w:val="bottom"/>
          </w:tcPr>
          <w:p>
            <w:pPr>
              <w:spacing w:after="0"/>
              <w:rPr>
                <w:sz w:val="19"/>
                <w:szCs w:val="19"/>
                <w:color w:val="auto"/>
              </w:rPr>
            </w:pPr>
          </w:p>
        </w:tc>
        <w:tc>
          <w:tcPr>
            <w:tcW w:w="120" w:type="dxa"/>
            <w:vAlign w:val="bottom"/>
            <w:shd w:val="clear" w:color="auto" w:fill="E0E3F1"/>
          </w:tcPr>
          <w:p>
            <w:pPr>
              <w:spacing w:after="0"/>
              <w:rPr>
                <w:sz w:val="19"/>
                <w:szCs w:val="19"/>
                <w:color w:val="auto"/>
              </w:rPr>
            </w:pPr>
          </w:p>
        </w:tc>
        <w:tc>
          <w:tcPr>
            <w:tcW w:w="1240" w:type="dxa"/>
            <w:vAlign w:val="bottom"/>
            <w:shd w:val="clear" w:color="auto" w:fill="E0E3F1"/>
          </w:tcPr>
          <w:p>
            <w:pPr>
              <w:jc w:val="right"/>
              <w:spacing w:after="0"/>
              <w:rPr>
                <w:sz w:val="20"/>
                <w:szCs w:val="20"/>
                <w:color w:val="auto"/>
              </w:rPr>
            </w:pPr>
            <w:r>
              <w:rPr>
                <w:rFonts w:ascii="Arial" w:cs="Arial" w:eastAsia="Arial" w:hAnsi="Arial"/>
                <w:sz w:val="18"/>
                <w:szCs w:val="18"/>
                <w:color w:val="auto"/>
              </w:rPr>
              <w:t>1,500.3</w:t>
            </w:r>
          </w:p>
        </w:tc>
        <w:tc>
          <w:tcPr>
            <w:tcW w:w="360" w:type="dxa"/>
            <w:vAlign w:val="bottom"/>
            <w:tcBorders>
              <w:left w:val="single" w:sz="8" w:color="E0E3F1"/>
            </w:tcBorders>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1,521.2</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1,478.3</w:t>
            </w:r>
          </w:p>
        </w:tc>
      </w:tr>
      <w:tr>
        <w:trPr>
          <w:trHeight w:val="235"/>
        </w:trPr>
        <w:tc>
          <w:tcPr>
            <w:tcW w:w="6920" w:type="dxa"/>
            <w:vAlign w:val="bottom"/>
            <w:tcBorders>
              <w:bottom w:val="single" w:sz="8" w:color="003399"/>
            </w:tcBorders>
          </w:tcPr>
          <w:p>
            <w:pPr>
              <w:ind w:left="360"/>
              <w:spacing w:after="0"/>
              <w:rPr>
                <w:sz w:val="20"/>
                <w:szCs w:val="20"/>
                <w:color w:val="auto"/>
              </w:rPr>
            </w:pPr>
            <w:r>
              <w:rPr>
                <w:rFonts w:ascii="Arial" w:cs="Arial" w:eastAsia="Arial" w:hAnsi="Arial"/>
                <w:sz w:val="18"/>
                <w:szCs w:val="18"/>
                <w:color w:val="auto"/>
              </w:rPr>
              <w:t>Special charges</w:t>
            </w:r>
          </w:p>
        </w:tc>
        <w:tc>
          <w:tcPr>
            <w:tcW w:w="80" w:type="dxa"/>
            <w:vAlign w:val="bottom"/>
            <w:tcBorders>
              <w:bottom w:val="single" w:sz="8" w:color="003399"/>
            </w:tcBorders>
          </w:tcPr>
          <w:p>
            <w:pPr>
              <w:spacing w:after="0"/>
              <w:rPr>
                <w:sz w:val="20"/>
                <w:szCs w:val="20"/>
                <w:color w:val="auto"/>
              </w:rPr>
            </w:pPr>
          </w:p>
        </w:tc>
        <w:tc>
          <w:tcPr>
            <w:tcW w:w="120" w:type="dxa"/>
            <w:vAlign w:val="bottom"/>
            <w:tcBorders>
              <w:bottom w:val="single" w:sz="8" w:color="003399"/>
            </w:tcBorders>
            <w:shd w:val="clear" w:color="auto" w:fill="E0E3F1"/>
          </w:tcPr>
          <w:p>
            <w:pPr>
              <w:spacing w:after="0"/>
              <w:rPr>
                <w:sz w:val="20"/>
                <w:szCs w:val="20"/>
                <w:color w:val="auto"/>
              </w:rPr>
            </w:pPr>
          </w:p>
        </w:tc>
        <w:tc>
          <w:tcPr>
            <w:tcW w:w="1240" w:type="dxa"/>
            <w:vAlign w:val="bottom"/>
            <w:tcBorders>
              <w:bottom w:val="single" w:sz="8" w:color="003399"/>
            </w:tcBorders>
            <w:shd w:val="clear" w:color="auto" w:fill="E0E3F1"/>
          </w:tcPr>
          <w:p>
            <w:pPr>
              <w:jc w:val="right"/>
              <w:spacing w:after="0"/>
              <w:rPr>
                <w:sz w:val="20"/>
                <w:szCs w:val="20"/>
                <w:color w:val="auto"/>
              </w:rPr>
            </w:pPr>
            <w:r>
              <w:rPr>
                <w:rFonts w:ascii="Arial" w:cs="Arial" w:eastAsia="Arial" w:hAnsi="Arial"/>
                <w:sz w:val="18"/>
                <w:szCs w:val="18"/>
                <w:color w:val="auto"/>
              </w:rPr>
              <w:t>21.1</w:t>
            </w:r>
          </w:p>
        </w:tc>
        <w:tc>
          <w:tcPr>
            <w:tcW w:w="360" w:type="dxa"/>
            <w:vAlign w:val="bottom"/>
            <w:tcBorders>
              <w:left w:val="single" w:sz="8" w:color="E0E3F1"/>
              <w:bottom w:val="single" w:sz="8" w:color="003399"/>
            </w:tcBorders>
          </w:tcPr>
          <w:p>
            <w:pPr>
              <w:spacing w:after="0"/>
              <w:rPr>
                <w:sz w:val="20"/>
                <w:szCs w:val="20"/>
                <w:color w:val="auto"/>
              </w:rPr>
            </w:pPr>
          </w:p>
        </w:tc>
        <w:tc>
          <w:tcPr>
            <w:tcW w:w="1060" w:type="dxa"/>
            <w:vAlign w:val="bottom"/>
            <w:tcBorders>
              <w:bottom w:val="single" w:sz="8" w:color="003399"/>
            </w:tcBorders>
          </w:tcPr>
          <w:p>
            <w:pPr>
              <w:jc w:val="right"/>
              <w:spacing w:after="0"/>
              <w:rPr>
                <w:sz w:val="20"/>
                <w:szCs w:val="20"/>
                <w:color w:val="auto"/>
              </w:rPr>
            </w:pPr>
            <w:r>
              <w:rPr>
                <w:rFonts w:ascii="Arial" w:cs="Arial" w:eastAsia="Arial" w:hAnsi="Arial"/>
                <w:sz w:val="18"/>
                <w:szCs w:val="18"/>
                <w:color w:val="auto"/>
              </w:rPr>
              <w:t>9.5</w:t>
            </w:r>
          </w:p>
        </w:tc>
        <w:tc>
          <w:tcPr>
            <w:tcW w:w="340" w:type="dxa"/>
            <w:vAlign w:val="bottom"/>
            <w:tcBorders>
              <w:bottom w:val="single" w:sz="8" w:color="003399"/>
            </w:tcBorders>
          </w:tcPr>
          <w:p>
            <w:pPr>
              <w:spacing w:after="0"/>
              <w:rPr>
                <w:sz w:val="20"/>
                <w:szCs w:val="20"/>
                <w:color w:val="auto"/>
              </w:rPr>
            </w:pPr>
          </w:p>
        </w:tc>
        <w:tc>
          <w:tcPr>
            <w:tcW w:w="1080" w:type="dxa"/>
            <w:vAlign w:val="bottom"/>
            <w:tcBorders>
              <w:bottom w:val="single" w:sz="8" w:color="003399"/>
            </w:tcBorders>
          </w:tcPr>
          <w:p>
            <w:pPr>
              <w:jc w:val="right"/>
              <w:spacing w:after="0"/>
              <w:rPr>
                <w:sz w:val="20"/>
                <w:szCs w:val="20"/>
                <w:color w:val="auto"/>
              </w:rPr>
            </w:pPr>
            <w:r>
              <w:rPr>
                <w:rFonts w:ascii="Arial" w:cs="Arial" w:eastAsia="Arial" w:hAnsi="Arial"/>
                <w:sz w:val="18"/>
                <w:szCs w:val="18"/>
                <w:color w:val="auto"/>
              </w:rPr>
              <w:t>61.2</w:t>
            </w:r>
          </w:p>
        </w:tc>
      </w:tr>
      <w:tr>
        <w:trPr>
          <w:trHeight w:val="218"/>
        </w:trPr>
        <w:tc>
          <w:tcPr>
            <w:tcW w:w="69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80" w:type="dxa"/>
            <w:vAlign w:val="bottom"/>
          </w:tcPr>
          <w:p>
            <w:pPr>
              <w:spacing w:after="0"/>
              <w:rPr>
                <w:sz w:val="18"/>
                <w:szCs w:val="18"/>
                <w:color w:val="auto"/>
              </w:rPr>
            </w:pPr>
          </w:p>
        </w:tc>
        <w:tc>
          <w:tcPr>
            <w:tcW w:w="120" w:type="dxa"/>
            <w:vAlign w:val="bottom"/>
            <w:shd w:val="clear" w:color="auto" w:fill="E0E3F1"/>
          </w:tcPr>
          <w:p>
            <w:pPr>
              <w:spacing w:after="0"/>
              <w:rPr>
                <w:sz w:val="18"/>
                <w:szCs w:val="18"/>
                <w:color w:val="auto"/>
              </w:rPr>
            </w:pPr>
          </w:p>
        </w:tc>
        <w:tc>
          <w:tcPr>
            <w:tcW w:w="1240" w:type="dxa"/>
            <w:vAlign w:val="bottom"/>
            <w:shd w:val="clear" w:color="auto" w:fill="E0E3F1"/>
          </w:tcPr>
          <w:p>
            <w:pPr>
              <w:jc w:val="right"/>
              <w:spacing w:after="0"/>
              <w:rPr>
                <w:sz w:val="20"/>
                <w:szCs w:val="20"/>
                <w:color w:val="auto"/>
              </w:rPr>
            </w:pPr>
            <w:r>
              <w:rPr>
                <w:rFonts w:ascii="Arial" w:cs="Arial" w:eastAsia="Arial" w:hAnsi="Arial"/>
                <w:sz w:val="18"/>
                <w:szCs w:val="18"/>
                <w:color w:val="auto"/>
              </w:rPr>
              <w:t>1,070.8</w:t>
            </w:r>
          </w:p>
        </w:tc>
        <w:tc>
          <w:tcPr>
            <w:tcW w:w="360" w:type="dxa"/>
            <w:vAlign w:val="bottom"/>
            <w:tcBorders>
              <w:left w:val="single" w:sz="8" w:color="E0E3F1"/>
            </w:tcBorders>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1,060.3</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963.0</w:t>
            </w:r>
          </w:p>
        </w:tc>
      </w:tr>
      <w:tr>
        <w:trPr>
          <w:trHeight w:val="230"/>
        </w:trPr>
        <w:tc>
          <w:tcPr>
            <w:tcW w:w="692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9"/>
                <w:szCs w:val="19"/>
                <w:color w:val="auto"/>
              </w:rPr>
            </w:pPr>
          </w:p>
        </w:tc>
        <w:tc>
          <w:tcPr>
            <w:tcW w:w="120" w:type="dxa"/>
            <w:vAlign w:val="bottom"/>
            <w:shd w:val="clear" w:color="auto" w:fill="E0E3F1"/>
          </w:tcPr>
          <w:p>
            <w:pPr>
              <w:spacing w:after="0"/>
              <w:rPr>
                <w:sz w:val="19"/>
                <w:szCs w:val="19"/>
                <w:color w:val="auto"/>
              </w:rPr>
            </w:pPr>
          </w:p>
        </w:tc>
        <w:tc>
          <w:tcPr>
            <w:tcW w:w="1240" w:type="dxa"/>
            <w:vAlign w:val="bottom"/>
            <w:shd w:val="clear" w:color="auto" w:fill="E0E3F1"/>
          </w:tcPr>
          <w:p>
            <w:pPr>
              <w:jc w:val="right"/>
              <w:spacing w:after="0"/>
              <w:rPr>
                <w:sz w:val="20"/>
                <w:szCs w:val="20"/>
                <w:color w:val="auto"/>
              </w:rPr>
            </w:pPr>
            <w:r>
              <w:rPr>
                <w:rFonts w:ascii="Arial" w:cs="Arial" w:eastAsia="Arial" w:hAnsi="Arial"/>
                <w:sz w:val="18"/>
                <w:szCs w:val="18"/>
                <w:color w:val="auto"/>
              </w:rPr>
              <w:t>196.2</w:t>
            </w:r>
          </w:p>
        </w:tc>
        <w:tc>
          <w:tcPr>
            <w:tcW w:w="360" w:type="dxa"/>
            <w:vAlign w:val="bottom"/>
            <w:tcBorders>
              <w:left w:val="single" w:sz="8" w:color="E0E3F1"/>
            </w:tcBorders>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209.4</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208.2</w:t>
            </w:r>
          </w:p>
        </w:tc>
      </w:tr>
      <w:tr>
        <w:trPr>
          <w:trHeight w:val="235"/>
        </w:trPr>
        <w:tc>
          <w:tcPr>
            <w:tcW w:w="6920" w:type="dxa"/>
            <w:vAlign w:val="bottom"/>
            <w:tcBorders>
              <w:bottom w:val="single" w:sz="8" w:color="00539B"/>
            </w:tcBorders>
          </w:tcPr>
          <w:p>
            <w:pPr>
              <w:ind w:left="360"/>
              <w:spacing w:after="0"/>
              <w:rPr>
                <w:sz w:val="20"/>
                <w:szCs w:val="20"/>
                <w:color w:val="auto"/>
              </w:rPr>
            </w:pPr>
            <w:r>
              <w:rPr>
                <w:rFonts w:ascii="Arial" w:cs="Arial" w:eastAsia="Arial" w:hAnsi="Arial"/>
                <w:sz w:val="18"/>
                <w:szCs w:val="18"/>
                <w:color w:val="auto"/>
              </w:rPr>
              <w:t>Other income, net</w:t>
            </w:r>
          </w:p>
        </w:tc>
        <w:tc>
          <w:tcPr>
            <w:tcW w:w="80" w:type="dxa"/>
            <w:vAlign w:val="bottom"/>
            <w:tcBorders>
              <w:bottom w:val="single" w:sz="8" w:color="00539B"/>
            </w:tcBorders>
          </w:tcPr>
          <w:p>
            <w:pPr>
              <w:spacing w:after="0"/>
              <w:rPr>
                <w:sz w:val="20"/>
                <w:szCs w:val="20"/>
                <w:color w:val="auto"/>
              </w:rPr>
            </w:pPr>
          </w:p>
        </w:tc>
        <w:tc>
          <w:tcPr>
            <w:tcW w:w="120" w:type="dxa"/>
            <w:vAlign w:val="bottom"/>
            <w:tcBorders>
              <w:bottom w:val="single" w:sz="8" w:color="00539B"/>
            </w:tcBorders>
            <w:shd w:val="clear" w:color="auto" w:fill="E0E3F1"/>
          </w:tcPr>
          <w:p>
            <w:pPr>
              <w:spacing w:after="0"/>
              <w:rPr>
                <w:sz w:val="20"/>
                <w:szCs w:val="20"/>
                <w:color w:val="auto"/>
              </w:rPr>
            </w:pPr>
          </w:p>
        </w:tc>
        <w:tc>
          <w:tcPr>
            <w:tcW w:w="124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8"/>
                <w:szCs w:val="18"/>
                <w:color w:val="auto"/>
              </w:rPr>
              <w:t>38.4</w:t>
            </w:r>
          </w:p>
        </w:tc>
        <w:tc>
          <w:tcPr>
            <w:tcW w:w="360" w:type="dxa"/>
            <w:vAlign w:val="bottom"/>
            <w:tcBorders>
              <w:left w:val="single" w:sz="8" w:color="E0E3F1"/>
              <w:bottom w:val="single" w:sz="8" w:color="00539B"/>
            </w:tcBorders>
          </w:tcPr>
          <w:p>
            <w:pPr>
              <w:spacing w:after="0"/>
              <w:rPr>
                <w:sz w:val="20"/>
                <w:szCs w:val="20"/>
                <w:color w:val="auto"/>
              </w:rPr>
            </w:pPr>
          </w:p>
        </w:tc>
        <w:tc>
          <w:tcPr>
            <w:tcW w:w="1060" w:type="dxa"/>
            <w:vAlign w:val="bottom"/>
            <w:tcBorders>
              <w:bottom w:val="single" w:sz="8" w:color="00539B"/>
            </w:tcBorders>
          </w:tcPr>
          <w:p>
            <w:pPr>
              <w:jc w:val="right"/>
              <w:spacing w:after="0"/>
              <w:rPr>
                <w:sz w:val="20"/>
                <w:szCs w:val="20"/>
                <w:color w:val="auto"/>
              </w:rPr>
            </w:pPr>
            <w:r>
              <w:rPr>
                <w:rFonts w:ascii="Arial" w:cs="Arial" w:eastAsia="Arial" w:hAnsi="Arial"/>
                <w:sz w:val="18"/>
                <w:szCs w:val="18"/>
                <w:color w:val="auto"/>
              </w:rPr>
              <w:t>47.4</w:t>
            </w:r>
          </w:p>
        </w:tc>
        <w:tc>
          <w:tcPr>
            <w:tcW w:w="340" w:type="dxa"/>
            <w:vAlign w:val="bottom"/>
            <w:tcBorders>
              <w:bottom w:val="single" w:sz="8" w:color="00539B"/>
            </w:tcBorders>
          </w:tcPr>
          <w:p>
            <w:pPr>
              <w:spacing w:after="0"/>
              <w:rPr>
                <w:sz w:val="20"/>
                <w:szCs w:val="20"/>
                <w:color w:val="auto"/>
              </w:rPr>
            </w:pPr>
          </w:p>
        </w:tc>
        <w:tc>
          <w:tcPr>
            <w:tcW w:w="1080" w:type="dxa"/>
            <w:vAlign w:val="bottom"/>
            <w:tcBorders>
              <w:bottom w:val="single" w:sz="8" w:color="00539B"/>
            </w:tcBorders>
          </w:tcPr>
          <w:p>
            <w:pPr>
              <w:jc w:val="right"/>
              <w:spacing w:after="0"/>
              <w:rPr>
                <w:sz w:val="20"/>
                <w:szCs w:val="20"/>
                <w:color w:val="auto"/>
              </w:rPr>
            </w:pPr>
            <w:r>
              <w:rPr>
                <w:rFonts w:ascii="Arial" w:cs="Arial" w:eastAsia="Arial" w:hAnsi="Arial"/>
                <w:sz w:val="18"/>
                <w:szCs w:val="18"/>
                <w:color w:val="auto"/>
              </w:rPr>
              <w:t>43.9</w:t>
            </w:r>
          </w:p>
        </w:tc>
      </w:tr>
      <w:tr>
        <w:trPr>
          <w:trHeight w:val="218"/>
        </w:trPr>
        <w:tc>
          <w:tcPr>
            <w:tcW w:w="6920" w:type="dxa"/>
            <w:vAlign w:val="bottom"/>
          </w:tcPr>
          <w:p>
            <w:pPr>
              <w:ind w:left="20"/>
              <w:spacing w:after="0"/>
              <w:rPr>
                <w:sz w:val="20"/>
                <w:szCs w:val="20"/>
                <w:color w:val="auto"/>
              </w:rPr>
            </w:pPr>
            <w:r>
              <w:rPr>
                <w:rFonts w:ascii="Arial" w:cs="Arial" w:eastAsia="Arial" w:hAnsi="Arial"/>
                <w:sz w:val="18"/>
                <w:szCs w:val="18"/>
                <w:color w:val="auto"/>
              </w:rPr>
              <w:t>Income from consolidated operations before income taxes</w:t>
            </w:r>
          </w:p>
        </w:tc>
        <w:tc>
          <w:tcPr>
            <w:tcW w:w="80" w:type="dxa"/>
            <w:vAlign w:val="bottom"/>
          </w:tcPr>
          <w:p>
            <w:pPr>
              <w:spacing w:after="0"/>
              <w:rPr>
                <w:sz w:val="18"/>
                <w:szCs w:val="18"/>
                <w:color w:val="auto"/>
              </w:rPr>
            </w:pPr>
          </w:p>
        </w:tc>
        <w:tc>
          <w:tcPr>
            <w:tcW w:w="120" w:type="dxa"/>
            <w:vAlign w:val="bottom"/>
            <w:shd w:val="clear" w:color="auto" w:fill="E0E3F1"/>
          </w:tcPr>
          <w:p>
            <w:pPr>
              <w:spacing w:after="0"/>
              <w:rPr>
                <w:sz w:val="18"/>
                <w:szCs w:val="18"/>
                <w:color w:val="auto"/>
              </w:rPr>
            </w:pPr>
          </w:p>
        </w:tc>
        <w:tc>
          <w:tcPr>
            <w:tcW w:w="1240" w:type="dxa"/>
            <w:vAlign w:val="bottom"/>
            <w:shd w:val="clear" w:color="auto" w:fill="E0E3F1"/>
          </w:tcPr>
          <w:p>
            <w:pPr>
              <w:jc w:val="right"/>
              <w:spacing w:after="0"/>
              <w:rPr>
                <w:sz w:val="20"/>
                <w:szCs w:val="20"/>
                <w:color w:val="auto"/>
              </w:rPr>
            </w:pPr>
            <w:r>
              <w:rPr>
                <w:rFonts w:ascii="Arial" w:cs="Arial" w:eastAsia="Arial" w:hAnsi="Arial"/>
                <w:sz w:val="18"/>
                <w:szCs w:val="18"/>
                <w:color w:val="auto"/>
              </w:rPr>
              <w:t>913.0</w:t>
            </w:r>
          </w:p>
        </w:tc>
        <w:tc>
          <w:tcPr>
            <w:tcW w:w="360" w:type="dxa"/>
            <w:vAlign w:val="bottom"/>
            <w:tcBorders>
              <w:left w:val="single" w:sz="8" w:color="E0E3F1"/>
            </w:tcBorders>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898.3</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798.7</w:t>
            </w:r>
          </w:p>
        </w:tc>
      </w:tr>
      <w:tr>
        <w:trPr>
          <w:trHeight w:val="235"/>
        </w:trPr>
        <w:tc>
          <w:tcPr>
            <w:tcW w:w="6920" w:type="dxa"/>
            <w:vAlign w:val="bottom"/>
            <w:tcBorders>
              <w:bottom w:val="single" w:sz="8" w:color="00539B"/>
            </w:tcBorders>
          </w:tcPr>
          <w:p>
            <w:pPr>
              <w:ind w:left="360"/>
              <w:spacing w:after="0"/>
              <w:rPr>
                <w:sz w:val="20"/>
                <w:szCs w:val="20"/>
                <w:color w:val="auto"/>
              </w:rPr>
            </w:pPr>
            <w:r>
              <w:rPr>
                <w:rFonts w:ascii="Arial" w:cs="Arial" w:eastAsia="Arial" w:hAnsi="Arial"/>
                <w:sz w:val="18"/>
                <w:szCs w:val="18"/>
                <w:color w:val="auto"/>
              </w:rPr>
              <w:t>Income tax expense</w:t>
            </w:r>
          </w:p>
        </w:tc>
        <w:tc>
          <w:tcPr>
            <w:tcW w:w="80" w:type="dxa"/>
            <w:vAlign w:val="bottom"/>
            <w:tcBorders>
              <w:bottom w:val="single" w:sz="8" w:color="00539B"/>
            </w:tcBorders>
          </w:tcPr>
          <w:p>
            <w:pPr>
              <w:spacing w:after="0"/>
              <w:rPr>
                <w:sz w:val="20"/>
                <w:szCs w:val="20"/>
                <w:color w:val="auto"/>
              </w:rPr>
            </w:pPr>
          </w:p>
        </w:tc>
        <w:tc>
          <w:tcPr>
            <w:tcW w:w="120" w:type="dxa"/>
            <w:vAlign w:val="bottom"/>
            <w:tcBorders>
              <w:bottom w:val="single" w:sz="8" w:color="00539B"/>
            </w:tcBorders>
            <w:shd w:val="clear" w:color="auto" w:fill="E0E3F1"/>
          </w:tcPr>
          <w:p>
            <w:pPr>
              <w:spacing w:after="0"/>
              <w:rPr>
                <w:sz w:val="20"/>
                <w:szCs w:val="20"/>
                <w:color w:val="auto"/>
              </w:rPr>
            </w:pPr>
          </w:p>
        </w:tc>
        <w:tc>
          <w:tcPr>
            <w:tcW w:w="124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8"/>
                <w:szCs w:val="18"/>
                <w:color w:val="auto"/>
              </w:rPr>
              <w:t>195.8</w:t>
            </w:r>
          </w:p>
        </w:tc>
        <w:tc>
          <w:tcPr>
            <w:tcW w:w="360" w:type="dxa"/>
            <w:vAlign w:val="bottom"/>
            <w:tcBorders>
              <w:left w:val="single" w:sz="8" w:color="E0E3F1"/>
              <w:bottom w:val="single" w:sz="8" w:color="00539B"/>
            </w:tcBorders>
          </w:tcPr>
          <w:p>
            <w:pPr>
              <w:spacing w:after="0"/>
              <w:rPr>
                <w:sz w:val="20"/>
                <w:szCs w:val="20"/>
                <w:color w:val="auto"/>
              </w:rPr>
            </w:pPr>
          </w:p>
        </w:tc>
        <w:tc>
          <w:tcPr>
            <w:tcW w:w="1060" w:type="dxa"/>
            <w:vAlign w:val="bottom"/>
            <w:tcBorders>
              <w:bottom w:val="single" w:sz="8" w:color="00539B"/>
            </w:tcBorders>
          </w:tcPr>
          <w:p>
            <w:pPr>
              <w:jc w:val="right"/>
              <w:spacing w:after="0"/>
              <w:rPr>
                <w:sz w:val="20"/>
                <w:szCs w:val="20"/>
                <w:color w:val="auto"/>
              </w:rPr>
            </w:pPr>
            <w:r>
              <w:rPr>
                <w:rFonts w:ascii="Arial" w:cs="Arial" w:eastAsia="Arial" w:hAnsi="Arial"/>
                <w:sz w:val="18"/>
                <w:szCs w:val="18"/>
                <w:color w:val="auto"/>
              </w:rPr>
              <w:t>184.0</w:t>
            </w:r>
          </w:p>
        </w:tc>
        <w:tc>
          <w:tcPr>
            <w:tcW w:w="340" w:type="dxa"/>
            <w:vAlign w:val="bottom"/>
            <w:tcBorders>
              <w:bottom w:val="single" w:sz="8" w:color="00539B"/>
            </w:tcBorders>
          </w:tcPr>
          <w:p>
            <w:pPr>
              <w:spacing w:after="0"/>
              <w:rPr>
                <w:sz w:val="20"/>
                <w:szCs w:val="20"/>
                <w:color w:val="auto"/>
              </w:rPr>
            </w:pPr>
          </w:p>
        </w:tc>
        <w:tc>
          <w:tcPr>
            <w:tcW w:w="1080" w:type="dxa"/>
            <w:vAlign w:val="bottom"/>
            <w:tcBorders>
              <w:bottom w:val="single" w:sz="8" w:color="00539B"/>
            </w:tcBorders>
          </w:tcPr>
          <w:p>
            <w:pPr>
              <w:jc w:val="right"/>
              <w:spacing w:after="0"/>
              <w:rPr>
                <w:sz w:val="20"/>
                <w:szCs w:val="20"/>
                <w:color w:val="auto"/>
              </w:rPr>
            </w:pPr>
            <w:r>
              <w:rPr>
                <w:rFonts w:ascii="Arial" w:cs="Arial" w:eastAsia="Arial" w:hAnsi="Arial"/>
                <w:sz w:val="18"/>
                <w:szCs w:val="18"/>
                <w:color w:val="auto"/>
              </w:rPr>
              <w:t>174.5</w:t>
            </w:r>
          </w:p>
        </w:tc>
      </w:tr>
      <w:tr>
        <w:trPr>
          <w:trHeight w:val="218"/>
        </w:trPr>
        <w:tc>
          <w:tcPr>
            <w:tcW w:w="6920" w:type="dxa"/>
            <w:vAlign w:val="bottom"/>
          </w:tcPr>
          <w:p>
            <w:pPr>
              <w:ind w:left="20"/>
              <w:spacing w:after="0"/>
              <w:rPr>
                <w:sz w:val="20"/>
                <w:szCs w:val="20"/>
                <w:color w:val="auto"/>
              </w:rPr>
            </w:pPr>
            <w:r>
              <w:rPr>
                <w:rFonts w:ascii="Arial" w:cs="Arial" w:eastAsia="Arial" w:hAnsi="Arial"/>
                <w:sz w:val="18"/>
                <w:szCs w:val="18"/>
                <w:color w:val="auto"/>
              </w:rPr>
              <w:t>Net income from consolidated operations</w:t>
            </w:r>
          </w:p>
        </w:tc>
        <w:tc>
          <w:tcPr>
            <w:tcW w:w="80" w:type="dxa"/>
            <w:vAlign w:val="bottom"/>
          </w:tcPr>
          <w:p>
            <w:pPr>
              <w:spacing w:after="0"/>
              <w:rPr>
                <w:sz w:val="18"/>
                <w:szCs w:val="18"/>
                <w:color w:val="auto"/>
              </w:rPr>
            </w:pPr>
          </w:p>
        </w:tc>
        <w:tc>
          <w:tcPr>
            <w:tcW w:w="120" w:type="dxa"/>
            <w:vAlign w:val="bottom"/>
            <w:shd w:val="clear" w:color="auto" w:fill="E0E3F1"/>
          </w:tcPr>
          <w:p>
            <w:pPr>
              <w:spacing w:after="0"/>
              <w:rPr>
                <w:sz w:val="18"/>
                <w:szCs w:val="18"/>
                <w:color w:val="auto"/>
              </w:rPr>
            </w:pPr>
          </w:p>
        </w:tc>
        <w:tc>
          <w:tcPr>
            <w:tcW w:w="1240" w:type="dxa"/>
            <w:vAlign w:val="bottom"/>
            <w:shd w:val="clear" w:color="auto" w:fill="E0E3F1"/>
          </w:tcPr>
          <w:p>
            <w:pPr>
              <w:jc w:val="right"/>
              <w:spacing w:after="0"/>
              <w:rPr>
                <w:sz w:val="20"/>
                <w:szCs w:val="20"/>
                <w:color w:val="auto"/>
              </w:rPr>
            </w:pPr>
            <w:r>
              <w:rPr>
                <w:rFonts w:ascii="Arial" w:cs="Arial" w:eastAsia="Arial" w:hAnsi="Arial"/>
                <w:sz w:val="18"/>
                <w:szCs w:val="18"/>
                <w:color w:val="auto"/>
              </w:rPr>
              <w:t>717.2</w:t>
            </w:r>
          </w:p>
        </w:tc>
        <w:tc>
          <w:tcPr>
            <w:tcW w:w="360" w:type="dxa"/>
            <w:vAlign w:val="bottom"/>
            <w:tcBorders>
              <w:left w:val="single" w:sz="8" w:color="E0E3F1"/>
            </w:tcBorders>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714.3</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624.2</w:t>
            </w:r>
          </w:p>
        </w:tc>
      </w:tr>
      <w:tr>
        <w:trPr>
          <w:trHeight w:val="235"/>
        </w:trPr>
        <w:tc>
          <w:tcPr>
            <w:tcW w:w="6920" w:type="dxa"/>
            <w:vAlign w:val="bottom"/>
            <w:tcBorders>
              <w:bottom w:val="single" w:sz="8" w:color="00539B"/>
            </w:tcBorders>
          </w:tcPr>
          <w:p>
            <w:pPr>
              <w:ind w:left="360"/>
              <w:spacing w:after="0"/>
              <w:rPr>
                <w:sz w:val="20"/>
                <w:szCs w:val="20"/>
                <w:color w:val="auto"/>
              </w:rPr>
            </w:pPr>
            <w:r>
              <w:rPr>
                <w:rFonts w:ascii="Arial" w:cs="Arial" w:eastAsia="Arial" w:hAnsi="Arial"/>
                <w:sz w:val="18"/>
                <w:szCs w:val="18"/>
                <w:color w:val="auto"/>
              </w:rPr>
              <w:t>Income from unconsolidated operations</w:t>
            </w:r>
          </w:p>
        </w:tc>
        <w:tc>
          <w:tcPr>
            <w:tcW w:w="80" w:type="dxa"/>
            <w:vAlign w:val="bottom"/>
            <w:tcBorders>
              <w:bottom w:val="single" w:sz="8" w:color="00539B"/>
            </w:tcBorders>
          </w:tcPr>
          <w:p>
            <w:pPr>
              <w:spacing w:after="0"/>
              <w:rPr>
                <w:sz w:val="20"/>
                <w:szCs w:val="20"/>
                <w:color w:val="auto"/>
              </w:rPr>
            </w:pPr>
          </w:p>
        </w:tc>
        <w:tc>
          <w:tcPr>
            <w:tcW w:w="120" w:type="dxa"/>
            <w:vAlign w:val="bottom"/>
            <w:tcBorders>
              <w:bottom w:val="single" w:sz="8" w:color="00539B"/>
            </w:tcBorders>
            <w:shd w:val="clear" w:color="auto" w:fill="E0E3F1"/>
          </w:tcPr>
          <w:p>
            <w:pPr>
              <w:spacing w:after="0"/>
              <w:rPr>
                <w:sz w:val="20"/>
                <w:szCs w:val="20"/>
                <w:color w:val="auto"/>
              </w:rPr>
            </w:pPr>
          </w:p>
        </w:tc>
        <w:tc>
          <w:tcPr>
            <w:tcW w:w="124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8"/>
                <w:szCs w:val="18"/>
                <w:color w:val="auto"/>
              </w:rPr>
              <w:t>72.2</w:t>
            </w:r>
          </w:p>
        </w:tc>
        <w:tc>
          <w:tcPr>
            <w:tcW w:w="360" w:type="dxa"/>
            <w:vAlign w:val="bottom"/>
            <w:tcBorders>
              <w:left w:val="single" w:sz="8" w:color="E0E3F1"/>
              <w:bottom w:val="single" w:sz="8" w:color="00539B"/>
            </w:tcBorders>
          </w:tcPr>
          <w:p>
            <w:pPr>
              <w:spacing w:after="0"/>
              <w:rPr>
                <w:sz w:val="20"/>
                <w:szCs w:val="20"/>
                <w:color w:val="auto"/>
              </w:rPr>
            </w:pPr>
          </w:p>
        </w:tc>
        <w:tc>
          <w:tcPr>
            <w:tcW w:w="1060" w:type="dxa"/>
            <w:vAlign w:val="bottom"/>
            <w:tcBorders>
              <w:bottom w:val="single" w:sz="8" w:color="00539B"/>
            </w:tcBorders>
          </w:tcPr>
          <w:p>
            <w:pPr>
              <w:jc w:val="right"/>
              <w:spacing w:after="0"/>
              <w:rPr>
                <w:sz w:val="20"/>
                <w:szCs w:val="20"/>
                <w:color w:val="auto"/>
              </w:rPr>
            </w:pPr>
            <w:r>
              <w:rPr>
                <w:rFonts w:ascii="Arial" w:cs="Arial" w:eastAsia="Arial" w:hAnsi="Arial"/>
                <w:sz w:val="18"/>
                <w:szCs w:val="18"/>
                <w:color w:val="auto"/>
              </w:rPr>
              <w:t>74.2</w:t>
            </w:r>
          </w:p>
        </w:tc>
        <w:tc>
          <w:tcPr>
            <w:tcW w:w="340" w:type="dxa"/>
            <w:vAlign w:val="bottom"/>
            <w:tcBorders>
              <w:bottom w:val="single" w:sz="8" w:color="00539B"/>
            </w:tcBorders>
          </w:tcPr>
          <w:p>
            <w:pPr>
              <w:spacing w:after="0"/>
              <w:rPr>
                <w:sz w:val="20"/>
                <w:szCs w:val="20"/>
                <w:color w:val="auto"/>
              </w:rPr>
            </w:pPr>
          </w:p>
        </w:tc>
        <w:tc>
          <w:tcPr>
            <w:tcW w:w="1080" w:type="dxa"/>
            <w:vAlign w:val="bottom"/>
            <w:tcBorders>
              <w:bottom w:val="single" w:sz="8" w:color="00539B"/>
            </w:tcBorders>
          </w:tcPr>
          <w:p>
            <w:pPr>
              <w:jc w:val="right"/>
              <w:spacing w:after="0"/>
              <w:rPr>
                <w:sz w:val="20"/>
                <w:szCs w:val="20"/>
                <w:color w:val="auto"/>
              </w:rPr>
            </w:pPr>
            <w:r>
              <w:rPr>
                <w:rFonts w:ascii="Arial" w:cs="Arial" w:eastAsia="Arial" w:hAnsi="Arial"/>
                <w:sz w:val="18"/>
                <w:szCs w:val="18"/>
                <w:color w:val="auto"/>
              </w:rPr>
              <w:t>56.4</w:t>
            </w:r>
          </w:p>
        </w:tc>
      </w:tr>
      <w:tr>
        <w:trPr>
          <w:trHeight w:val="230"/>
        </w:trPr>
        <w:tc>
          <w:tcPr>
            <w:tcW w:w="6920" w:type="dxa"/>
            <w:vAlign w:val="bottom"/>
            <w:tcBorders>
              <w:bottom w:val="single" w:sz="8" w:color="00539B"/>
            </w:tcBorders>
          </w:tcPr>
          <w:p>
            <w:pPr>
              <w:ind w:left="20"/>
              <w:spacing w:after="0"/>
              <w:rPr>
                <w:sz w:val="20"/>
                <w:szCs w:val="20"/>
                <w:color w:val="auto"/>
              </w:rPr>
            </w:pPr>
            <w:r>
              <w:rPr>
                <w:rFonts w:ascii="Arial" w:cs="Arial" w:eastAsia="Arial" w:hAnsi="Arial"/>
                <w:sz w:val="18"/>
                <w:szCs w:val="18"/>
                <w:color w:val="auto"/>
              </w:rPr>
              <w:t>Net income</w:t>
            </w:r>
          </w:p>
        </w:tc>
        <w:tc>
          <w:tcPr>
            <w:tcW w:w="80" w:type="dxa"/>
            <w:vAlign w:val="bottom"/>
            <w:tcBorders>
              <w:bottom w:val="single" w:sz="8" w:color="00539B"/>
            </w:tcBorders>
          </w:tcPr>
          <w:p>
            <w:pPr>
              <w:spacing w:after="0"/>
              <w:rPr>
                <w:sz w:val="20"/>
                <w:szCs w:val="20"/>
                <w:color w:val="auto"/>
              </w:rPr>
            </w:pPr>
          </w:p>
        </w:tc>
        <w:tc>
          <w:tcPr>
            <w:tcW w:w="12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8"/>
                <w:szCs w:val="18"/>
                <w:color w:val="auto"/>
              </w:rPr>
              <w:t>789.4</w:t>
            </w:r>
          </w:p>
        </w:tc>
        <w:tc>
          <w:tcPr>
            <w:tcW w:w="360" w:type="dxa"/>
            <w:vAlign w:val="bottom"/>
            <w:tcBorders>
              <w:left w:val="single" w:sz="8" w:color="E0E3F1"/>
              <w:bottom w:val="single" w:sz="8" w:color="00539B"/>
            </w:tcBorders>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00539B"/>
            </w:tcBorders>
          </w:tcPr>
          <w:p>
            <w:pPr>
              <w:jc w:val="right"/>
              <w:spacing w:after="0"/>
              <w:rPr>
                <w:sz w:val="20"/>
                <w:szCs w:val="20"/>
                <w:color w:val="auto"/>
              </w:rPr>
            </w:pPr>
            <w:r>
              <w:rPr>
                <w:rFonts w:ascii="Arial" w:cs="Arial" w:eastAsia="Arial" w:hAnsi="Arial"/>
                <w:sz w:val="18"/>
                <w:szCs w:val="18"/>
                <w:color w:val="auto"/>
              </w:rPr>
              <w:t>788.5</w:t>
            </w:r>
          </w:p>
        </w:tc>
        <w:tc>
          <w:tcPr>
            <w:tcW w:w="340" w:type="dxa"/>
            <w:vAlign w:val="bottom"/>
            <w:tcBorders>
              <w:bottom w:val="single" w:sz="8" w:color="00539B"/>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00539B"/>
            </w:tcBorders>
          </w:tcPr>
          <w:p>
            <w:pPr>
              <w:jc w:val="right"/>
              <w:spacing w:after="0"/>
              <w:rPr>
                <w:sz w:val="20"/>
                <w:szCs w:val="20"/>
                <w:color w:val="auto"/>
              </w:rPr>
            </w:pPr>
            <w:r>
              <w:rPr>
                <w:rFonts w:ascii="Arial" w:cs="Arial" w:eastAsia="Arial" w:hAnsi="Arial"/>
                <w:sz w:val="18"/>
                <w:szCs w:val="18"/>
                <w:color w:val="auto"/>
              </w:rPr>
              <w:t>680.6</w:t>
            </w:r>
          </w:p>
        </w:tc>
      </w:tr>
      <w:tr>
        <w:trPr>
          <w:trHeight w:val="224"/>
        </w:trPr>
        <w:tc>
          <w:tcPr>
            <w:tcW w:w="6920" w:type="dxa"/>
            <w:vAlign w:val="bottom"/>
          </w:tcPr>
          <w:p>
            <w:pPr>
              <w:ind w:left="20"/>
              <w:spacing w:after="0"/>
              <w:rPr>
                <w:sz w:val="20"/>
                <w:szCs w:val="20"/>
                <w:color w:val="auto"/>
              </w:rPr>
            </w:pPr>
            <w:r>
              <w:rPr>
                <w:rFonts w:ascii="Arial" w:cs="Arial" w:eastAsia="Arial" w:hAnsi="Arial"/>
                <w:sz w:val="18"/>
                <w:szCs w:val="18"/>
                <w:color w:val="auto"/>
              </w:rPr>
              <w:t>Earnings per share–basic</w:t>
            </w:r>
          </w:p>
        </w:tc>
        <w:tc>
          <w:tcPr>
            <w:tcW w:w="80" w:type="dxa"/>
            <w:vAlign w:val="bottom"/>
          </w:tcPr>
          <w:p>
            <w:pPr>
              <w:spacing w:after="0"/>
              <w:rPr>
                <w:sz w:val="19"/>
                <w:szCs w:val="19"/>
                <w:color w:val="auto"/>
              </w:rPr>
            </w:pPr>
          </w:p>
        </w:tc>
        <w:tc>
          <w:tcPr>
            <w:tcW w:w="120" w:type="dxa"/>
            <w:vAlign w:val="bottom"/>
            <w:shd w:val="clear" w:color="auto" w:fill="E0E3F1"/>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E0E3F1"/>
          </w:tcPr>
          <w:p>
            <w:pPr>
              <w:jc w:val="right"/>
              <w:spacing w:after="0"/>
              <w:rPr>
                <w:sz w:val="20"/>
                <w:szCs w:val="20"/>
                <w:color w:val="auto"/>
              </w:rPr>
            </w:pPr>
            <w:r>
              <w:rPr>
                <w:rFonts w:ascii="Arial" w:cs="Arial" w:eastAsia="Arial" w:hAnsi="Arial"/>
                <w:sz w:val="18"/>
                <w:szCs w:val="18"/>
                <w:color w:val="auto"/>
              </w:rPr>
              <w:t>2.94</w:t>
            </w:r>
          </w:p>
        </w:tc>
        <w:tc>
          <w:tcPr>
            <w:tcW w:w="360" w:type="dxa"/>
            <w:vAlign w:val="bottom"/>
            <w:tcBorders>
              <w:left w:val="single" w:sz="8" w:color="E0E3F1"/>
            </w:tcBorders>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2.94</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2.54</w:t>
            </w:r>
          </w:p>
        </w:tc>
      </w:tr>
      <w:tr>
        <w:trPr>
          <w:trHeight w:val="242"/>
        </w:trPr>
        <w:tc>
          <w:tcPr>
            <w:tcW w:w="6920" w:type="dxa"/>
            <w:vAlign w:val="bottom"/>
            <w:tcBorders>
              <w:bottom w:val="single" w:sz="8" w:color="00539B"/>
            </w:tcBorders>
          </w:tcPr>
          <w:p>
            <w:pPr>
              <w:ind w:left="20"/>
              <w:spacing w:after="0"/>
              <w:rPr>
                <w:sz w:val="20"/>
                <w:szCs w:val="20"/>
                <w:color w:val="auto"/>
              </w:rPr>
            </w:pPr>
            <w:r>
              <w:rPr>
                <w:rFonts w:ascii="Arial" w:cs="Arial" w:eastAsia="Arial" w:hAnsi="Arial"/>
                <w:sz w:val="18"/>
                <w:szCs w:val="18"/>
                <w:color w:val="auto"/>
              </w:rPr>
              <w:t>Earnings per share–diluted</w:t>
            </w:r>
          </w:p>
        </w:tc>
        <w:tc>
          <w:tcPr>
            <w:tcW w:w="80" w:type="dxa"/>
            <w:vAlign w:val="bottom"/>
            <w:tcBorders>
              <w:bottom w:val="single" w:sz="8" w:color="00539B"/>
            </w:tcBorders>
          </w:tcPr>
          <w:p>
            <w:pPr>
              <w:spacing w:after="0"/>
              <w:rPr>
                <w:sz w:val="21"/>
                <w:szCs w:val="21"/>
                <w:color w:val="auto"/>
              </w:rPr>
            </w:pPr>
          </w:p>
        </w:tc>
        <w:tc>
          <w:tcPr>
            <w:tcW w:w="12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8"/>
                <w:szCs w:val="18"/>
                <w:color w:val="auto"/>
              </w:rPr>
              <w:t>2.93</w:t>
            </w:r>
          </w:p>
        </w:tc>
        <w:tc>
          <w:tcPr>
            <w:tcW w:w="360" w:type="dxa"/>
            <w:vAlign w:val="bottom"/>
            <w:tcBorders>
              <w:left w:val="single" w:sz="8" w:color="E0E3F1"/>
              <w:bottom w:val="single" w:sz="8" w:color="00539B"/>
            </w:tcBorders>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00539B"/>
            </w:tcBorders>
          </w:tcPr>
          <w:p>
            <w:pPr>
              <w:jc w:val="right"/>
              <w:spacing w:after="0"/>
              <w:rPr>
                <w:sz w:val="20"/>
                <w:szCs w:val="20"/>
                <w:color w:val="auto"/>
              </w:rPr>
            </w:pPr>
            <w:r>
              <w:rPr>
                <w:rFonts w:ascii="Arial" w:cs="Arial" w:eastAsia="Arial" w:hAnsi="Arial"/>
                <w:sz w:val="18"/>
                <w:szCs w:val="18"/>
                <w:color w:val="auto"/>
              </w:rPr>
              <w:t>2.92</w:t>
            </w:r>
          </w:p>
        </w:tc>
        <w:tc>
          <w:tcPr>
            <w:tcW w:w="340" w:type="dxa"/>
            <w:vAlign w:val="bottom"/>
            <w:tcBorders>
              <w:bottom w:val="single" w:sz="8" w:color="00539B"/>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00539B"/>
            </w:tcBorders>
          </w:tcPr>
          <w:p>
            <w:pPr>
              <w:jc w:val="right"/>
              <w:spacing w:after="0"/>
              <w:rPr>
                <w:sz w:val="20"/>
                <w:szCs w:val="20"/>
                <w:color w:val="auto"/>
              </w:rPr>
            </w:pPr>
            <w:r>
              <w:rPr>
                <w:rFonts w:ascii="Arial" w:cs="Arial" w:eastAsia="Arial" w:hAnsi="Arial"/>
                <w:sz w:val="18"/>
                <w:szCs w:val="18"/>
                <w:color w:val="auto"/>
              </w:rPr>
              <w:t>2.52</w:t>
            </w:r>
          </w:p>
        </w:tc>
      </w:tr>
      <w:tr>
        <w:trPr>
          <w:trHeight w:val="262"/>
        </w:trPr>
        <w:tc>
          <w:tcPr>
            <w:tcW w:w="6920" w:type="dxa"/>
            <w:vAlign w:val="bottom"/>
          </w:tcPr>
          <w:p>
            <w:pPr>
              <w:spacing w:after="0"/>
              <w:rPr>
                <w:sz w:val="20"/>
                <w:szCs w:val="20"/>
                <w:color w:val="auto"/>
              </w:rPr>
            </w:pPr>
            <w:r>
              <w:rPr>
                <w:rFonts w:ascii="Arial" w:cs="Arial" w:eastAsia="Arial" w:hAnsi="Arial"/>
                <w:sz w:val="14"/>
                <w:szCs w:val="14"/>
                <w:color w:val="auto"/>
              </w:rPr>
              <w:t>See Notes to Consolidated Financial Statements.</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461"/>
        </w:trPr>
        <w:tc>
          <w:tcPr>
            <w:tcW w:w="6920" w:type="dxa"/>
            <w:vAlign w:val="bottom"/>
            <w:tcBorders>
              <w:bottom w:val="single" w:sz="8" w:color="00539B"/>
            </w:tcBorders>
          </w:tcPr>
          <w:p>
            <w:pPr>
              <w:ind w:left="40"/>
              <w:spacing w:after="0"/>
              <w:rPr>
                <w:sz w:val="20"/>
                <w:szCs w:val="20"/>
                <w:color w:val="auto"/>
              </w:rPr>
            </w:pPr>
            <w:r>
              <w:rPr>
                <w:rFonts w:ascii="Arial" w:cs="Arial" w:eastAsia="Arial" w:hAnsi="Arial"/>
                <w:sz w:val="18"/>
                <w:szCs w:val="18"/>
                <w:b w:val="1"/>
                <w:bCs w:val="1"/>
                <w:color w:val="00539B"/>
              </w:rPr>
              <w:t>CONSOLIDATED STATEMENTS OF COMPREHENSIVE INCOME</w:t>
            </w:r>
          </w:p>
        </w:tc>
        <w:tc>
          <w:tcPr>
            <w:tcW w:w="80" w:type="dxa"/>
            <w:vAlign w:val="bottom"/>
            <w:tcBorders>
              <w:bottom w:val="single" w:sz="8" w:color="00539B"/>
            </w:tcBorders>
          </w:tcPr>
          <w:p>
            <w:pPr>
              <w:spacing w:after="0"/>
              <w:rPr>
                <w:sz w:val="24"/>
                <w:szCs w:val="24"/>
                <w:color w:val="auto"/>
              </w:rPr>
            </w:pPr>
          </w:p>
        </w:tc>
        <w:tc>
          <w:tcPr>
            <w:tcW w:w="120" w:type="dxa"/>
            <w:vAlign w:val="bottom"/>
            <w:tcBorders>
              <w:bottom w:val="single" w:sz="8" w:color="00539B"/>
            </w:tcBorders>
          </w:tcPr>
          <w:p>
            <w:pPr>
              <w:spacing w:after="0"/>
              <w:rPr>
                <w:sz w:val="24"/>
                <w:szCs w:val="24"/>
                <w:color w:val="auto"/>
              </w:rPr>
            </w:pPr>
          </w:p>
        </w:tc>
        <w:tc>
          <w:tcPr>
            <w:tcW w:w="1240" w:type="dxa"/>
            <w:vAlign w:val="bottom"/>
            <w:tcBorders>
              <w:bottom w:val="single" w:sz="8" w:color="00539B"/>
            </w:tcBorders>
          </w:tcPr>
          <w:p>
            <w:pPr>
              <w:spacing w:after="0"/>
              <w:rPr>
                <w:sz w:val="24"/>
                <w:szCs w:val="24"/>
                <w:color w:val="auto"/>
              </w:rPr>
            </w:pPr>
          </w:p>
        </w:tc>
        <w:tc>
          <w:tcPr>
            <w:tcW w:w="360" w:type="dxa"/>
            <w:vAlign w:val="bottom"/>
            <w:tcBorders>
              <w:bottom w:val="single" w:sz="8" w:color="00539B"/>
            </w:tcBorders>
          </w:tcPr>
          <w:p>
            <w:pPr>
              <w:spacing w:after="0"/>
              <w:rPr>
                <w:sz w:val="24"/>
                <w:szCs w:val="24"/>
                <w:color w:val="auto"/>
              </w:rPr>
            </w:pPr>
          </w:p>
        </w:tc>
        <w:tc>
          <w:tcPr>
            <w:tcW w:w="1060" w:type="dxa"/>
            <w:vAlign w:val="bottom"/>
            <w:tcBorders>
              <w:bottom w:val="single" w:sz="8" w:color="00539B"/>
            </w:tcBorders>
          </w:tcPr>
          <w:p>
            <w:pPr>
              <w:spacing w:after="0"/>
              <w:rPr>
                <w:sz w:val="24"/>
                <w:szCs w:val="24"/>
                <w:color w:val="auto"/>
              </w:rPr>
            </w:pPr>
          </w:p>
        </w:tc>
        <w:tc>
          <w:tcPr>
            <w:tcW w:w="340" w:type="dxa"/>
            <w:vAlign w:val="bottom"/>
            <w:tcBorders>
              <w:bottom w:val="single" w:sz="8" w:color="00539B"/>
            </w:tcBorders>
          </w:tcPr>
          <w:p>
            <w:pPr>
              <w:spacing w:after="0"/>
              <w:rPr>
                <w:sz w:val="24"/>
                <w:szCs w:val="24"/>
                <w:color w:val="auto"/>
              </w:rPr>
            </w:pPr>
          </w:p>
        </w:tc>
        <w:tc>
          <w:tcPr>
            <w:tcW w:w="1080" w:type="dxa"/>
            <w:vAlign w:val="bottom"/>
            <w:tcBorders>
              <w:bottom w:val="single" w:sz="8" w:color="00539B"/>
            </w:tcBorders>
          </w:tcPr>
          <w:p>
            <w:pPr>
              <w:spacing w:after="0"/>
              <w:rPr>
                <w:sz w:val="24"/>
                <w:szCs w:val="24"/>
                <w:color w:val="auto"/>
              </w:rPr>
            </w:pPr>
          </w:p>
        </w:tc>
      </w:tr>
      <w:tr>
        <w:trPr>
          <w:trHeight w:val="198"/>
        </w:trPr>
        <w:tc>
          <w:tcPr>
            <w:tcW w:w="692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for the year ended November 30 (millions)</w:t>
            </w:r>
          </w:p>
        </w:tc>
        <w:tc>
          <w:tcPr>
            <w:tcW w:w="80" w:type="dxa"/>
            <w:vAlign w:val="bottom"/>
            <w:tcBorders>
              <w:bottom w:val="single" w:sz="8" w:color="00539B"/>
            </w:tcBorders>
            <w:shd w:val="clear" w:color="auto" w:fill="E0E3F1"/>
          </w:tcPr>
          <w:p>
            <w:pPr>
              <w:spacing w:after="0"/>
              <w:rPr>
                <w:sz w:val="17"/>
                <w:szCs w:val="17"/>
                <w:color w:val="auto"/>
              </w:rPr>
            </w:pPr>
          </w:p>
        </w:tc>
        <w:tc>
          <w:tcPr>
            <w:tcW w:w="120" w:type="dxa"/>
            <w:vAlign w:val="bottom"/>
            <w:tcBorders>
              <w:bottom w:val="single" w:sz="8" w:color="00539B"/>
            </w:tcBorders>
            <w:shd w:val="clear" w:color="auto" w:fill="E0E3F1"/>
          </w:tcPr>
          <w:p>
            <w:pPr>
              <w:spacing w:after="0"/>
              <w:rPr>
                <w:sz w:val="17"/>
                <w:szCs w:val="17"/>
                <w:color w:val="auto"/>
              </w:rPr>
            </w:pPr>
          </w:p>
        </w:tc>
        <w:tc>
          <w:tcPr>
            <w:tcW w:w="1240" w:type="dxa"/>
            <w:vAlign w:val="bottom"/>
            <w:tcBorders>
              <w:bottom w:val="single" w:sz="8" w:color="00539B"/>
            </w:tcBorders>
            <w:shd w:val="clear" w:color="auto" w:fill="E0E3F1"/>
          </w:tcPr>
          <w:p>
            <w:pPr>
              <w:jc w:val="right"/>
              <w:ind w:right="471"/>
              <w:spacing w:after="0"/>
              <w:rPr>
                <w:sz w:val="20"/>
                <w:szCs w:val="20"/>
                <w:color w:val="auto"/>
              </w:rPr>
            </w:pPr>
            <w:r>
              <w:rPr>
                <w:rFonts w:ascii="Arial" w:cs="Arial" w:eastAsia="Arial" w:hAnsi="Arial"/>
                <w:sz w:val="14"/>
                <w:szCs w:val="14"/>
                <w:color w:val="auto"/>
              </w:rPr>
              <w:t>2025</w:t>
            </w:r>
          </w:p>
        </w:tc>
        <w:tc>
          <w:tcPr>
            <w:tcW w:w="360" w:type="dxa"/>
            <w:vAlign w:val="bottom"/>
            <w:tcBorders>
              <w:bottom w:val="single" w:sz="8" w:color="00539B"/>
            </w:tcBorders>
          </w:tcPr>
          <w:p>
            <w:pPr>
              <w:spacing w:after="0"/>
              <w:rPr>
                <w:sz w:val="17"/>
                <w:szCs w:val="17"/>
                <w:color w:val="auto"/>
              </w:rPr>
            </w:pPr>
          </w:p>
        </w:tc>
        <w:tc>
          <w:tcPr>
            <w:tcW w:w="1060" w:type="dxa"/>
            <w:vAlign w:val="bottom"/>
            <w:tcBorders>
              <w:bottom w:val="single" w:sz="8" w:color="00539B"/>
            </w:tcBorders>
          </w:tcPr>
          <w:p>
            <w:pPr>
              <w:jc w:val="right"/>
              <w:ind w:right="451"/>
              <w:spacing w:after="0"/>
              <w:rPr>
                <w:sz w:val="20"/>
                <w:szCs w:val="20"/>
                <w:color w:val="auto"/>
              </w:rPr>
            </w:pPr>
            <w:r>
              <w:rPr>
                <w:rFonts w:ascii="Arial" w:cs="Arial" w:eastAsia="Arial" w:hAnsi="Arial"/>
                <w:sz w:val="14"/>
                <w:szCs w:val="14"/>
                <w:color w:val="auto"/>
              </w:rPr>
              <w:t>2024</w:t>
            </w:r>
          </w:p>
        </w:tc>
        <w:tc>
          <w:tcPr>
            <w:tcW w:w="340" w:type="dxa"/>
            <w:vAlign w:val="bottom"/>
            <w:tcBorders>
              <w:bottom w:val="single" w:sz="8" w:color="00539B"/>
            </w:tcBorders>
          </w:tcPr>
          <w:p>
            <w:pPr>
              <w:spacing w:after="0"/>
              <w:rPr>
                <w:sz w:val="17"/>
                <w:szCs w:val="17"/>
                <w:color w:val="auto"/>
              </w:rPr>
            </w:pPr>
          </w:p>
        </w:tc>
        <w:tc>
          <w:tcPr>
            <w:tcW w:w="1080" w:type="dxa"/>
            <w:vAlign w:val="bottom"/>
            <w:tcBorders>
              <w:bottom w:val="single" w:sz="8" w:color="00539B"/>
            </w:tcBorders>
          </w:tcPr>
          <w:p>
            <w:pPr>
              <w:jc w:val="right"/>
              <w:ind w:right="451"/>
              <w:spacing w:after="0"/>
              <w:rPr>
                <w:sz w:val="20"/>
                <w:szCs w:val="20"/>
                <w:color w:val="auto"/>
              </w:rPr>
            </w:pPr>
            <w:r>
              <w:rPr>
                <w:rFonts w:ascii="Arial" w:cs="Arial" w:eastAsia="Arial" w:hAnsi="Arial"/>
                <w:sz w:val="14"/>
                <w:szCs w:val="14"/>
                <w:color w:val="auto"/>
              </w:rPr>
              <w:t>2023</w:t>
            </w:r>
          </w:p>
        </w:tc>
      </w:tr>
      <w:tr>
        <w:trPr>
          <w:trHeight w:val="227"/>
        </w:trPr>
        <w:tc>
          <w:tcPr>
            <w:tcW w:w="69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gridSpan w:val="2"/>
            <w:shd w:val="clear" w:color="auto" w:fill="E0E3F1"/>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E0E3F1"/>
          </w:tcPr>
          <w:p>
            <w:pPr>
              <w:jc w:val="right"/>
              <w:spacing w:after="0"/>
              <w:rPr>
                <w:sz w:val="20"/>
                <w:szCs w:val="20"/>
                <w:color w:val="auto"/>
              </w:rPr>
            </w:pPr>
            <w:r>
              <w:rPr>
                <w:rFonts w:ascii="Arial" w:cs="Arial" w:eastAsia="Arial" w:hAnsi="Arial"/>
                <w:sz w:val="18"/>
                <w:szCs w:val="18"/>
                <w:color w:val="auto"/>
              </w:rPr>
              <w:t>789.4</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788.5</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680.6</w:t>
            </w:r>
          </w:p>
        </w:tc>
      </w:tr>
      <w:tr>
        <w:trPr>
          <w:trHeight w:val="230"/>
        </w:trPr>
        <w:tc>
          <w:tcPr>
            <w:tcW w:w="6920" w:type="dxa"/>
            <w:vAlign w:val="bottom"/>
          </w:tcPr>
          <w:p>
            <w:pPr>
              <w:ind w:left="20"/>
              <w:spacing w:after="0"/>
              <w:rPr>
                <w:sz w:val="20"/>
                <w:szCs w:val="20"/>
                <w:color w:val="auto"/>
              </w:rPr>
            </w:pPr>
            <w:r>
              <w:rPr>
                <w:rFonts w:ascii="Arial" w:cs="Arial" w:eastAsia="Arial" w:hAnsi="Arial"/>
                <w:sz w:val="18"/>
                <w:szCs w:val="18"/>
                <w:color w:val="auto"/>
              </w:rPr>
              <w:t>Net income attributable to non-controlling interest</w:t>
            </w:r>
          </w:p>
        </w:tc>
        <w:tc>
          <w:tcPr>
            <w:tcW w:w="80" w:type="dxa"/>
            <w:vAlign w:val="bottom"/>
            <w:shd w:val="clear" w:color="auto" w:fill="E0E3F1"/>
          </w:tcPr>
          <w:p>
            <w:pPr>
              <w:spacing w:after="0"/>
              <w:rPr>
                <w:sz w:val="19"/>
                <w:szCs w:val="19"/>
                <w:color w:val="auto"/>
              </w:rPr>
            </w:pPr>
          </w:p>
        </w:tc>
        <w:tc>
          <w:tcPr>
            <w:tcW w:w="120" w:type="dxa"/>
            <w:vAlign w:val="bottom"/>
            <w:shd w:val="clear" w:color="auto" w:fill="E0E3F1"/>
          </w:tcPr>
          <w:p>
            <w:pPr>
              <w:spacing w:after="0"/>
              <w:rPr>
                <w:sz w:val="19"/>
                <w:szCs w:val="19"/>
                <w:color w:val="auto"/>
              </w:rPr>
            </w:pPr>
          </w:p>
        </w:tc>
        <w:tc>
          <w:tcPr>
            <w:tcW w:w="1240" w:type="dxa"/>
            <w:vAlign w:val="bottom"/>
            <w:shd w:val="clear" w:color="auto" w:fill="E0E3F1"/>
          </w:tcPr>
          <w:p>
            <w:pPr>
              <w:jc w:val="right"/>
              <w:spacing w:after="0"/>
              <w:rPr>
                <w:sz w:val="20"/>
                <w:szCs w:val="20"/>
                <w:color w:val="auto"/>
              </w:rPr>
            </w:pPr>
            <w:r>
              <w:rPr>
                <w:rFonts w:ascii="Arial" w:cs="Arial" w:eastAsia="Arial" w:hAnsi="Arial"/>
                <w:sz w:val="18"/>
                <w:szCs w:val="18"/>
                <w:color w:val="auto"/>
              </w:rPr>
              <w:t>6.1</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29"/>
        </w:trPr>
        <w:tc>
          <w:tcPr>
            <w:tcW w:w="692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80" w:type="dxa"/>
            <w:vAlign w:val="bottom"/>
            <w:shd w:val="clear" w:color="auto" w:fill="E0E3F1"/>
          </w:tcPr>
          <w:p>
            <w:pPr>
              <w:spacing w:after="0"/>
              <w:rPr>
                <w:sz w:val="19"/>
                <w:szCs w:val="19"/>
                <w:color w:val="auto"/>
              </w:rPr>
            </w:pPr>
          </w:p>
        </w:tc>
        <w:tc>
          <w:tcPr>
            <w:tcW w:w="120" w:type="dxa"/>
            <w:vAlign w:val="bottom"/>
            <w:shd w:val="clear" w:color="auto" w:fill="E0E3F1"/>
          </w:tcPr>
          <w:p>
            <w:pPr>
              <w:spacing w:after="0"/>
              <w:rPr>
                <w:sz w:val="19"/>
                <w:szCs w:val="19"/>
                <w:color w:val="auto"/>
              </w:rPr>
            </w:pPr>
          </w:p>
        </w:tc>
        <w:tc>
          <w:tcPr>
            <w:tcW w:w="1240" w:type="dxa"/>
            <w:vAlign w:val="bottom"/>
            <w:shd w:val="clear" w:color="auto" w:fill="E0E3F1"/>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6920" w:type="dxa"/>
            <w:vAlign w:val="bottom"/>
          </w:tcPr>
          <w:p>
            <w:pPr>
              <w:ind w:left="220"/>
              <w:spacing w:after="0"/>
              <w:rPr>
                <w:sz w:val="20"/>
                <w:szCs w:val="20"/>
                <w:color w:val="auto"/>
              </w:rPr>
            </w:pPr>
            <w:r>
              <w:rPr>
                <w:rFonts w:ascii="Arial" w:cs="Arial" w:eastAsia="Arial" w:hAnsi="Arial"/>
                <w:sz w:val="18"/>
                <w:szCs w:val="18"/>
                <w:color w:val="auto"/>
              </w:rPr>
              <w:t>Unrealized components of pension and other postretirement plans</w:t>
            </w:r>
          </w:p>
        </w:tc>
        <w:tc>
          <w:tcPr>
            <w:tcW w:w="80" w:type="dxa"/>
            <w:vAlign w:val="bottom"/>
            <w:shd w:val="clear" w:color="auto" w:fill="E0E3F1"/>
          </w:tcPr>
          <w:p>
            <w:pPr>
              <w:spacing w:after="0"/>
              <w:rPr>
                <w:sz w:val="19"/>
                <w:szCs w:val="19"/>
                <w:color w:val="auto"/>
              </w:rPr>
            </w:pPr>
          </w:p>
        </w:tc>
        <w:tc>
          <w:tcPr>
            <w:tcW w:w="120" w:type="dxa"/>
            <w:vAlign w:val="bottom"/>
            <w:shd w:val="clear" w:color="auto" w:fill="E0E3F1"/>
          </w:tcPr>
          <w:p>
            <w:pPr>
              <w:spacing w:after="0"/>
              <w:rPr>
                <w:sz w:val="19"/>
                <w:szCs w:val="19"/>
                <w:color w:val="auto"/>
              </w:rPr>
            </w:pPr>
          </w:p>
        </w:tc>
        <w:tc>
          <w:tcPr>
            <w:tcW w:w="1240" w:type="dxa"/>
            <w:vAlign w:val="bottom"/>
            <w:shd w:val="clear" w:color="auto" w:fill="E0E3F1"/>
          </w:tcPr>
          <w:p>
            <w:pPr>
              <w:jc w:val="right"/>
              <w:spacing w:after="0"/>
              <w:rPr>
                <w:sz w:val="20"/>
                <w:szCs w:val="20"/>
                <w:color w:val="auto"/>
              </w:rPr>
            </w:pPr>
            <w:r>
              <w:rPr>
                <w:rFonts w:ascii="Arial" w:cs="Arial" w:eastAsia="Arial" w:hAnsi="Arial"/>
                <w:sz w:val="18"/>
                <w:szCs w:val="18"/>
                <w:color w:val="auto"/>
              </w:rPr>
              <w:t>14.3</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(24.3)</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4"/>
        </w:trPr>
        <w:tc>
          <w:tcPr>
            <w:tcW w:w="6920" w:type="dxa"/>
            <w:vAlign w:val="bottom"/>
          </w:tcPr>
          <w:p>
            <w:pPr>
              <w:ind w:left="220"/>
              <w:spacing w:after="0"/>
              <w:rPr>
                <w:sz w:val="20"/>
                <w:szCs w:val="20"/>
                <w:color w:val="auto"/>
              </w:rPr>
            </w:pPr>
            <w:r>
              <w:rPr>
                <w:rFonts w:ascii="Arial" w:cs="Arial" w:eastAsia="Arial" w:hAnsi="Arial"/>
                <w:sz w:val="18"/>
                <w:szCs w:val="18"/>
                <w:color w:val="auto"/>
              </w:rPr>
              <w:t>Currency translation adjustments</w:t>
            </w:r>
          </w:p>
        </w:tc>
        <w:tc>
          <w:tcPr>
            <w:tcW w:w="80" w:type="dxa"/>
            <w:vAlign w:val="bottom"/>
            <w:shd w:val="clear" w:color="auto" w:fill="E0E3F1"/>
          </w:tcPr>
          <w:p>
            <w:pPr>
              <w:spacing w:after="0"/>
              <w:rPr>
                <w:sz w:val="19"/>
                <w:szCs w:val="19"/>
                <w:color w:val="auto"/>
              </w:rPr>
            </w:pPr>
          </w:p>
        </w:tc>
        <w:tc>
          <w:tcPr>
            <w:tcW w:w="120" w:type="dxa"/>
            <w:vAlign w:val="bottom"/>
            <w:shd w:val="clear" w:color="auto" w:fill="E0E3F1"/>
          </w:tcPr>
          <w:p>
            <w:pPr>
              <w:spacing w:after="0"/>
              <w:rPr>
                <w:sz w:val="19"/>
                <w:szCs w:val="19"/>
                <w:color w:val="auto"/>
              </w:rPr>
            </w:pPr>
          </w:p>
        </w:tc>
        <w:tc>
          <w:tcPr>
            <w:tcW w:w="1240" w:type="dxa"/>
            <w:vAlign w:val="bottom"/>
            <w:shd w:val="clear" w:color="auto" w:fill="E0E3F1"/>
          </w:tcPr>
          <w:p>
            <w:pPr>
              <w:jc w:val="right"/>
              <w:spacing w:after="0"/>
              <w:rPr>
                <w:sz w:val="20"/>
                <w:szCs w:val="20"/>
                <w:color w:val="auto"/>
              </w:rPr>
            </w:pPr>
            <w:r>
              <w:rPr>
                <w:rFonts w:ascii="Arial" w:cs="Arial" w:eastAsia="Arial" w:hAnsi="Arial"/>
                <w:sz w:val="18"/>
                <w:szCs w:val="18"/>
                <w:color w:val="auto"/>
              </w:rPr>
              <w:t>123.4</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(90.7)</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92.5</w:t>
            </w:r>
          </w:p>
        </w:tc>
      </w:tr>
      <w:tr>
        <w:trPr>
          <w:trHeight w:val="230"/>
        </w:trPr>
        <w:tc>
          <w:tcPr>
            <w:tcW w:w="6920" w:type="dxa"/>
            <w:vAlign w:val="bottom"/>
          </w:tcPr>
          <w:p>
            <w:pPr>
              <w:ind w:left="220"/>
              <w:spacing w:after="0"/>
              <w:rPr>
                <w:sz w:val="20"/>
                <w:szCs w:val="20"/>
                <w:color w:val="auto"/>
              </w:rPr>
            </w:pPr>
            <w:r>
              <w:rPr>
                <w:rFonts w:ascii="Arial" w:cs="Arial" w:eastAsia="Arial" w:hAnsi="Arial"/>
                <w:sz w:val="18"/>
                <w:szCs w:val="18"/>
                <w:color w:val="auto"/>
              </w:rPr>
              <w:t>Change in derivative financial instruments</w:t>
            </w:r>
          </w:p>
        </w:tc>
        <w:tc>
          <w:tcPr>
            <w:tcW w:w="80" w:type="dxa"/>
            <w:vAlign w:val="bottom"/>
            <w:shd w:val="clear" w:color="auto" w:fill="E0E3F1"/>
          </w:tcPr>
          <w:p>
            <w:pPr>
              <w:spacing w:after="0"/>
              <w:rPr>
                <w:sz w:val="19"/>
                <w:szCs w:val="19"/>
                <w:color w:val="auto"/>
              </w:rPr>
            </w:pPr>
          </w:p>
        </w:tc>
        <w:tc>
          <w:tcPr>
            <w:tcW w:w="120" w:type="dxa"/>
            <w:vAlign w:val="bottom"/>
            <w:shd w:val="clear" w:color="auto" w:fill="E0E3F1"/>
          </w:tcPr>
          <w:p>
            <w:pPr>
              <w:spacing w:after="0"/>
              <w:rPr>
                <w:sz w:val="19"/>
                <w:szCs w:val="19"/>
                <w:color w:val="auto"/>
              </w:rPr>
            </w:pPr>
          </w:p>
        </w:tc>
        <w:tc>
          <w:tcPr>
            <w:tcW w:w="1240" w:type="dxa"/>
            <w:vAlign w:val="bottom"/>
            <w:shd w:val="clear" w:color="auto" w:fill="E0E3F1"/>
          </w:tcPr>
          <w:p>
            <w:pPr>
              <w:jc w:val="right"/>
              <w:spacing w:after="0"/>
              <w:rPr>
                <w:sz w:val="20"/>
                <w:szCs w:val="20"/>
                <w:color w:val="auto"/>
              </w:rPr>
            </w:pPr>
            <w:r>
              <w:rPr>
                <w:rFonts w:ascii="Arial" w:cs="Arial" w:eastAsia="Arial" w:hAnsi="Arial"/>
                <w:sz w:val="18"/>
                <w:szCs w:val="18"/>
                <w:color w:val="auto"/>
              </w:rPr>
              <w:t>(6.4)</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35"/>
        </w:trPr>
        <w:tc>
          <w:tcPr>
            <w:tcW w:w="69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Deferred taxes</w:t>
            </w:r>
          </w:p>
        </w:tc>
        <w:tc>
          <w:tcPr>
            <w:tcW w:w="80" w:type="dxa"/>
            <w:vAlign w:val="bottom"/>
            <w:tcBorders>
              <w:bottom w:val="single" w:sz="8" w:color="auto"/>
            </w:tcBorders>
            <w:shd w:val="clear" w:color="auto" w:fill="E0E3F1"/>
          </w:tcPr>
          <w:p>
            <w:pPr>
              <w:spacing w:after="0"/>
              <w:rPr>
                <w:sz w:val="20"/>
                <w:szCs w:val="20"/>
                <w:color w:val="auto"/>
              </w:rPr>
            </w:pPr>
          </w:p>
        </w:tc>
        <w:tc>
          <w:tcPr>
            <w:tcW w:w="120" w:type="dxa"/>
            <w:vAlign w:val="bottom"/>
            <w:tcBorders>
              <w:bottom w:val="single" w:sz="8" w:color="auto"/>
            </w:tcBorders>
            <w:shd w:val="clear" w:color="auto" w:fill="E0E3F1"/>
          </w:tcPr>
          <w:p>
            <w:pPr>
              <w:spacing w:after="0"/>
              <w:rPr>
                <w:sz w:val="20"/>
                <w:szCs w:val="20"/>
                <w:color w:val="auto"/>
              </w:rPr>
            </w:pPr>
          </w:p>
        </w:tc>
        <w:tc>
          <w:tcPr>
            <w:tcW w:w="1240" w:type="dxa"/>
            <w:vAlign w:val="bottom"/>
            <w:tcBorders>
              <w:bottom w:val="single" w:sz="8" w:color="auto"/>
            </w:tcBorders>
            <w:shd w:val="clear" w:color="auto" w:fill="E0E3F1"/>
          </w:tcPr>
          <w:p>
            <w:pPr>
              <w:jc w:val="right"/>
              <w:spacing w:after="0"/>
              <w:rPr>
                <w:sz w:val="20"/>
                <w:szCs w:val="20"/>
                <w:color w:val="auto"/>
              </w:rPr>
            </w:pPr>
            <w:r>
              <w:rPr>
                <w:rFonts w:ascii="Arial" w:cs="Arial" w:eastAsia="Arial" w:hAnsi="Arial"/>
                <w:sz w:val="18"/>
                <w:szCs w:val="18"/>
                <w:color w:val="auto"/>
              </w:rPr>
              <w:t>(3.5)</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r>
      <w:tr>
        <w:trPr>
          <w:trHeight w:val="223"/>
        </w:trPr>
        <w:tc>
          <w:tcPr>
            <w:tcW w:w="69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 other comprehensive income (loss)</w:t>
            </w:r>
          </w:p>
        </w:tc>
        <w:tc>
          <w:tcPr>
            <w:tcW w:w="80" w:type="dxa"/>
            <w:vAlign w:val="bottom"/>
            <w:tcBorders>
              <w:bottom w:val="single" w:sz="8" w:color="auto"/>
            </w:tcBorders>
            <w:shd w:val="clear" w:color="auto" w:fill="E0E3F1"/>
          </w:tcPr>
          <w:p>
            <w:pPr>
              <w:spacing w:after="0"/>
              <w:rPr>
                <w:sz w:val="19"/>
                <w:szCs w:val="19"/>
                <w:color w:val="auto"/>
              </w:rPr>
            </w:pPr>
          </w:p>
        </w:tc>
        <w:tc>
          <w:tcPr>
            <w:tcW w:w="120" w:type="dxa"/>
            <w:vAlign w:val="bottom"/>
            <w:tcBorders>
              <w:bottom w:val="single" w:sz="8" w:color="auto"/>
            </w:tcBorders>
            <w:shd w:val="clear" w:color="auto" w:fill="E0E3F1"/>
          </w:tcPr>
          <w:p>
            <w:pPr>
              <w:spacing w:after="0"/>
              <w:rPr>
                <w:sz w:val="19"/>
                <w:szCs w:val="19"/>
                <w:color w:val="auto"/>
              </w:rPr>
            </w:pPr>
          </w:p>
        </w:tc>
        <w:tc>
          <w:tcPr>
            <w:tcW w:w="1240" w:type="dxa"/>
            <w:vAlign w:val="bottom"/>
            <w:tcBorders>
              <w:bottom w:val="single" w:sz="8" w:color="auto"/>
            </w:tcBorders>
            <w:shd w:val="clear" w:color="auto" w:fill="E0E3F1"/>
          </w:tcPr>
          <w:p>
            <w:pPr>
              <w:jc w:val="right"/>
              <w:spacing w:after="0"/>
              <w:rPr>
                <w:sz w:val="20"/>
                <w:szCs w:val="20"/>
                <w:color w:val="auto"/>
              </w:rPr>
            </w:pPr>
            <w:r>
              <w:rPr>
                <w:rFonts w:ascii="Arial" w:cs="Arial" w:eastAsia="Arial" w:hAnsi="Arial"/>
                <w:sz w:val="18"/>
                <w:szCs w:val="18"/>
                <w:color w:val="auto"/>
              </w:rPr>
              <w:t>127.8</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w:t>
            </w:r>
          </w:p>
        </w:tc>
      </w:tr>
      <w:tr>
        <w:trPr>
          <w:trHeight w:val="142"/>
        </w:trPr>
        <w:tc>
          <w:tcPr>
            <w:tcW w:w="6920" w:type="dxa"/>
            <w:vAlign w:val="bottom"/>
            <w:tcBorders>
              <w:bottom w:val="single" w:sz="8" w:color="00539B"/>
            </w:tcBorders>
          </w:tcPr>
          <w:p>
            <w:pPr>
              <w:spacing w:after="0"/>
              <w:rPr>
                <w:sz w:val="12"/>
                <w:szCs w:val="12"/>
                <w:color w:val="auto"/>
              </w:rPr>
            </w:pPr>
          </w:p>
        </w:tc>
        <w:tc>
          <w:tcPr>
            <w:tcW w:w="80" w:type="dxa"/>
            <w:vAlign w:val="bottom"/>
            <w:tcBorders>
              <w:bottom w:val="single" w:sz="8" w:color="00539B"/>
            </w:tcBorders>
            <w:shd w:val="clear" w:color="auto" w:fill="E0E3F1"/>
          </w:tcPr>
          <w:p>
            <w:pPr>
              <w:spacing w:after="0"/>
              <w:rPr>
                <w:sz w:val="12"/>
                <w:szCs w:val="12"/>
                <w:color w:val="auto"/>
              </w:rPr>
            </w:pPr>
          </w:p>
        </w:tc>
        <w:tc>
          <w:tcPr>
            <w:tcW w:w="120" w:type="dxa"/>
            <w:vAlign w:val="bottom"/>
            <w:tcBorders>
              <w:bottom w:val="single" w:sz="8" w:color="00539B"/>
            </w:tcBorders>
            <w:shd w:val="clear" w:color="auto" w:fill="E0E3F1"/>
          </w:tcPr>
          <w:p>
            <w:pPr>
              <w:spacing w:after="0"/>
              <w:rPr>
                <w:sz w:val="12"/>
                <w:szCs w:val="12"/>
                <w:color w:val="auto"/>
              </w:rPr>
            </w:pPr>
          </w:p>
        </w:tc>
        <w:tc>
          <w:tcPr>
            <w:tcW w:w="1240" w:type="dxa"/>
            <w:vAlign w:val="bottom"/>
            <w:tcBorders>
              <w:bottom w:val="single" w:sz="8" w:color="00539B"/>
            </w:tcBorders>
            <w:shd w:val="clear" w:color="auto" w:fill="E0E3F1"/>
          </w:tcPr>
          <w:p>
            <w:pPr>
              <w:spacing w:after="0"/>
              <w:rPr>
                <w:sz w:val="12"/>
                <w:szCs w:val="12"/>
                <w:color w:val="auto"/>
              </w:rPr>
            </w:pPr>
          </w:p>
        </w:tc>
        <w:tc>
          <w:tcPr>
            <w:tcW w:w="360" w:type="dxa"/>
            <w:vAlign w:val="bottom"/>
            <w:tcBorders>
              <w:bottom w:val="single" w:sz="8" w:color="00539B"/>
            </w:tcBorders>
          </w:tcPr>
          <w:p>
            <w:pPr>
              <w:spacing w:after="0"/>
              <w:rPr>
                <w:sz w:val="12"/>
                <w:szCs w:val="12"/>
                <w:color w:val="auto"/>
              </w:rPr>
            </w:pPr>
          </w:p>
        </w:tc>
        <w:tc>
          <w:tcPr>
            <w:tcW w:w="1060" w:type="dxa"/>
            <w:vAlign w:val="bottom"/>
            <w:tcBorders>
              <w:bottom w:val="single" w:sz="8" w:color="00539B"/>
            </w:tcBorders>
          </w:tcPr>
          <w:p>
            <w:pPr>
              <w:spacing w:after="0"/>
              <w:rPr>
                <w:sz w:val="12"/>
                <w:szCs w:val="12"/>
                <w:color w:val="auto"/>
              </w:rPr>
            </w:pPr>
          </w:p>
        </w:tc>
        <w:tc>
          <w:tcPr>
            <w:tcW w:w="340" w:type="dxa"/>
            <w:vAlign w:val="bottom"/>
            <w:tcBorders>
              <w:bottom w:val="single" w:sz="8" w:color="00539B"/>
            </w:tcBorders>
          </w:tcPr>
          <w:p>
            <w:pPr>
              <w:spacing w:after="0"/>
              <w:rPr>
                <w:sz w:val="12"/>
                <w:szCs w:val="12"/>
                <w:color w:val="auto"/>
              </w:rPr>
            </w:pPr>
          </w:p>
        </w:tc>
        <w:tc>
          <w:tcPr>
            <w:tcW w:w="1080" w:type="dxa"/>
            <w:vAlign w:val="bottom"/>
            <w:tcBorders>
              <w:bottom w:val="single" w:sz="8" w:color="00539B"/>
            </w:tcBorders>
          </w:tcPr>
          <w:p>
            <w:pPr>
              <w:spacing w:after="0"/>
              <w:rPr>
                <w:sz w:val="12"/>
                <w:szCs w:val="12"/>
                <w:color w:val="auto"/>
              </w:rPr>
            </w:pPr>
          </w:p>
        </w:tc>
      </w:tr>
      <w:tr>
        <w:trPr>
          <w:trHeight w:val="230"/>
        </w:trPr>
        <w:tc>
          <w:tcPr>
            <w:tcW w:w="6920" w:type="dxa"/>
            <w:vAlign w:val="bottom"/>
            <w:tcBorders>
              <w:bottom w:val="single" w:sz="8" w:color="00539B"/>
            </w:tcBorders>
          </w:tcPr>
          <w:p>
            <w:pPr>
              <w:ind w:left="20"/>
              <w:spacing w:after="0"/>
              <w:rPr>
                <w:sz w:val="20"/>
                <w:szCs w:val="20"/>
                <w:color w:val="auto"/>
              </w:rPr>
            </w:pPr>
            <w:r>
              <w:rPr>
                <w:rFonts w:ascii="Arial" w:cs="Arial" w:eastAsia="Arial" w:hAnsi="Arial"/>
                <w:sz w:val="18"/>
                <w:szCs w:val="18"/>
                <w:color w:val="auto"/>
              </w:rPr>
              <w:t>Comprehensive income</w:t>
            </w:r>
          </w:p>
        </w:tc>
        <w:tc>
          <w:tcPr>
            <w:tcW w:w="200" w:type="dxa"/>
            <w:vAlign w:val="bottom"/>
            <w:tcBorders>
              <w:bottom w:val="single" w:sz="8" w:color="00539B"/>
            </w:tcBorders>
            <w:gridSpan w:val="2"/>
            <w:shd w:val="clear" w:color="auto" w:fill="E0E3F1"/>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8"/>
                <w:szCs w:val="18"/>
                <w:color w:val="auto"/>
              </w:rPr>
              <w:t>923.3</w:t>
            </w:r>
          </w:p>
        </w:tc>
        <w:tc>
          <w:tcPr>
            <w:tcW w:w="360" w:type="dxa"/>
            <w:vAlign w:val="bottom"/>
            <w:tcBorders>
              <w:bottom w:val="single" w:sz="8" w:color="00539B"/>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00539B"/>
            </w:tcBorders>
          </w:tcPr>
          <w:p>
            <w:pPr>
              <w:jc w:val="right"/>
              <w:spacing w:after="0"/>
              <w:rPr>
                <w:sz w:val="20"/>
                <w:szCs w:val="20"/>
                <w:color w:val="auto"/>
              </w:rPr>
            </w:pPr>
            <w:r>
              <w:rPr>
                <w:rFonts w:ascii="Arial" w:cs="Arial" w:eastAsia="Arial" w:hAnsi="Arial"/>
                <w:sz w:val="18"/>
                <w:szCs w:val="18"/>
                <w:color w:val="auto"/>
              </w:rPr>
              <w:t>688.9</w:t>
            </w:r>
          </w:p>
        </w:tc>
        <w:tc>
          <w:tcPr>
            <w:tcW w:w="340" w:type="dxa"/>
            <w:vAlign w:val="bottom"/>
            <w:tcBorders>
              <w:bottom w:val="single" w:sz="8" w:color="00539B"/>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00539B"/>
            </w:tcBorders>
          </w:tcPr>
          <w:p>
            <w:pPr>
              <w:jc w:val="right"/>
              <w:spacing w:after="0"/>
              <w:rPr>
                <w:sz w:val="20"/>
                <w:szCs w:val="20"/>
                <w:color w:val="auto"/>
              </w:rPr>
            </w:pPr>
            <w:r>
              <w:rPr>
                <w:rFonts w:ascii="Arial" w:cs="Arial" w:eastAsia="Arial" w:hAnsi="Arial"/>
                <w:sz w:val="18"/>
                <w:szCs w:val="18"/>
                <w:color w:val="auto"/>
              </w:rPr>
              <w:t>776.7</w:t>
            </w:r>
          </w:p>
        </w:tc>
      </w:tr>
      <w:tr>
        <w:trPr>
          <w:trHeight w:val="275"/>
        </w:trPr>
        <w:tc>
          <w:tcPr>
            <w:tcW w:w="6920" w:type="dxa"/>
            <w:vAlign w:val="bottom"/>
          </w:tcPr>
          <w:p>
            <w:pPr>
              <w:spacing w:after="0"/>
              <w:rPr>
                <w:sz w:val="20"/>
                <w:szCs w:val="20"/>
                <w:color w:val="auto"/>
              </w:rPr>
            </w:pPr>
            <w:r>
              <w:rPr>
                <w:rFonts w:ascii="Arial" w:cs="Arial" w:eastAsia="Arial" w:hAnsi="Arial"/>
                <w:sz w:val="14"/>
                <w:szCs w:val="14"/>
                <w:color w:val="auto"/>
              </w:rPr>
              <w:t>See Notes to Consolidated Financial Statements.</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r>
    </w:tbl>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52" w:right="37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00539B"/>
        </w:rPr>
        <w:t>CONSOLIDATED BALANCE SHEETS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320" w:type="dxa"/>
            <w:vAlign w:val="bottom"/>
            <w:tcBorders>
              <w:top w:val="single" w:sz="8" w:color="00539B"/>
              <w:bottom w:val="single" w:sz="8" w:color="00539B"/>
            </w:tcBorders>
          </w:tcPr>
          <w:p>
            <w:pPr>
              <w:ind w:left="140"/>
              <w:spacing w:after="0"/>
              <w:rPr>
                <w:sz w:val="20"/>
                <w:szCs w:val="20"/>
                <w:color w:val="auto"/>
              </w:rPr>
            </w:pPr>
            <w:r>
              <w:rPr>
                <w:rFonts w:ascii="Arial" w:cs="Arial" w:eastAsia="Arial" w:hAnsi="Arial"/>
                <w:sz w:val="14"/>
                <w:szCs w:val="14"/>
                <w:color w:val="auto"/>
              </w:rPr>
              <w:t>at November 30 (millions)</w:t>
            </w:r>
          </w:p>
        </w:tc>
        <w:tc>
          <w:tcPr>
            <w:tcW w:w="340" w:type="dxa"/>
            <w:vAlign w:val="bottom"/>
            <w:tcBorders>
              <w:top w:val="single" w:sz="8" w:color="00539B"/>
              <w:bottom w:val="single" w:sz="8" w:color="00539B"/>
            </w:tcBorders>
            <w:shd w:val="clear" w:color="auto" w:fill="E0E3F1"/>
          </w:tcPr>
          <w:p>
            <w:pPr>
              <w:spacing w:after="0"/>
              <w:rPr>
                <w:sz w:val="19"/>
                <w:szCs w:val="19"/>
                <w:color w:val="auto"/>
              </w:rPr>
            </w:pPr>
          </w:p>
        </w:tc>
        <w:tc>
          <w:tcPr>
            <w:tcW w:w="1100" w:type="dxa"/>
            <w:vAlign w:val="bottom"/>
            <w:tcBorders>
              <w:top w:val="single" w:sz="8" w:color="00539B"/>
              <w:bottom w:val="single" w:sz="8" w:color="00539B"/>
            </w:tcBorders>
            <w:shd w:val="clear" w:color="auto" w:fill="E0E3F1"/>
          </w:tcPr>
          <w:p>
            <w:pPr>
              <w:jc w:val="right"/>
              <w:ind w:right="471"/>
              <w:spacing w:after="0"/>
              <w:rPr>
                <w:sz w:val="20"/>
                <w:szCs w:val="20"/>
                <w:color w:val="auto"/>
              </w:rPr>
            </w:pPr>
            <w:r>
              <w:rPr>
                <w:rFonts w:ascii="Arial" w:cs="Arial" w:eastAsia="Arial" w:hAnsi="Arial"/>
                <w:sz w:val="14"/>
                <w:szCs w:val="14"/>
                <w:color w:val="auto"/>
              </w:rPr>
              <w:t>2025</w:t>
            </w:r>
          </w:p>
        </w:tc>
        <w:tc>
          <w:tcPr>
            <w:tcW w:w="340" w:type="dxa"/>
            <w:vAlign w:val="bottom"/>
            <w:tcBorders>
              <w:top w:val="single" w:sz="8" w:color="00539B"/>
              <w:bottom w:val="single" w:sz="8" w:color="00539B"/>
            </w:tcBorders>
          </w:tcPr>
          <w:p>
            <w:pPr>
              <w:spacing w:after="0"/>
              <w:rPr>
                <w:sz w:val="19"/>
                <w:szCs w:val="19"/>
                <w:color w:val="auto"/>
              </w:rPr>
            </w:pPr>
          </w:p>
        </w:tc>
        <w:tc>
          <w:tcPr>
            <w:tcW w:w="1120" w:type="dxa"/>
            <w:vAlign w:val="bottom"/>
            <w:tcBorders>
              <w:top w:val="single" w:sz="8" w:color="00539B"/>
              <w:bottom w:val="single" w:sz="8" w:color="00539B"/>
            </w:tcBorders>
          </w:tcPr>
          <w:p>
            <w:pPr>
              <w:jc w:val="right"/>
              <w:ind w:right="471"/>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227"/>
        </w:trPr>
        <w:tc>
          <w:tcPr>
            <w:tcW w:w="8320" w:type="dxa"/>
            <w:vAlign w:val="bottom"/>
          </w:tcPr>
          <w:p>
            <w:pPr>
              <w:ind w:left="20"/>
              <w:spacing w:after="0"/>
              <w:rPr>
                <w:sz w:val="20"/>
                <w:szCs w:val="20"/>
                <w:color w:val="auto"/>
              </w:rPr>
            </w:pPr>
            <w:r>
              <w:rPr>
                <w:rFonts w:ascii="Arial" w:cs="Arial" w:eastAsia="Arial" w:hAnsi="Arial"/>
                <w:sz w:val="18"/>
                <w:szCs w:val="18"/>
                <w:b w:val="1"/>
                <w:bCs w:val="1"/>
                <w:color w:val="00539B"/>
              </w:rPr>
              <w:t>Assets</w:t>
            </w:r>
          </w:p>
        </w:tc>
        <w:tc>
          <w:tcPr>
            <w:tcW w:w="340" w:type="dxa"/>
            <w:vAlign w:val="bottom"/>
            <w:shd w:val="clear" w:color="auto" w:fill="E0E3F1"/>
          </w:tcPr>
          <w:p>
            <w:pPr>
              <w:spacing w:after="0"/>
              <w:rPr>
                <w:sz w:val="19"/>
                <w:szCs w:val="19"/>
                <w:color w:val="auto"/>
              </w:rPr>
            </w:pPr>
          </w:p>
        </w:tc>
        <w:tc>
          <w:tcPr>
            <w:tcW w:w="1100" w:type="dxa"/>
            <w:vAlign w:val="bottom"/>
            <w:shd w:val="clear" w:color="auto" w:fill="E0E3F1"/>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E0E3F1"/>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E0E3F1"/>
          </w:tcPr>
          <w:p>
            <w:pPr>
              <w:jc w:val="right"/>
              <w:spacing w:after="0"/>
              <w:rPr>
                <w:sz w:val="20"/>
                <w:szCs w:val="20"/>
                <w:color w:val="auto"/>
              </w:rPr>
            </w:pPr>
            <w:r>
              <w:rPr>
                <w:rFonts w:ascii="Arial" w:cs="Arial" w:eastAsia="Arial" w:hAnsi="Arial"/>
                <w:sz w:val="18"/>
                <w:szCs w:val="18"/>
                <w:color w:val="auto"/>
              </w:rPr>
              <w:t>95.9</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186.1</w:t>
            </w:r>
          </w:p>
        </w:tc>
        <w:tc>
          <w:tcPr>
            <w:tcW w:w="0" w:type="dxa"/>
            <w:vAlign w:val="bottom"/>
          </w:tcPr>
          <w:p>
            <w:pPr>
              <w:spacing w:after="0"/>
              <w:rPr>
                <w:sz w:val="1"/>
                <w:szCs w:val="1"/>
                <w:color w:val="auto"/>
              </w:rPr>
            </w:pPr>
          </w:p>
        </w:tc>
      </w:tr>
      <w:tr>
        <w:trPr>
          <w:trHeight w:val="224"/>
        </w:trPr>
        <w:tc>
          <w:tcPr>
            <w:tcW w:w="8320" w:type="dxa"/>
            <w:vAlign w:val="bottom"/>
          </w:tcPr>
          <w:p>
            <w:pPr>
              <w:ind w:left="20"/>
              <w:spacing w:after="0"/>
              <w:rPr>
                <w:sz w:val="20"/>
                <w:szCs w:val="20"/>
                <w:color w:val="auto"/>
              </w:rPr>
            </w:pPr>
            <w:r>
              <w:rPr>
                <w:rFonts w:ascii="Arial" w:cs="Arial" w:eastAsia="Arial" w:hAnsi="Arial"/>
                <w:sz w:val="18"/>
                <w:szCs w:val="18"/>
                <w:color w:val="auto"/>
              </w:rPr>
              <w:t>Trade accounts receivable, net of allowances</w:t>
            </w:r>
          </w:p>
        </w:tc>
        <w:tc>
          <w:tcPr>
            <w:tcW w:w="340" w:type="dxa"/>
            <w:vAlign w:val="bottom"/>
            <w:shd w:val="clear" w:color="auto" w:fill="E0E3F1"/>
          </w:tcPr>
          <w:p>
            <w:pPr>
              <w:spacing w:after="0"/>
              <w:rPr>
                <w:sz w:val="19"/>
                <w:szCs w:val="19"/>
                <w:color w:val="auto"/>
              </w:rPr>
            </w:pPr>
          </w:p>
        </w:tc>
        <w:tc>
          <w:tcPr>
            <w:tcW w:w="1100" w:type="dxa"/>
            <w:vAlign w:val="bottom"/>
            <w:shd w:val="clear" w:color="auto" w:fill="E0E3F1"/>
          </w:tcPr>
          <w:p>
            <w:pPr>
              <w:jc w:val="right"/>
              <w:spacing w:after="0"/>
              <w:rPr>
                <w:sz w:val="20"/>
                <w:szCs w:val="20"/>
                <w:color w:val="auto"/>
              </w:rPr>
            </w:pPr>
            <w:r>
              <w:rPr>
                <w:rFonts w:ascii="Arial" w:cs="Arial" w:eastAsia="Arial" w:hAnsi="Arial"/>
                <w:sz w:val="18"/>
                <w:szCs w:val="18"/>
                <w:color w:val="auto"/>
              </w:rPr>
              <w:t>628.9</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587.4</w:t>
            </w: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340" w:type="dxa"/>
            <w:vAlign w:val="bottom"/>
            <w:shd w:val="clear" w:color="auto" w:fill="E0E3F1"/>
          </w:tcPr>
          <w:p>
            <w:pPr>
              <w:spacing w:after="0"/>
              <w:rPr>
                <w:sz w:val="19"/>
                <w:szCs w:val="19"/>
                <w:color w:val="auto"/>
              </w:rPr>
            </w:pPr>
          </w:p>
        </w:tc>
        <w:tc>
          <w:tcPr>
            <w:tcW w:w="1100" w:type="dxa"/>
            <w:vAlign w:val="bottom"/>
            <w:shd w:val="clear" w:color="auto" w:fill="E0E3F1"/>
          </w:tcPr>
          <w:p>
            <w:pPr>
              <w:jc w:val="right"/>
              <w:spacing w:after="0"/>
              <w:rPr>
                <w:sz w:val="20"/>
                <w:szCs w:val="20"/>
                <w:color w:val="auto"/>
              </w:rPr>
            </w:pPr>
            <w:r>
              <w:rPr>
                <w:rFonts w:ascii="Arial" w:cs="Arial" w:eastAsia="Arial" w:hAnsi="Arial"/>
                <w:sz w:val="18"/>
                <w:szCs w:val="18"/>
                <w:color w:val="auto"/>
              </w:rPr>
              <w:t>1,272.0</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1,239.9</w:t>
            </w:r>
          </w:p>
        </w:tc>
        <w:tc>
          <w:tcPr>
            <w:tcW w:w="0" w:type="dxa"/>
            <w:vAlign w:val="bottom"/>
          </w:tcPr>
          <w:p>
            <w:pPr>
              <w:spacing w:after="0"/>
              <w:rPr>
                <w:sz w:val="1"/>
                <w:szCs w:val="1"/>
                <w:color w:val="auto"/>
              </w:rPr>
            </w:pPr>
          </w:p>
        </w:tc>
      </w:tr>
      <w:tr>
        <w:trPr>
          <w:trHeight w:val="235"/>
        </w:trPr>
        <w:tc>
          <w:tcPr>
            <w:tcW w:w="8320" w:type="dxa"/>
            <w:vAlign w:val="bottom"/>
            <w:tcBorders>
              <w:bottom w:val="single" w:sz="8" w:color="00539B"/>
            </w:tcBorders>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Borders>
              <w:bottom w:val="single" w:sz="8" w:color="00539B"/>
            </w:tcBorders>
            <w:shd w:val="clear" w:color="auto" w:fill="E0E3F1"/>
          </w:tcPr>
          <w:p>
            <w:pPr>
              <w:spacing w:after="0"/>
              <w:rPr>
                <w:sz w:val="20"/>
                <w:szCs w:val="20"/>
                <w:color w:val="auto"/>
              </w:rPr>
            </w:pPr>
          </w:p>
        </w:tc>
        <w:tc>
          <w:tcPr>
            <w:tcW w:w="110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8"/>
                <w:szCs w:val="18"/>
                <w:color w:val="auto"/>
              </w:rPr>
              <w:t>141.3</w:t>
            </w:r>
          </w:p>
        </w:tc>
        <w:tc>
          <w:tcPr>
            <w:tcW w:w="340" w:type="dxa"/>
            <w:vAlign w:val="bottom"/>
            <w:tcBorders>
              <w:bottom w:val="single" w:sz="8" w:color="00539B"/>
            </w:tcBorders>
          </w:tcPr>
          <w:p>
            <w:pPr>
              <w:spacing w:after="0"/>
              <w:rPr>
                <w:sz w:val="20"/>
                <w:szCs w:val="20"/>
                <w:color w:val="auto"/>
              </w:rPr>
            </w:pPr>
          </w:p>
        </w:tc>
        <w:tc>
          <w:tcPr>
            <w:tcW w:w="1120" w:type="dxa"/>
            <w:vAlign w:val="bottom"/>
            <w:tcBorders>
              <w:bottom w:val="single" w:sz="8" w:color="00539B"/>
            </w:tcBorders>
          </w:tcPr>
          <w:p>
            <w:pPr>
              <w:jc w:val="right"/>
              <w:spacing w:after="0"/>
              <w:rPr>
                <w:sz w:val="20"/>
                <w:szCs w:val="20"/>
                <w:color w:val="auto"/>
              </w:rPr>
            </w:pPr>
            <w:r>
              <w:rPr>
                <w:rFonts w:ascii="Arial" w:cs="Arial" w:eastAsia="Arial" w:hAnsi="Arial"/>
                <w:sz w:val="18"/>
                <w:szCs w:val="18"/>
                <w:color w:val="auto"/>
              </w:rPr>
              <w:t>125.6</w:t>
            </w:r>
          </w:p>
        </w:tc>
        <w:tc>
          <w:tcPr>
            <w:tcW w:w="0" w:type="dxa"/>
            <w:vAlign w:val="bottom"/>
          </w:tcPr>
          <w:p>
            <w:pPr>
              <w:spacing w:after="0"/>
              <w:rPr>
                <w:sz w:val="1"/>
                <w:szCs w:val="1"/>
                <w:color w:val="auto"/>
              </w:rPr>
            </w:pPr>
          </w:p>
        </w:tc>
      </w:tr>
      <w:tr>
        <w:trPr>
          <w:trHeight w:val="223"/>
        </w:trPr>
        <w:tc>
          <w:tcPr>
            <w:tcW w:w="8320" w:type="dxa"/>
            <w:vAlign w:val="bottom"/>
            <w:tcBorders>
              <w:bottom w:val="single" w:sz="8" w:color="00539B"/>
            </w:tcBorders>
          </w:tcPr>
          <w:p>
            <w:pPr>
              <w:ind w:left="360"/>
              <w:spacing w:after="0"/>
              <w:rPr>
                <w:sz w:val="20"/>
                <w:szCs w:val="20"/>
                <w:color w:val="auto"/>
              </w:rPr>
            </w:pPr>
            <w:r>
              <w:rPr>
                <w:rFonts w:ascii="Arial" w:cs="Arial" w:eastAsia="Arial" w:hAnsi="Arial"/>
                <w:sz w:val="18"/>
                <w:szCs w:val="18"/>
                <w:color w:val="auto"/>
              </w:rPr>
              <w:t>Total current assets</w:t>
            </w:r>
          </w:p>
        </w:tc>
        <w:tc>
          <w:tcPr>
            <w:tcW w:w="340" w:type="dxa"/>
            <w:vAlign w:val="bottom"/>
            <w:tcBorders>
              <w:bottom w:val="single" w:sz="8" w:color="00539B"/>
            </w:tcBorders>
            <w:shd w:val="clear" w:color="auto" w:fill="E0E3F1"/>
          </w:tcPr>
          <w:p>
            <w:pPr>
              <w:spacing w:after="0"/>
              <w:rPr>
                <w:sz w:val="19"/>
                <w:szCs w:val="19"/>
                <w:color w:val="auto"/>
              </w:rPr>
            </w:pPr>
          </w:p>
        </w:tc>
        <w:tc>
          <w:tcPr>
            <w:tcW w:w="110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8"/>
                <w:szCs w:val="18"/>
                <w:color w:val="auto"/>
              </w:rPr>
              <w:t>2,138.1</w:t>
            </w:r>
          </w:p>
        </w:tc>
        <w:tc>
          <w:tcPr>
            <w:tcW w:w="340" w:type="dxa"/>
            <w:vAlign w:val="bottom"/>
            <w:tcBorders>
              <w:bottom w:val="single" w:sz="8" w:color="00539B"/>
            </w:tcBorders>
          </w:tcPr>
          <w:p>
            <w:pPr>
              <w:spacing w:after="0"/>
              <w:rPr>
                <w:sz w:val="19"/>
                <w:szCs w:val="19"/>
                <w:color w:val="auto"/>
              </w:rPr>
            </w:pPr>
          </w:p>
        </w:tc>
        <w:tc>
          <w:tcPr>
            <w:tcW w:w="1120" w:type="dxa"/>
            <w:vAlign w:val="bottom"/>
            <w:tcBorders>
              <w:bottom w:val="single" w:sz="8" w:color="00539B"/>
            </w:tcBorders>
          </w:tcPr>
          <w:p>
            <w:pPr>
              <w:jc w:val="right"/>
              <w:spacing w:after="0"/>
              <w:rPr>
                <w:sz w:val="20"/>
                <w:szCs w:val="20"/>
                <w:color w:val="auto"/>
              </w:rPr>
            </w:pPr>
            <w:r>
              <w:rPr>
                <w:rFonts w:ascii="Arial" w:cs="Arial" w:eastAsia="Arial" w:hAnsi="Arial"/>
                <w:sz w:val="18"/>
                <w:szCs w:val="18"/>
                <w:color w:val="auto"/>
              </w:rPr>
              <w:t>2,139.0</w:t>
            </w:r>
          </w:p>
        </w:tc>
        <w:tc>
          <w:tcPr>
            <w:tcW w:w="0" w:type="dxa"/>
            <w:vAlign w:val="bottom"/>
          </w:tcPr>
          <w:p>
            <w:pPr>
              <w:spacing w:after="0"/>
              <w:rPr>
                <w:sz w:val="1"/>
                <w:szCs w:val="1"/>
                <w:color w:val="auto"/>
              </w:rPr>
            </w:pPr>
          </w:p>
        </w:tc>
      </w:tr>
      <w:tr>
        <w:trPr>
          <w:trHeight w:val="218"/>
        </w:trPr>
        <w:tc>
          <w:tcPr>
            <w:tcW w:w="832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340" w:type="dxa"/>
            <w:vAlign w:val="bottom"/>
            <w:shd w:val="clear" w:color="auto" w:fill="E0E3F1"/>
          </w:tcPr>
          <w:p>
            <w:pPr>
              <w:spacing w:after="0"/>
              <w:rPr>
                <w:sz w:val="18"/>
                <w:szCs w:val="18"/>
                <w:color w:val="auto"/>
              </w:rPr>
            </w:pPr>
          </w:p>
        </w:tc>
        <w:tc>
          <w:tcPr>
            <w:tcW w:w="1100" w:type="dxa"/>
            <w:vAlign w:val="bottom"/>
            <w:shd w:val="clear" w:color="auto" w:fill="E0E3F1"/>
          </w:tcPr>
          <w:p>
            <w:pPr>
              <w:jc w:val="right"/>
              <w:spacing w:after="0"/>
              <w:rPr>
                <w:sz w:val="20"/>
                <w:szCs w:val="20"/>
                <w:color w:val="auto"/>
              </w:rPr>
            </w:pPr>
            <w:r>
              <w:rPr>
                <w:rFonts w:ascii="Arial" w:cs="Arial" w:eastAsia="Arial" w:hAnsi="Arial"/>
                <w:sz w:val="18"/>
                <w:szCs w:val="18"/>
                <w:color w:val="auto"/>
              </w:rPr>
              <w:t>1,448.8</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1,413.0</w:t>
            </w: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Goodwill</w:t>
            </w:r>
          </w:p>
        </w:tc>
        <w:tc>
          <w:tcPr>
            <w:tcW w:w="340" w:type="dxa"/>
            <w:vAlign w:val="bottom"/>
            <w:shd w:val="clear" w:color="auto" w:fill="E0E3F1"/>
          </w:tcPr>
          <w:p>
            <w:pPr>
              <w:spacing w:after="0"/>
              <w:rPr>
                <w:sz w:val="19"/>
                <w:szCs w:val="19"/>
                <w:color w:val="auto"/>
              </w:rPr>
            </w:pPr>
          </w:p>
        </w:tc>
        <w:tc>
          <w:tcPr>
            <w:tcW w:w="1100" w:type="dxa"/>
            <w:vAlign w:val="bottom"/>
            <w:shd w:val="clear" w:color="auto" w:fill="E0E3F1"/>
          </w:tcPr>
          <w:p>
            <w:pPr>
              <w:jc w:val="right"/>
              <w:spacing w:after="0"/>
              <w:rPr>
                <w:sz w:val="20"/>
                <w:szCs w:val="20"/>
                <w:color w:val="auto"/>
              </w:rPr>
            </w:pPr>
            <w:r>
              <w:rPr>
                <w:rFonts w:ascii="Arial" w:cs="Arial" w:eastAsia="Arial" w:hAnsi="Arial"/>
                <w:sz w:val="18"/>
                <w:szCs w:val="18"/>
                <w:color w:val="auto"/>
              </w:rPr>
              <w:t>5,301.3</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5,227.5</w:t>
            </w:r>
          </w:p>
        </w:tc>
        <w:tc>
          <w:tcPr>
            <w:tcW w:w="0" w:type="dxa"/>
            <w:vAlign w:val="bottom"/>
          </w:tcPr>
          <w:p>
            <w:pPr>
              <w:spacing w:after="0"/>
              <w:rPr>
                <w:sz w:val="1"/>
                <w:szCs w:val="1"/>
                <w:color w:val="auto"/>
              </w:rPr>
            </w:pP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340" w:type="dxa"/>
            <w:vAlign w:val="bottom"/>
            <w:shd w:val="clear" w:color="auto" w:fill="E0E3F1"/>
          </w:tcPr>
          <w:p>
            <w:pPr>
              <w:spacing w:after="0"/>
              <w:rPr>
                <w:sz w:val="19"/>
                <w:szCs w:val="19"/>
                <w:color w:val="auto"/>
              </w:rPr>
            </w:pPr>
          </w:p>
        </w:tc>
        <w:tc>
          <w:tcPr>
            <w:tcW w:w="1100" w:type="dxa"/>
            <w:vAlign w:val="bottom"/>
            <w:shd w:val="clear" w:color="auto" w:fill="E0E3F1"/>
          </w:tcPr>
          <w:p>
            <w:pPr>
              <w:jc w:val="right"/>
              <w:spacing w:after="0"/>
              <w:rPr>
                <w:sz w:val="20"/>
                <w:szCs w:val="20"/>
                <w:color w:val="auto"/>
              </w:rPr>
            </w:pPr>
            <w:r>
              <w:rPr>
                <w:rFonts w:ascii="Arial" w:cs="Arial" w:eastAsia="Arial" w:hAnsi="Arial"/>
                <w:sz w:val="18"/>
                <w:szCs w:val="18"/>
                <w:color w:val="auto"/>
              </w:rPr>
              <w:t>3,293.1</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3,318.9</w:t>
            </w:r>
          </w:p>
        </w:tc>
        <w:tc>
          <w:tcPr>
            <w:tcW w:w="0" w:type="dxa"/>
            <w:vAlign w:val="bottom"/>
          </w:tcPr>
          <w:p>
            <w:pPr>
              <w:spacing w:after="0"/>
              <w:rPr>
                <w:sz w:val="1"/>
                <w:szCs w:val="1"/>
                <w:color w:val="auto"/>
              </w:rPr>
            </w:pPr>
          </w:p>
        </w:tc>
      </w:tr>
      <w:tr>
        <w:trPr>
          <w:trHeight w:val="235"/>
        </w:trPr>
        <w:tc>
          <w:tcPr>
            <w:tcW w:w="8320" w:type="dxa"/>
            <w:vAlign w:val="bottom"/>
            <w:tcBorders>
              <w:bottom w:val="single" w:sz="8" w:color="00539B"/>
            </w:tcBorders>
          </w:tcPr>
          <w:p>
            <w:pPr>
              <w:ind w:left="20"/>
              <w:spacing w:after="0"/>
              <w:rPr>
                <w:sz w:val="20"/>
                <w:szCs w:val="20"/>
                <w:color w:val="auto"/>
              </w:rPr>
            </w:pPr>
            <w:r>
              <w:rPr>
                <w:rFonts w:ascii="Arial" w:cs="Arial" w:eastAsia="Arial" w:hAnsi="Arial"/>
                <w:sz w:val="18"/>
                <w:szCs w:val="18"/>
                <w:color w:val="auto"/>
              </w:rPr>
              <w:t>Other long-term assets</w:t>
            </w:r>
          </w:p>
        </w:tc>
        <w:tc>
          <w:tcPr>
            <w:tcW w:w="340" w:type="dxa"/>
            <w:vAlign w:val="bottom"/>
            <w:tcBorders>
              <w:bottom w:val="single" w:sz="8" w:color="00539B"/>
            </w:tcBorders>
            <w:shd w:val="clear" w:color="auto" w:fill="E0E3F1"/>
          </w:tcPr>
          <w:p>
            <w:pPr>
              <w:spacing w:after="0"/>
              <w:rPr>
                <w:sz w:val="20"/>
                <w:szCs w:val="20"/>
                <w:color w:val="auto"/>
              </w:rPr>
            </w:pPr>
          </w:p>
        </w:tc>
        <w:tc>
          <w:tcPr>
            <w:tcW w:w="110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8"/>
                <w:szCs w:val="18"/>
                <w:color w:val="auto"/>
              </w:rPr>
              <w:t>1,019.1</w:t>
            </w:r>
          </w:p>
        </w:tc>
        <w:tc>
          <w:tcPr>
            <w:tcW w:w="340" w:type="dxa"/>
            <w:vAlign w:val="bottom"/>
            <w:tcBorders>
              <w:bottom w:val="single" w:sz="8" w:color="00539B"/>
            </w:tcBorders>
          </w:tcPr>
          <w:p>
            <w:pPr>
              <w:spacing w:after="0"/>
              <w:rPr>
                <w:sz w:val="20"/>
                <w:szCs w:val="20"/>
                <w:color w:val="auto"/>
              </w:rPr>
            </w:pPr>
          </w:p>
        </w:tc>
        <w:tc>
          <w:tcPr>
            <w:tcW w:w="1120" w:type="dxa"/>
            <w:vAlign w:val="bottom"/>
            <w:tcBorders>
              <w:bottom w:val="single" w:sz="8" w:color="00539B"/>
            </w:tcBorders>
          </w:tcPr>
          <w:p>
            <w:pPr>
              <w:jc w:val="right"/>
              <w:spacing w:after="0"/>
              <w:rPr>
                <w:sz w:val="20"/>
                <w:szCs w:val="20"/>
                <w:color w:val="auto"/>
              </w:rPr>
            </w:pPr>
            <w:r>
              <w:rPr>
                <w:rFonts w:ascii="Arial" w:cs="Arial" w:eastAsia="Arial" w:hAnsi="Arial"/>
                <w:sz w:val="18"/>
                <w:szCs w:val="18"/>
                <w:color w:val="auto"/>
              </w:rPr>
              <w:t>971.9</w:t>
            </w:r>
          </w:p>
        </w:tc>
        <w:tc>
          <w:tcPr>
            <w:tcW w:w="0" w:type="dxa"/>
            <w:vAlign w:val="bottom"/>
          </w:tcPr>
          <w:p>
            <w:pPr>
              <w:spacing w:after="0"/>
              <w:rPr>
                <w:sz w:val="1"/>
                <w:szCs w:val="1"/>
                <w:color w:val="auto"/>
              </w:rPr>
            </w:pPr>
          </w:p>
        </w:tc>
      </w:tr>
      <w:tr>
        <w:trPr>
          <w:trHeight w:val="223"/>
        </w:trPr>
        <w:tc>
          <w:tcPr>
            <w:tcW w:w="8320" w:type="dxa"/>
            <w:vAlign w:val="bottom"/>
            <w:tcBorders>
              <w:bottom w:val="single" w:sz="8" w:color="00539B"/>
            </w:tcBorders>
          </w:tcPr>
          <w:p>
            <w:pPr>
              <w:ind w:left="36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00539B"/>
            </w:tcBorders>
            <w:shd w:val="clear" w:color="auto" w:fill="E0E3F1"/>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8"/>
                <w:szCs w:val="18"/>
                <w:color w:val="auto"/>
              </w:rPr>
              <w:t>13,200.4</w:t>
            </w:r>
          </w:p>
        </w:tc>
        <w:tc>
          <w:tcPr>
            <w:tcW w:w="340" w:type="dxa"/>
            <w:vAlign w:val="bottom"/>
            <w:tcBorders>
              <w:bottom w:val="single" w:sz="8" w:color="00539B"/>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00539B"/>
            </w:tcBorders>
          </w:tcPr>
          <w:p>
            <w:pPr>
              <w:jc w:val="right"/>
              <w:spacing w:after="0"/>
              <w:rPr>
                <w:sz w:val="20"/>
                <w:szCs w:val="20"/>
                <w:color w:val="auto"/>
              </w:rPr>
            </w:pPr>
            <w:r>
              <w:rPr>
                <w:rFonts w:ascii="Arial" w:cs="Arial" w:eastAsia="Arial" w:hAnsi="Arial"/>
                <w:sz w:val="18"/>
                <w:szCs w:val="18"/>
                <w:color w:val="auto"/>
              </w:rPr>
              <w:t>13,070.3</w:t>
            </w:r>
          </w:p>
        </w:tc>
        <w:tc>
          <w:tcPr>
            <w:tcW w:w="0" w:type="dxa"/>
            <w:vAlign w:val="bottom"/>
          </w:tcPr>
          <w:p>
            <w:pPr>
              <w:spacing w:after="0"/>
              <w:rPr>
                <w:sz w:val="1"/>
                <w:szCs w:val="1"/>
                <w:color w:val="auto"/>
              </w:rPr>
            </w:pPr>
          </w:p>
        </w:tc>
      </w:tr>
      <w:tr>
        <w:trPr>
          <w:trHeight w:val="223"/>
        </w:trPr>
        <w:tc>
          <w:tcPr>
            <w:tcW w:w="8320" w:type="dxa"/>
            <w:vAlign w:val="bottom"/>
          </w:tcPr>
          <w:p>
            <w:pPr>
              <w:ind w:left="20"/>
              <w:spacing w:after="0"/>
              <w:rPr>
                <w:sz w:val="20"/>
                <w:szCs w:val="20"/>
                <w:color w:val="auto"/>
              </w:rPr>
            </w:pPr>
            <w:r>
              <w:rPr>
                <w:rFonts w:ascii="Arial" w:cs="Arial" w:eastAsia="Arial" w:hAnsi="Arial"/>
                <w:sz w:val="18"/>
                <w:szCs w:val="18"/>
                <w:b w:val="1"/>
                <w:bCs w:val="1"/>
                <w:color w:val="00539B"/>
              </w:rPr>
              <w:t>Liabilities</w:t>
            </w:r>
          </w:p>
        </w:tc>
        <w:tc>
          <w:tcPr>
            <w:tcW w:w="340" w:type="dxa"/>
            <w:vAlign w:val="bottom"/>
            <w:shd w:val="clear" w:color="auto" w:fill="E0E3F1"/>
          </w:tcPr>
          <w:p>
            <w:pPr>
              <w:spacing w:after="0"/>
              <w:rPr>
                <w:sz w:val="19"/>
                <w:szCs w:val="19"/>
                <w:color w:val="auto"/>
              </w:rPr>
            </w:pPr>
          </w:p>
        </w:tc>
        <w:tc>
          <w:tcPr>
            <w:tcW w:w="1100" w:type="dxa"/>
            <w:vAlign w:val="bottom"/>
            <w:shd w:val="clear" w:color="auto" w:fill="E0E3F1"/>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Short-term borrowings</w:t>
            </w:r>
          </w:p>
        </w:tc>
        <w:tc>
          <w:tcPr>
            <w:tcW w:w="340" w:type="dxa"/>
            <w:vAlign w:val="bottom"/>
            <w:shd w:val="clear" w:color="auto" w:fill="E0E3F1"/>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E0E3F1"/>
          </w:tcPr>
          <w:p>
            <w:pPr>
              <w:jc w:val="right"/>
              <w:spacing w:after="0"/>
              <w:rPr>
                <w:sz w:val="20"/>
                <w:szCs w:val="20"/>
                <w:color w:val="auto"/>
              </w:rPr>
            </w:pPr>
            <w:r>
              <w:rPr>
                <w:rFonts w:ascii="Arial" w:cs="Arial" w:eastAsia="Arial" w:hAnsi="Arial"/>
                <w:sz w:val="18"/>
                <w:szCs w:val="18"/>
                <w:color w:val="auto"/>
              </w:rPr>
              <w:t>381.4</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483.1</w:t>
            </w:r>
          </w:p>
        </w:tc>
        <w:tc>
          <w:tcPr>
            <w:tcW w:w="0" w:type="dxa"/>
            <w:vAlign w:val="bottom"/>
          </w:tcPr>
          <w:p>
            <w:pPr>
              <w:spacing w:after="0"/>
              <w:rPr>
                <w:sz w:val="1"/>
                <w:szCs w:val="1"/>
                <w:color w:val="auto"/>
              </w:rPr>
            </w:pPr>
          </w:p>
        </w:tc>
      </w:tr>
      <w:tr>
        <w:trPr>
          <w:trHeight w:val="224"/>
        </w:trPr>
        <w:tc>
          <w:tcPr>
            <w:tcW w:w="8320" w:type="dxa"/>
            <w:vAlign w:val="bottom"/>
          </w:tcPr>
          <w:p>
            <w:pPr>
              <w:ind w:left="20"/>
              <w:spacing w:after="0"/>
              <w:rPr>
                <w:sz w:val="20"/>
                <w:szCs w:val="20"/>
                <w:color w:val="auto"/>
              </w:rPr>
            </w:pPr>
            <w:r>
              <w:rPr>
                <w:rFonts w:ascii="Arial" w:cs="Arial" w:eastAsia="Arial" w:hAnsi="Arial"/>
                <w:sz w:val="18"/>
                <w:szCs w:val="18"/>
                <w:color w:val="auto"/>
              </w:rPr>
              <w:t>Current portion of long-term debt</w:t>
            </w:r>
          </w:p>
        </w:tc>
        <w:tc>
          <w:tcPr>
            <w:tcW w:w="340" w:type="dxa"/>
            <w:vAlign w:val="bottom"/>
            <w:shd w:val="clear" w:color="auto" w:fill="E0E3F1"/>
          </w:tcPr>
          <w:p>
            <w:pPr>
              <w:spacing w:after="0"/>
              <w:rPr>
                <w:sz w:val="19"/>
                <w:szCs w:val="19"/>
                <w:color w:val="auto"/>
              </w:rPr>
            </w:pPr>
          </w:p>
        </w:tc>
        <w:tc>
          <w:tcPr>
            <w:tcW w:w="1100" w:type="dxa"/>
            <w:vAlign w:val="bottom"/>
            <w:shd w:val="clear" w:color="auto" w:fill="E0E3F1"/>
          </w:tcPr>
          <w:p>
            <w:pPr>
              <w:jc w:val="right"/>
              <w:spacing w:after="0"/>
              <w:rPr>
                <w:sz w:val="20"/>
                <w:szCs w:val="20"/>
                <w:color w:val="auto"/>
              </w:rPr>
            </w:pPr>
            <w:r>
              <w:rPr>
                <w:rFonts w:ascii="Arial" w:cs="Arial" w:eastAsia="Arial" w:hAnsi="Arial"/>
                <w:sz w:val="18"/>
                <w:szCs w:val="18"/>
                <w:color w:val="auto"/>
              </w:rPr>
              <w:t>509.1</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265.2</w:t>
            </w: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Trade accounts payable</w:t>
            </w:r>
          </w:p>
        </w:tc>
        <w:tc>
          <w:tcPr>
            <w:tcW w:w="340" w:type="dxa"/>
            <w:vAlign w:val="bottom"/>
            <w:shd w:val="clear" w:color="auto" w:fill="E0E3F1"/>
          </w:tcPr>
          <w:p>
            <w:pPr>
              <w:spacing w:after="0"/>
              <w:rPr>
                <w:sz w:val="19"/>
                <w:szCs w:val="19"/>
                <w:color w:val="auto"/>
              </w:rPr>
            </w:pPr>
          </w:p>
        </w:tc>
        <w:tc>
          <w:tcPr>
            <w:tcW w:w="1100" w:type="dxa"/>
            <w:vAlign w:val="bottom"/>
            <w:shd w:val="clear" w:color="auto" w:fill="E0E3F1"/>
          </w:tcPr>
          <w:p>
            <w:pPr>
              <w:jc w:val="right"/>
              <w:spacing w:after="0"/>
              <w:rPr>
                <w:sz w:val="20"/>
                <w:szCs w:val="20"/>
                <w:color w:val="auto"/>
              </w:rPr>
            </w:pPr>
            <w:r>
              <w:rPr>
                <w:rFonts w:ascii="Arial" w:cs="Arial" w:eastAsia="Arial" w:hAnsi="Arial"/>
                <w:sz w:val="18"/>
                <w:szCs w:val="18"/>
                <w:color w:val="auto"/>
              </w:rPr>
              <w:t>1,259.4</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1,238.1</w:t>
            </w:r>
          </w:p>
        </w:tc>
        <w:tc>
          <w:tcPr>
            <w:tcW w:w="0" w:type="dxa"/>
            <w:vAlign w:val="bottom"/>
          </w:tcPr>
          <w:p>
            <w:pPr>
              <w:spacing w:after="0"/>
              <w:rPr>
                <w:sz w:val="1"/>
                <w:szCs w:val="1"/>
                <w:color w:val="auto"/>
              </w:rPr>
            </w:pPr>
          </w:p>
        </w:tc>
      </w:tr>
      <w:tr>
        <w:trPr>
          <w:trHeight w:val="235"/>
        </w:trPr>
        <w:tc>
          <w:tcPr>
            <w:tcW w:w="8320" w:type="dxa"/>
            <w:vAlign w:val="bottom"/>
            <w:tcBorders>
              <w:bottom w:val="single" w:sz="8" w:color="00539B"/>
            </w:tcBorders>
          </w:tcPr>
          <w:p>
            <w:pPr>
              <w:ind w:left="20"/>
              <w:spacing w:after="0"/>
              <w:rPr>
                <w:sz w:val="20"/>
                <w:szCs w:val="20"/>
                <w:color w:val="auto"/>
              </w:rPr>
            </w:pPr>
            <w:r>
              <w:rPr>
                <w:rFonts w:ascii="Arial" w:cs="Arial" w:eastAsia="Arial" w:hAnsi="Arial"/>
                <w:sz w:val="18"/>
                <w:szCs w:val="18"/>
                <w:color w:val="auto"/>
              </w:rPr>
              <w:t>Other accrued liabilities</w:t>
            </w:r>
          </w:p>
        </w:tc>
        <w:tc>
          <w:tcPr>
            <w:tcW w:w="340" w:type="dxa"/>
            <w:vAlign w:val="bottom"/>
            <w:tcBorders>
              <w:bottom w:val="single" w:sz="8" w:color="00539B"/>
            </w:tcBorders>
            <w:shd w:val="clear" w:color="auto" w:fill="E0E3F1"/>
          </w:tcPr>
          <w:p>
            <w:pPr>
              <w:spacing w:after="0"/>
              <w:rPr>
                <w:sz w:val="20"/>
                <w:szCs w:val="20"/>
                <w:color w:val="auto"/>
              </w:rPr>
            </w:pPr>
          </w:p>
        </w:tc>
        <w:tc>
          <w:tcPr>
            <w:tcW w:w="110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8"/>
                <w:szCs w:val="18"/>
                <w:color w:val="auto"/>
              </w:rPr>
              <w:t>912.3</w:t>
            </w:r>
          </w:p>
        </w:tc>
        <w:tc>
          <w:tcPr>
            <w:tcW w:w="340" w:type="dxa"/>
            <w:vAlign w:val="bottom"/>
            <w:tcBorders>
              <w:bottom w:val="single" w:sz="8" w:color="00539B"/>
            </w:tcBorders>
          </w:tcPr>
          <w:p>
            <w:pPr>
              <w:spacing w:after="0"/>
              <w:rPr>
                <w:sz w:val="20"/>
                <w:szCs w:val="20"/>
                <w:color w:val="auto"/>
              </w:rPr>
            </w:pPr>
          </w:p>
        </w:tc>
        <w:tc>
          <w:tcPr>
            <w:tcW w:w="1120" w:type="dxa"/>
            <w:vAlign w:val="bottom"/>
            <w:tcBorders>
              <w:bottom w:val="single" w:sz="8" w:color="00539B"/>
            </w:tcBorders>
          </w:tcPr>
          <w:p>
            <w:pPr>
              <w:jc w:val="right"/>
              <w:spacing w:after="0"/>
              <w:rPr>
                <w:sz w:val="20"/>
                <w:szCs w:val="20"/>
                <w:color w:val="auto"/>
              </w:rPr>
            </w:pPr>
            <w:r>
              <w:rPr>
                <w:rFonts w:ascii="Arial" w:cs="Arial" w:eastAsia="Arial" w:hAnsi="Arial"/>
                <w:sz w:val="18"/>
                <w:szCs w:val="18"/>
                <w:color w:val="auto"/>
              </w:rPr>
              <w:t>896.4</w:t>
            </w:r>
          </w:p>
        </w:tc>
        <w:tc>
          <w:tcPr>
            <w:tcW w:w="0" w:type="dxa"/>
            <w:vAlign w:val="bottom"/>
          </w:tcPr>
          <w:p>
            <w:pPr>
              <w:spacing w:after="0"/>
              <w:rPr>
                <w:sz w:val="1"/>
                <w:szCs w:val="1"/>
                <w:color w:val="auto"/>
              </w:rPr>
            </w:pPr>
          </w:p>
        </w:tc>
      </w:tr>
      <w:tr>
        <w:trPr>
          <w:trHeight w:val="223"/>
        </w:trPr>
        <w:tc>
          <w:tcPr>
            <w:tcW w:w="8320" w:type="dxa"/>
            <w:vAlign w:val="bottom"/>
            <w:tcBorders>
              <w:bottom w:val="single" w:sz="8" w:color="00539B"/>
            </w:tcBorders>
          </w:tcPr>
          <w:p>
            <w:pPr>
              <w:ind w:left="360"/>
              <w:spacing w:after="0"/>
              <w:rPr>
                <w:sz w:val="20"/>
                <w:szCs w:val="20"/>
                <w:color w:val="auto"/>
              </w:rPr>
            </w:pPr>
            <w:r>
              <w:rPr>
                <w:rFonts w:ascii="Arial" w:cs="Arial" w:eastAsia="Arial" w:hAnsi="Arial"/>
                <w:sz w:val="18"/>
                <w:szCs w:val="18"/>
                <w:color w:val="auto"/>
              </w:rPr>
              <w:t>Total current liabilities</w:t>
            </w:r>
          </w:p>
        </w:tc>
        <w:tc>
          <w:tcPr>
            <w:tcW w:w="340" w:type="dxa"/>
            <w:vAlign w:val="bottom"/>
            <w:tcBorders>
              <w:bottom w:val="single" w:sz="8" w:color="00539B"/>
            </w:tcBorders>
            <w:shd w:val="clear" w:color="auto" w:fill="E0E3F1"/>
          </w:tcPr>
          <w:p>
            <w:pPr>
              <w:spacing w:after="0"/>
              <w:rPr>
                <w:sz w:val="19"/>
                <w:szCs w:val="19"/>
                <w:color w:val="auto"/>
              </w:rPr>
            </w:pPr>
          </w:p>
        </w:tc>
        <w:tc>
          <w:tcPr>
            <w:tcW w:w="110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8"/>
                <w:szCs w:val="18"/>
                <w:color w:val="auto"/>
              </w:rPr>
              <w:t>3,062.2</w:t>
            </w:r>
          </w:p>
        </w:tc>
        <w:tc>
          <w:tcPr>
            <w:tcW w:w="340" w:type="dxa"/>
            <w:vAlign w:val="bottom"/>
            <w:tcBorders>
              <w:bottom w:val="single" w:sz="8" w:color="00539B"/>
            </w:tcBorders>
          </w:tcPr>
          <w:p>
            <w:pPr>
              <w:spacing w:after="0"/>
              <w:rPr>
                <w:sz w:val="19"/>
                <w:szCs w:val="19"/>
                <w:color w:val="auto"/>
              </w:rPr>
            </w:pPr>
          </w:p>
        </w:tc>
        <w:tc>
          <w:tcPr>
            <w:tcW w:w="1120" w:type="dxa"/>
            <w:vAlign w:val="bottom"/>
            <w:tcBorders>
              <w:bottom w:val="single" w:sz="8" w:color="00539B"/>
            </w:tcBorders>
          </w:tcPr>
          <w:p>
            <w:pPr>
              <w:jc w:val="right"/>
              <w:spacing w:after="0"/>
              <w:rPr>
                <w:sz w:val="20"/>
                <w:szCs w:val="20"/>
                <w:color w:val="auto"/>
              </w:rPr>
            </w:pPr>
            <w:r>
              <w:rPr>
                <w:rFonts w:ascii="Arial" w:cs="Arial" w:eastAsia="Arial" w:hAnsi="Arial"/>
                <w:sz w:val="18"/>
                <w:szCs w:val="18"/>
                <w:color w:val="auto"/>
              </w:rPr>
              <w:t>2,882.8</w:t>
            </w:r>
          </w:p>
        </w:tc>
        <w:tc>
          <w:tcPr>
            <w:tcW w:w="0" w:type="dxa"/>
            <w:vAlign w:val="bottom"/>
          </w:tcPr>
          <w:p>
            <w:pPr>
              <w:spacing w:after="0"/>
              <w:rPr>
                <w:sz w:val="1"/>
                <w:szCs w:val="1"/>
                <w:color w:val="auto"/>
              </w:rPr>
            </w:pPr>
          </w:p>
        </w:tc>
      </w:tr>
      <w:tr>
        <w:trPr>
          <w:trHeight w:val="218"/>
        </w:trPr>
        <w:tc>
          <w:tcPr>
            <w:tcW w:w="832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340" w:type="dxa"/>
            <w:vAlign w:val="bottom"/>
            <w:shd w:val="clear" w:color="auto" w:fill="E0E3F1"/>
          </w:tcPr>
          <w:p>
            <w:pPr>
              <w:spacing w:after="0"/>
              <w:rPr>
                <w:sz w:val="18"/>
                <w:szCs w:val="18"/>
                <w:color w:val="auto"/>
              </w:rPr>
            </w:pPr>
          </w:p>
        </w:tc>
        <w:tc>
          <w:tcPr>
            <w:tcW w:w="1100" w:type="dxa"/>
            <w:vAlign w:val="bottom"/>
            <w:shd w:val="clear" w:color="auto" w:fill="E0E3F1"/>
          </w:tcPr>
          <w:p>
            <w:pPr>
              <w:jc w:val="right"/>
              <w:spacing w:after="0"/>
              <w:rPr>
                <w:sz w:val="20"/>
                <w:szCs w:val="20"/>
                <w:color w:val="auto"/>
              </w:rPr>
            </w:pPr>
            <w:r>
              <w:rPr>
                <w:rFonts w:ascii="Arial" w:cs="Arial" w:eastAsia="Arial" w:hAnsi="Arial"/>
                <w:sz w:val="18"/>
                <w:szCs w:val="18"/>
                <w:color w:val="auto"/>
              </w:rPr>
              <w:t>3,105.8</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3,593.6</w:t>
            </w: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Deferred taxes</w:t>
            </w:r>
          </w:p>
        </w:tc>
        <w:tc>
          <w:tcPr>
            <w:tcW w:w="340" w:type="dxa"/>
            <w:vAlign w:val="bottom"/>
            <w:shd w:val="clear" w:color="auto" w:fill="E0E3F1"/>
          </w:tcPr>
          <w:p>
            <w:pPr>
              <w:spacing w:after="0"/>
              <w:rPr>
                <w:sz w:val="19"/>
                <w:szCs w:val="19"/>
                <w:color w:val="auto"/>
              </w:rPr>
            </w:pPr>
          </w:p>
        </w:tc>
        <w:tc>
          <w:tcPr>
            <w:tcW w:w="1100" w:type="dxa"/>
            <w:vAlign w:val="bottom"/>
            <w:shd w:val="clear" w:color="auto" w:fill="E0E3F1"/>
          </w:tcPr>
          <w:p>
            <w:pPr>
              <w:jc w:val="right"/>
              <w:spacing w:after="0"/>
              <w:rPr>
                <w:sz w:val="20"/>
                <w:szCs w:val="20"/>
                <w:color w:val="auto"/>
              </w:rPr>
            </w:pPr>
            <w:r>
              <w:rPr>
                <w:rFonts w:ascii="Arial" w:cs="Arial" w:eastAsia="Arial" w:hAnsi="Arial"/>
                <w:sz w:val="18"/>
                <w:szCs w:val="18"/>
                <w:color w:val="auto"/>
              </w:rPr>
              <w:t>835.8</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840.5</w:t>
            </w:r>
          </w:p>
        </w:tc>
        <w:tc>
          <w:tcPr>
            <w:tcW w:w="0" w:type="dxa"/>
            <w:vAlign w:val="bottom"/>
          </w:tcPr>
          <w:p>
            <w:pPr>
              <w:spacing w:after="0"/>
              <w:rPr>
                <w:sz w:val="1"/>
                <w:szCs w:val="1"/>
                <w:color w:val="auto"/>
              </w:rPr>
            </w:pPr>
          </w:p>
        </w:tc>
      </w:tr>
      <w:tr>
        <w:trPr>
          <w:trHeight w:val="235"/>
        </w:trPr>
        <w:tc>
          <w:tcPr>
            <w:tcW w:w="8320" w:type="dxa"/>
            <w:vAlign w:val="bottom"/>
            <w:tcBorders>
              <w:bottom w:val="single" w:sz="8" w:color="00539B"/>
            </w:tcBorders>
          </w:tcPr>
          <w:p>
            <w:pPr>
              <w:ind w:left="20"/>
              <w:spacing w:after="0"/>
              <w:rPr>
                <w:sz w:val="20"/>
                <w:szCs w:val="20"/>
                <w:color w:val="auto"/>
              </w:rPr>
            </w:pPr>
            <w:r>
              <w:rPr>
                <w:rFonts w:ascii="Arial" w:cs="Arial" w:eastAsia="Arial" w:hAnsi="Arial"/>
                <w:sz w:val="18"/>
                <w:szCs w:val="18"/>
                <w:color w:val="auto"/>
              </w:rPr>
              <w:t>Other long-term liabilities</w:t>
            </w:r>
          </w:p>
        </w:tc>
        <w:tc>
          <w:tcPr>
            <w:tcW w:w="340" w:type="dxa"/>
            <w:vAlign w:val="bottom"/>
            <w:tcBorders>
              <w:bottom w:val="single" w:sz="8" w:color="00539B"/>
            </w:tcBorders>
            <w:shd w:val="clear" w:color="auto" w:fill="E0E3F1"/>
          </w:tcPr>
          <w:p>
            <w:pPr>
              <w:spacing w:after="0"/>
              <w:rPr>
                <w:sz w:val="20"/>
                <w:szCs w:val="20"/>
                <w:color w:val="auto"/>
              </w:rPr>
            </w:pPr>
          </w:p>
        </w:tc>
        <w:tc>
          <w:tcPr>
            <w:tcW w:w="110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8"/>
                <w:szCs w:val="18"/>
                <w:color w:val="auto"/>
              </w:rPr>
              <w:t>428.5</w:t>
            </w:r>
          </w:p>
        </w:tc>
        <w:tc>
          <w:tcPr>
            <w:tcW w:w="340" w:type="dxa"/>
            <w:vAlign w:val="bottom"/>
            <w:tcBorders>
              <w:bottom w:val="single" w:sz="8" w:color="00539B"/>
            </w:tcBorders>
          </w:tcPr>
          <w:p>
            <w:pPr>
              <w:spacing w:after="0"/>
              <w:rPr>
                <w:sz w:val="20"/>
                <w:szCs w:val="20"/>
                <w:color w:val="auto"/>
              </w:rPr>
            </w:pPr>
          </w:p>
        </w:tc>
        <w:tc>
          <w:tcPr>
            <w:tcW w:w="1120" w:type="dxa"/>
            <w:vAlign w:val="bottom"/>
            <w:tcBorders>
              <w:bottom w:val="single" w:sz="8" w:color="00539B"/>
            </w:tcBorders>
          </w:tcPr>
          <w:p>
            <w:pPr>
              <w:jc w:val="right"/>
              <w:spacing w:after="0"/>
              <w:rPr>
                <w:sz w:val="20"/>
                <w:szCs w:val="20"/>
                <w:color w:val="auto"/>
              </w:rPr>
            </w:pPr>
            <w:r>
              <w:rPr>
                <w:rFonts w:ascii="Arial" w:cs="Arial" w:eastAsia="Arial" w:hAnsi="Arial"/>
                <w:sz w:val="18"/>
                <w:szCs w:val="18"/>
                <w:color w:val="auto"/>
              </w:rPr>
              <w:t>436.6</w:t>
            </w:r>
          </w:p>
        </w:tc>
        <w:tc>
          <w:tcPr>
            <w:tcW w:w="0" w:type="dxa"/>
            <w:vAlign w:val="bottom"/>
          </w:tcPr>
          <w:p>
            <w:pPr>
              <w:spacing w:after="0"/>
              <w:rPr>
                <w:sz w:val="1"/>
                <w:szCs w:val="1"/>
                <w:color w:val="auto"/>
              </w:rPr>
            </w:pPr>
          </w:p>
        </w:tc>
      </w:tr>
      <w:tr>
        <w:trPr>
          <w:trHeight w:val="223"/>
        </w:trPr>
        <w:tc>
          <w:tcPr>
            <w:tcW w:w="8320" w:type="dxa"/>
            <w:vAlign w:val="bottom"/>
            <w:tcBorders>
              <w:bottom w:val="single" w:sz="8" w:color="00539B"/>
            </w:tcBorders>
          </w:tcPr>
          <w:p>
            <w:pPr>
              <w:ind w:left="360"/>
              <w:spacing w:after="0"/>
              <w:rPr>
                <w:sz w:val="20"/>
                <w:szCs w:val="20"/>
                <w:color w:val="auto"/>
              </w:rPr>
            </w:pPr>
            <w:r>
              <w:rPr>
                <w:rFonts w:ascii="Arial" w:cs="Arial" w:eastAsia="Arial" w:hAnsi="Arial"/>
                <w:sz w:val="18"/>
                <w:szCs w:val="18"/>
                <w:color w:val="auto"/>
              </w:rPr>
              <w:t>Total liabilities</w:t>
            </w:r>
          </w:p>
        </w:tc>
        <w:tc>
          <w:tcPr>
            <w:tcW w:w="340" w:type="dxa"/>
            <w:vAlign w:val="bottom"/>
            <w:tcBorders>
              <w:bottom w:val="single" w:sz="8" w:color="00539B"/>
            </w:tcBorders>
            <w:shd w:val="clear" w:color="auto" w:fill="E0E3F1"/>
          </w:tcPr>
          <w:p>
            <w:pPr>
              <w:spacing w:after="0"/>
              <w:rPr>
                <w:sz w:val="19"/>
                <w:szCs w:val="19"/>
                <w:color w:val="auto"/>
              </w:rPr>
            </w:pPr>
          </w:p>
        </w:tc>
        <w:tc>
          <w:tcPr>
            <w:tcW w:w="110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8"/>
                <w:szCs w:val="18"/>
                <w:color w:val="auto"/>
              </w:rPr>
              <w:t>7,432.3</w:t>
            </w:r>
          </w:p>
        </w:tc>
        <w:tc>
          <w:tcPr>
            <w:tcW w:w="340" w:type="dxa"/>
            <w:vAlign w:val="bottom"/>
            <w:tcBorders>
              <w:bottom w:val="single" w:sz="8" w:color="00539B"/>
            </w:tcBorders>
          </w:tcPr>
          <w:p>
            <w:pPr>
              <w:spacing w:after="0"/>
              <w:rPr>
                <w:sz w:val="19"/>
                <w:szCs w:val="19"/>
                <w:color w:val="auto"/>
              </w:rPr>
            </w:pPr>
          </w:p>
        </w:tc>
        <w:tc>
          <w:tcPr>
            <w:tcW w:w="1120" w:type="dxa"/>
            <w:vAlign w:val="bottom"/>
            <w:tcBorders>
              <w:bottom w:val="single" w:sz="8" w:color="00539B"/>
            </w:tcBorders>
          </w:tcPr>
          <w:p>
            <w:pPr>
              <w:jc w:val="right"/>
              <w:spacing w:after="0"/>
              <w:rPr>
                <w:sz w:val="20"/>
                <w:szCs w:val="20"/>
                <w:color w:val="auto"/>
              </w:rPr>
            </w:pPr>
            <w:r>
              <w:rPr>
                <w:rFonts w:ascii="Arial" w:cs="Arial" w:eastAsia="Arial" w:hAnsi="Arial"/>
                <w:sz w:val="18"/>
                <w:szCs w:val="18"/>
                <w:color w:val="auto"/>
              </w:rPr>
              <w:t>7,753.5</w:t>
            </w:r>
          </w:p>
        </w:tc>
        <w:tc>
          <w:tcPr>
            <w:tcW w:w="0" w:type="dxa"/>
            <w:vAlign w:val="bottom"/>
          </w:tcPr>
          <w:p>
            <w:pPr>
              <w:spacing w:after="0"/>
              <w:rPr>
                <w:sz w:val="1"/>
                <w:szCs w:val="1"/>
                <w:color w:val="auto"/>
              </w:rPr>
            </w:pPr>
          </w:p>
        </w:tc>
      </w:tr>
      <w:tr>
        <w:trPr>
          <w:trHeight w:val="223"/>
        </w:trPr>
        <w:tc>
          <w:tcPr>
            <w:tcW w:w="8320" w:type="dxa"/>
            <w:vAlign w:val="bottom"/>
          </w:tcPr>
          <w:p>
            <w:pPr>
              <w:ind w:left="20"/>
              <w:spacing w:after="0"/>
              <w:rPr>
                <w:sz w:val="20"/>
                <w:szCs w:val="20"/>
                <w:color w:val="auto"/>
              </w:rPr>
            </w:pPr>
            <w:r>
              <w:rPr>
                <w:rFonts w:ascii="Arial" w:cs="Arial" w:eastAsia="Arial" w:hAnsi="Arial"/>
                <w:sz w:val="18"/>
                <w:szCs w:val="18"/>
                <w:b w:val="1"/>
                <w:bCs w:val="1"/>
                <w:color w:val="00539B"/>
              </w:rPr>
              <w:t>Shareholders’ equity</w:t>
            </w:r>
          </w:p>
        </w:tc>
        <w:tc>
          <w:tcPr>
            <w:tcW w:w="340" w:type="dxa"/>
            <w:vAlign w:val="bottom"/>
            <w:shd w:val="clear" w:color="auto" w:fill="E0E3F1"/>
          </w:tcPr>
          <w:p>
            <w:pPr>
              <w:spacing w:after="0"/>
              <w:rPr>
                <w:sz w:val="19"/>
                <w:szCs w:val="19"/>
                <w:color w:val="auto"/>
              </w:rPr>
            </w:pPr>
          </w:p>
        </w:tc>
        <w:tc>
          <w:tcPr>
            <w:tcW w:w="1100" w:type="dxa"/>
            <w:vAlign w:val="bottom"/>
            <w:shd w:val="clear" w:color="auto" w:fill="E0E3F1"/>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Common stock; 640.0 shares authorized; 14.9 and 15.7 shares issued and outstanding, respectively</w:t>
            </w:r>
          </w:p>
        </w:tc>
        <w:tc>
          <w:tcPr>
            <w:tcW w:w="340" w:type="dxa"/>
            <w:vAlign w:val="bottom"/>
            <w:shd w:val="clear" w:color="auto" w:fill="E0E3F1"/>
          </w:tcPr>
          <w:p>
            <w:pPr>
              <w:spacing w:after="0"/>
              <w:rPr>
                <w:sz w:val="19"/>
                <w:szCs w:val="19"/>
                <w:color w:val="auto"/>
              </w:rPr>
            </w:pPr>
          </w:p>
        </w:tc>
        <w:tc>
          <w:tcPr>
            <w:tcW w:w="1100" w:type="dxa"/>
            <w:vAlign w:val="bottom"/>
            <w:shd w:val="clear" w:color="auto" w:fill="E0E3F1"/>
          </w:tcPr>
          <w:p>
            <w:pPr>
              <w:jc w:val="right"/>
              <w:spacing w:after="0"/>
              <w:rPr>
                <w:sz w:val="20"/>
                <w:szCs w:val="20"/>
                <w:color w:val="auto"/>
              </w:rPr>
            </w:pPr>
            <w:r>
              <w:rPr>
                <w:rFonts w:ascii="Arial" w:cs="Arial" w:eastAsia="Arial" w:hAnsi="Arial"/>
                <w:sz w:val="18"/>
                <w:szCs w:val="18"/>
                <w:color w:val="auto"/>
              </w:rPr>
              <w:t>582.4</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587.6</w:t>
            </w:r>
          </w:p>
        </w:tc>
        <w:tc>
          <w:tcPr>
            <w:tcW w:w="0" w:type="dxa"/>
            <w:vAlign w:val="bottom"/>
          </w:tcPr>
          <w:p>
            <w:pPr>
              <w:spacing w:after="0"/>
              <w:rPr>
                <w:sz w:val="1"/>
                <w:szCs w:val="1"/>
                <w:color w:val="auto"/>
              </w:rPr>
            </w:pPr>
          </w:p>
        </w:tc>
      </w:tr>
      <w:tr>
        <w:trPr>
          <w:trHeight w:val="175"/>
        </w:trPr>
        <w:tc>
          <w:tcPr>
            <w:tcW w:w="8320" w:type="dxa"/>
            <w:vAlign w:val="bottom"/>
          </w:tcPr>
          <w:p>
            <w:pPr>
              <w:ind w:left="20"/>
              <w:spacing w:after="0" w:line="176" w:lineRule="exact"/>
              <w:rPr>
                <w:sz w:val="20"/>
                <w:szCs w:val="20"/>
                <w:color w:val="auto"/>
              </w:rPr>
            </w:pPr>
            <w:r>
              <w:rPr>
                <w:rFonts w:ascii="Arial" w:cs="Arial" w:eastAsia="Arial" w:hAnsi="Arial"/>
                <w:sz w:val="18"/>
                <w:szCs w:val="18"/>
                <w:color w:val="auto"/>
              </w:rPr>
              <w:t>Common stock non-voting; 640.0 shares authorized; 253.5 and 252.3 shares issued and outstanding,</w:t>
            </w:r>
          </w:p>
        </w:tc>
        <w:tc>
          <w:tcPr>
            <w:tcW w:w="340" w:type="dxa"/>
            <w:vAlign w:val="bottom"/>
            <w:shd w:val="clear" w:color="auto" w:fill="E0E3F1"/>
          </w:tcPr>
          <w:p>
            <w:pPr>
              <w:spacing w:after="0"/>
              <w:rPr>
                <w:sz w:val="15"/>
                <w:szCs w:val="15"/>
                <w:color w:val="auto"/>
              </w:rPr>
            </w:pPr>
          </w:p>
        </w:tc>
        <w:tc>
          <w:tcPr>
            <w:tcW w:w="1100" w:type="dxa"/>
            <w:vAlign w:val="bottom"/>
            <w:vMerge w:val="restart"/>
            <w:shd w:val="clear" w:color="auto" w:fill="E0E3F1"/>
          </w:tcPr>
          <w:p>
            <w:pPr>
              <w:jc w:val="right"/>
              <w:spacing w:after="0"/>
              <w:rPr>
                <w:sz w:val="20"/>
                <w:szCs w:val="20"/>
                <w:color w:val="auto"/>
              </w:rPr>
            </w:pPr>
            <w:r>
              <w:rPr>
                <w:rFonts w:ascii="Arial" w:cs="Arial" w:eastAsia="Arial" w:hAnsi="Arial"/>
                <w:sz w:val="18"/>
                <w:szCs w:val="18"/>
                <w:color w:val="auto"/>
              </w:rPr>
              <w:t>1,700.8</w:t>
            </w:r>
          </w:p>
        </w:tc>
        <w:tc>
          <w:tcPr>
            <w:tcW w:w="3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1,649.6</w:t>
            </w:r>
          </w:p>
        </w:tc>
        <w:tc>
          <w:tcPr>
            <w:tcW w:w="0" w:type="dxa"/>
            <w:vAlign w:val="bottom"/>
          </w:tcPr>
          <w:p>
            <w:pPr>
              <w:spacing w:after="0"/>
              <w:rPr>
                <w:sz w:val="1"/>
                <w:szCs w:val="1"/>
                <w:color w:val="auto"/>
              </w:rPr>
            </w:pPr>
          </w:p>
        </w:tc>
      </w:tr>
      <w:tr>
        <w:trPr>
          <w:trHeight w:val="238"/>
        </w:trPr>
        <w:tc>
          <w:tcPr>
            <w:tcW w:w="8320" w:type="dxa"/>
            <w:vAlign w:val="bottom"/>
          </w:tcPr>
          <w:p>
            <w:pPr>
              <w:ind w:left="360"/>
              <w:spacing w:after="0"/>
              <w:rPr>
                <w:sz w:val="20"/>
                <w:szCs w:val="20"/>
                <w:color w:val="auto"/>
              </w:rPr>
            </w:pPr>
            <w:r>
              <w:rPr>
                <w:rFonts w:ascii="Arial" w:cs="Arial" w:eastAsia="Arial" w:hAnsi="Arial"/>
                <w:sz w:val="18"/>
                <w:szCs w:val="18"/>
                <w:color w:val="auto"/>
              </w:rPr>
              <w:t>respectively</w:t>
            </w:r>
          </w:p>
        </w:tc>
        <w:tc>
          <w:tcPr>
            <w:tcW w:w="340" w:type="dxa"/>
            <w:vAlign w:val="bottom"/>
            <w:shd w:val="clear" w:color="auto" w:fill="E0E3F1"/>
          </w:tcPr>
          <w:p>
            <w:pPr>
              <w:spacing w:after="0"/>
              <w:rPr>
                <w:sz w:val="20"/>
                <w:szCs w:val="20"/>
                <w:color w:val="auto"/>
              </w:rPr>
            </w:pPr>
          </w:p>
        </w:tc>
        <w:tc>
          <w:tcPr>
            <w:tcW w:w="1100" w:type="dxa"/>
            <w:vAlign w:val="bottom"/>
            <w:vMerge w:val="continue"/>
            <w:shd w:val="clear" w:color="auto" w:fill="E0E3F1"/>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Retained earnings</w:t>
            </w:r>
          </w:p>
        </w:tc>
        <w:tc>
          <w:tcPr>
            <w:tcW w:w="340" w:type="dxa"/>
            <w:vAlign w:val="bottom"/>
            <w:shd w:val="clear" w:color="auto" w:fill="E0E3F1"/>
          </w:tcPr>
          <w:p>
            <w:pPr>
              <w:spacing w:after="0"/>
              <w:rPr>
                <w:sz w:val="19"/>
                <w:szCs w:val="19"/>
                <w:color w:val="auto"/>
              </w:rPr>
            </w:pPr>
          </w:p>
        </w:tc>
        <w:tc>
          <w:tcPr>
            <w:tcW w:w="1100" w:type="dxa"/>
            <w:vAlign w:val="bottom"/>
            <w:shd w:val="clear" w:color="auto" w:fill="E0E3F1"/>
          </w:tcPr>
          <w:p>
            <w:pPr>
              <w:jc w:val="right"/>
              <w:spacing w:after="0"/>
              <w:rPr>
                <w:sz w:val="20"/>
                <w:szCs w:val="20"/>
                <w:color w:val="auto"/>
              </w:rPr>
            </w:pPr>
            <w:r>
              <w:rPr>
                <w:rFonts w:ascii="Arial" w:cs="Arial" w:eastAsia="Arial" w:hAnsi="Arial"/>
                <w:sz w:val="18"/>
                <w:szCs w:val="18"/>
                <w:color w:val="auto"/>
              </w:rPr>
              <w:t>3,816.4</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3,545.0</w:t>
            </w:r>
          </w:p>
        </w:tc>
        <w:tc>
          <w:tcPr>
            <w:tcW w:w="0" w:type="dxa"/>
            <w:vAlign w:val="bottom"/>
          </w:tcPr>
          <w:p>
            <w:pPr>
              <w:spacing w:after="0"/>
              <w:rPr>
                <w:sz w:val="1"/>
                <w:szCs w:val="1"/>
                <w:color w:val="auto"/>
              </w:rPr>
            </w:pPr>
          </w:p>
        </w:tc>
      </w:tr>
      <w:tr>
        <w:trPr>
          <w:trHeight w:val="235"/>
        </w:trPr>
        <w:tc>
          <w:tcPr>
            <w:tcW w:w="8320" w:type="dxa"/>
            <w:vAlign w:val="bottom"/>
            <w:tcBorders>
              <w:bottom w:val="single" w:sz="8" w:color="00539B"/>
            </w:tcBorders>
          </w:tcPr>
          <w:p>
            <w:pPr>
              <w:ind w:left="2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tcBorders>
              <w:bottom w:val="single" w:sz="8" w:color="00539B"/>
            </w:tcBorders>
            <w:shd w:val="clear" w:color="auto" w:fill="E0E3F1"/>
          </w:tcPr>
          <w:p>
            <w:pPr>
              <w:spacing w:after="0"/>
              <w:rPr>
                <w:sz w:val="20"/>
                <w:szCs w:val="20"/>
                <w:color w:val="auto"/>
              </w:rPr>
            </w:pPr>
          </w:p>
        </w:tc>
        <w:tc>
          <w:tcPr>
            <w:tcW w:w="110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8"/>
                <w:szCs w:val="18"/>
                <w:color w:val="auto"/>
              </w:rPr>
              <w:t>(363.1)</w:t>
            </w:r>
          </w:p>
        </w:tc>
        <w:tc>
          <w:tcPr>
            <w:tcW w:w="340" w:type="dxa"/>
            <w:vAlign w:val="bottom"/>
            <w:tcBorders>
              <w:bottom w:val="single" w:sz="8" w:color="00539B"/>
            </w:tcBorders>
          </w:tcPr>
          <w:p>
            <w:pPr>
              <w:spacing w:after="0"/>
              <w:rPr>
                <w:sz w:val="20"/>
                <w:szCs w:val="20"/>
                <w:color w:val="auto"/>
              </w:rPr>
            </w:pPr>
          </w:p>
        </w:tc>
        <w:tc>
          <w:tcPr>
            <w:tcW w:w="1120" w:type="dxa"/>
            <w:vAlign w:val="bottom"/>
            <w:tcBorders>
              <w:bottom w:val="single" w:sz="8" w:color="00539B"/>
            </w:tcBorders>
          </w:tcPr>
          <w:p>
            <w:pPr>
              <w:jc w:val="right"/>
              <w:spacing w:after="0"/>
              <w:rPr>
                <w:sz w:val="20"/>
                <w:szCs w:val="20"/>
                <w:color w:val="auto"/>
              </w:rPr>
            </w:pPr>
            <w:r>
              <w:rPr>
                <w:rFonts w:ascii="Arial" w:cs="Arial" w:eastAsia="Arial" w:hAnsi="Arial"/>
                <w:sz w:val="18"/>
                <w:szCs w:val="18"/>
                <w:color w:val="auto"/>
              </w:rPr>
              <w:t>(491.2)</w:t>
            </w:r>
          </w:p>
        </w:tc>
        <w:tc>
          <w:tcPr>
            <w:tcW w:w="0" w:type="dxa"/>
            <w:vAlign w:val="bottom"/>
          </w:tcPr>
          <w:p>
            <w:pPr>
              <w:spacing w:after="0"/>
              <w:rPr>
                <w:sz w:val="1"/>
                <w:szCs w:val="1"/>
                <w:color w:val="auto"/>
              </w:rPr>
            </w:pPr>
          </w:p>
        </w:tc>
      </w:tr>
      <w:tr>
        <w:trPr>
          <w:trHeight w:val="218"/>
        </w:trPr>
        <w:tc>
          <w:tcPr>
            <w:tcW w:w="8320" w:type="dxa"/>
            <w:vAlign w:val="bottom"/>
          </w:tcPr>
          <w:p>
            <w:pPr>
              <w:ind w:left="360"/>
              <w:spacing w:after="0"/>
              <w:rPr>
                <w:sz w:val="20"/>
                <w:szCs w:val="20"/>
                <w:color w:val="auto"/>
              </w:rPr>
            </w:pPr>
            <w:r>
              <w:rPr>
                <w:rFonts w:ascii="Arial" w:cs="Arial" w:eastAsia="Arial" w:hAnsi="Arial"/>
                <w:sz w:val="18"/>
                <w:szCs w:val="18"/>
                <w:color w:val="auto"/>
              </w:rPr>
              <w:t>Total McCormick shareholders’ equity</w:t>
            </w:r>
          </w:p>
        </w:tc>
        <w:tc>
          <w:tcPr>
            <w:tcW w:w="340" w:type="dxa"/>
            <w:vAlign w:val="bottom"/>
            <w:shd w:val="clear" w:color="auto" w:fill="E0E3F1"/>
          </w:tcPr>
          <w:p>
            <w:pPr>
              <w:spacing w:after="0"/>
              <w:rPr>
                <w:sz w:val="18"/>
                <w:szCs w:val="18"/>
                <w:color w:val="auto"/>
              </w:rPr>
            </w:pPr>
          </w:p>
        </w:tc>
        <w:tc>
          <w:tcPr>
            <w:tcW w:w="1100" w:type="dxa"/>
            <w:vAlign w:val="bottom"/>
            <w:shd w:val="clear" w:color="auto" w:fill="E0E3F1"/>
          </w:tcPr>
          <w:p>
            <w:pPr>
              <w:jc w:val="right"/>
              <w:spacing w:after="0"/>
              <w:rPr>
                <w:sz w:val="20"/>
                <w:szCs w:val="20"/>
                <w:color w:val="auto"/>
              </w:rPr>
            </w:pPr>
            <w:r>
              <w:rPr>
                <w:rFonts w:ascii="Arial" w:cs="Arial" w:eastAsia="Arial" w:hAnsi="Arial"/>
                <w:sz w:val="18"/>
                <w:szCs w:val="18"/>
                <w:color w:val="auto"/>
              </w:rPr>
              <w:t>5,736.5</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5,291.0</w:t>
            </w:r>
          </w:p>
        </w:tc>
        <w:tc>
          <w:tcPr>
            <w:tcW w:w="0" w:type="dxa"/>
            <w:vAlign w:val="bottom"/>
          </w:tcPr>
          <w:p>
            <w:pPr>
              <w:spacing w:after="0"/>
              <w:rPr>
                <w:sz w:val="1"/>
                <w:szCs w:val="1"/>
                <w:color w:val="auto"/>
              </w:rPr>
            </w:pPr>
          </w:p>
        </w:tc>
      </w:tr>
      <w:tr>
        <w:trPr>
          <w:trHeight w:val="235"/>
        </w:trPr>
        <w:tc>
          <w:tcPr>
            <w:tcW w:w="8320" w:type="dxa"/>
            <w:vAlign w:val="bottom"/>
            <w:tcBorders>
              <w:bottom w:val="single" w:sz="8" w:color="00539B"/>
            </w:tcBorders>
          </w:tcPr>
          <w:p>
            <w:pPr>
              <w:ind w:left="20"/>
              <w:spacing w:after="0"/>
              <w:rPr>
                <w:sz w:val="20"/>
                <w:szCs w:val="20"/>
                <w:color w:val="auto"/>
              </w:rPr>
            </w:pPr>
            <w:r>
              <w:rPr>
                <w:rFonts w:ascii="Arial" w:cs="Arial" w:eastAsia="Arial" w:hAnsi="Arial"/>
                <w:sz w:val="18"/>
                <w:szCs w:val="18"/>
                <w:color w:val="auto"/>
              </w:rPr>
              <w:t>Non-controlling interests</w:t>
            </w:r>
          </w:p>
        </w:tc>
        <w:tc>
          <w:tcPr>
            <w:tcW w:w="340" w:type="dxa"/>
            <w:vAlign w:val="bottom"/>
            <w:tcBorders>
              <w:bottom w:val="single" w:sz="8" w:color="00539B"/>
            </w:tcBorders>
            <w:shd w:val="clear" w:color="auto" w:fill="E0E3F1"/>
          </w:tcPr>
          <w:p>
            <w:pPr>
              <w:spacing w:after="0"/>
              <w:rPr>
                <w:sz w:val="20"/>
                <w:szCs w:val="20"/>
                <w:color w:val="auto"/>
              </w:rPr>
            </w:pPr>
          </w:p>
        </w:tc>
        <w:tc>
          <w:tcPr>
            <w:tcW w:w="110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8"/>
                <w:szCs w:val="18"/>
                <w:color w:val="auto"/>
              </w:rPr>
              <w:t>31.6</w:t>
            </w:r>
          </w:p>
        </w:tc>
        <w:tc>
          <w:tcPr>
            <w:tcW w:w="340" w:type="dxa"/>
            <w:vAlign w:val="bottom"/>
            <w:tcBorders>
              <w:bottom w:val="single" w:sz="8" w:color="00539B"/>
            </w:tcBorders>
          </w:tcPr>
          <w:p>
            <w:pPr>
              <w:spacing w:after="0"/>
              <w:rPr>
                <w:sz w:val="20"/>
                <w:szCs w:val="20"/>
                <w:color w:val="auto"/>
              </w:rPr>
            </w:pPr>
          </w:p>
        </w:tc>
        <w:tc>
          <w:tcPr>
            <w:tcW w:w="1120" w:type="dxa"/>
            <w:vAlign w:val="bottom"/>
            <w:tcBorders>
              <w:bottom w:val="single" w:sz="8" w:color="00539B"/>
            </w:tcBorders>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23"/>
        </w:trPr>
        <w:tc>
          <w:tcPr>
            <w:tcW w:w="8320" w:type="dxa"/>
            <w:vAlign w:val="bottom"/>
            <w:tcBorders>
              <w:bottom w:val="single" w:sz="8" w:color="00539B"/>
            </w:tcBorders>
          </w:tcPr>
          <w:p>
            <w:pPr>
              <w:ind w:left="360"/>
              <w:spacing w:after="0"/>
              <w:rPr>
                <w:sz w:val="20"/>
                <w:szCs w:val="20"/>
                <w:color w:val="auto"/>
              </w:rPr>
            </w:pPr>
            <w:r>
              <w:rPr>
                <w:rFonts w:ascii="Arial" w:cs="Arial" w:eastAsia="Arial" w:hAnsi="Arial"/>
                <w:sz w:val="18"/>
                <w:szCs w:val="18"/>
                <w:color w:val="auto"/>
              </w:rPr>
              <w:t>Total shareholders’ equity</w:t>
            </w:r>
          </w:p>
        </w:tc>
        <w:tc>
          <w:tcPr>
            <w:tcW w:w="340" w:type="dxa"/>
            <w:vAlign w:val="bottom"/>
            <w:tcBorders>
              <w:bottom w:val="single" w:sz="8" w:color="00539B"/>
            </w:tcBorders>
            <w:shd w:val="clear" w:color="auto" w:fill="E0E3F1"/>
          </w:tcPr>
          <w:p>
            <w:pPr>
              <w:spacing w:after="0"/>
              <w:rPr>
                <w:sz w:val="19"/>
                <w:szCs w:val="19"/>
                <w:color w:val="auto"/>
              </w:rPr>
            </w:pPr>
          </w:p>
        </w:tc>
        <w:tc>
          <w:tcPr>
            <w:tcW w:w="110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8"/>
                <w:szCs w:val="18"/>
                <w:color w:val="auto"/>
              </w:rPr>
              <w:t>5,768.1</w:t>
            </w:r>
          </w:p>
        </w:tc>
        <w:tc>
          <w:tcPr>
            <w:tcW w:w="340" w:type="dxa"/>
            <w:vAlign w:val="bottom"/>
            <w:tcBorders>
              <w:bottom w:val="single" w:sz="8" w:color="00539B"/>
            </w:tcBorders>
          </w:tcPr>
          <w:p>
            <w:pPr>
              <w:spacing w:after="0"/>
              <w:rPr>
                <w:sz w:val="19"/>
                <w:szCs w:val="19"/>
                <w:color w:val="auto"/>
              </w:rPr>
            </w:pPr>
          </w:p>
        </w:tc>
        <w:tc>
          <w:tcPr>
            <w:tcW w:w="1120" w:type="dxa"/>
            <w:vAlign w:val="bottom"/>
            <w:tcBorders>
              <w:bottom w:val="single" w:sz="8" w:color="00539B"/>
            </w:tcBorders>
          </w:tcPr>
          <w:p>
            <w:pPr>
              <w:jc w:val="right"/>
              <w:spacing w:after="0"/>
              <w:rPr>
                <w:sz w:val="20"/>
                <w:szCs w:val="20"/>
                <w:color w:val="auto"/>
              </w:rPr>
            </w:pPr>
            <w:r>
              <w:rPr>
                <w:rFonts w:ascii="Arial" w:cs="Arial" w:eastAsia="Arial" w:hAnsi="Arial"/>
                <w:sz w:val="18"/>
                <w:szCs w:val="18"/>
                <w:color w:val="auto"/>
              </w:rPr>
              <w:t>5,316.8</w:t>
            </w:r>
          </w:p>
        </w:tc>
        <w:tc>
          <w:tcPr>
            <w:tcW w:w="0" w:type="dxa"/>
            <w:vAlign w:val="bottom"/>
          </w:tcPr>
          <w:p>
            <w:pPr>
              <w:spacing w:after="0"/>
              <w:rPr>
                <w:sz w:val="1"/>
                <w:szCs w:val="1"/>
                <w:color w:val="auto"/>
              </w:rPr>
            </w:pPr>
          </w:p>
        </w:tc>
      </w:tr>
      <w:tr>
        <w:trPr>
          <w:trHeight w:val="230"/>
        </w:trPr>
        <w:tc>
          <w:tcPr>
            <w:tcW w:w="8320" w:type="dxa"/>
            <w:vAlign w:val="bottom"/>
            <w:tcBorders>
              <w:bottom w:val="single" w:sz="8" w:color="00539B"/>
            </w:tcBorders>
          </w:tcPr>
          <w:p>
            <w:pPr>
              <w:ind w:left="360"/>
              <w:spacing w:after="0"/>
              <w:rPr>
                <w:sz w:val="20"/>
                <w:szCs w:val="20"/>
                <w:color w:val="auto"/>
              </w:rPr>
            </w:pPr>
            <w:r>
              <w:rPr>
                <w:rFonts w:ascii="Arial" w:cs="Arial" w:eastAsia="Arial" w:hAnsi="Arial"/>
                <w:sz w:val="18"/>
                <w:szCs w:val="18"/>
                <w:color w:val="auto"/>
              </w:rPr>
              <w:t>Total liabilities and shareholders’ equity</w:t>
            </w:r>
          </w:p>
        </w:tc>
        <w:tc>
          <w:tcPr>
            <w:tcW w:w="340" w:type="dxa"/>
            <w:vAlign w:val="bottom"/>
            <w:tcBorders>
              <w:bottom w:val="single" w:sz="8" w:color="00539B"/>
            </w:tcBorders>
            <w:shd w:val="clear" w:color="auto" w:fill="E0E3F1"/>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8"/>
                <w:szCs w:val="18"/>
                <w:color w:val="auto"/>
              </w:rPr>
              <w:t>13,200.4</w:t>
            </w:r>
          </w:p>
        </w:tc>
        <w:tc>
          <w:tcPr>
            <w:tcW w:w="340" w:type="dxa"/>
            <w:vAlign w:val="bottom"/>
            <w:tcBorders>
              <w:bottom w:val="single" w:sz="8" w:color="00539B"/>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00539B"/>
            </w:tcBorders>
          </w:tcPr>
          <w:p>
            <w:pPr>
              <w:jc w:val="right"/>
              <w:spacing w:after="0"/>
              <w:rPr>
                <w:sz w:val="20"/>
                <w:szCs w:val="20"/>
                <w:color w:val="auto"/>
              </w:rPr>
            </w:pPr>
            <w:r>
              <w:rPr>
                <w:rFonts w:ascii="Arial" w:cs="Arial" w:eastAsia="Arial" w:hAnsi="Arial"/>
                <w:sz w:val="18"/>
                <w:szCs w:val="18"/>
                <w:color w:val="auto"/>
              </w:rPr>
              <w:t>13,070.3</w:t>
            </w: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95"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00539B"/>
        </w:rPr>
        <w:t>CONSOLIDATED CASH FLOW STATEMENTS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720" w:type="dxa"/>
            <w:vAlign w:val="bottom"/>
            <w:tcBorders>
              <w:top w:val="single" w:sz="8" w:color="00539B"/>
              <w:bottom w:val="single" w:sz="8" w:color="00539B"/>
            </w:tcBorders>
          </w:tcPr>
          <w:p>
            <w:pPr>
              <w:ind w:left="20"/>
              <w:spacing w:after="0"/>
              <w:rPr>
                <w:sz w:val="20"/>
                <w:szCs w:val="20"/>
                <w:color w:val="auto"/>
              </w:rPr>
            </w:pPr>
            <w:r>
              <w:rPr>
                <w:rFonts w:ascii="Arial" w:cs="Arial" w:eastAsia="Arial" w:hAnsi="Arial"/>
                <w:sz w:val="14"/>
                <w:szCs w:val="14"/>
                <w:color w:val="auto"/>
              </w:rPr>
              <w:t>for the year ended November 30 (millions)</w:t>
            </w:r>
          </w:p>
        </w:tc>
        <w:tc>
          <w:tcPr>
            <w:tcW w:w="220" w:type="dxa"/>
            <w:vAlign w:val="bottom"/>
            <w:tcBorders>
              <w:top w:val="single" w:sz="8" w:color="00539B"/>
              <w:bottom w:val="single" w:sz="8" w:color="00539B"/>
            </w:tcBorders>
            <w:shd w:val="clear" w:color="auto" w:fill="E0E3F1"/>
          </w:tcPr>
          <w:p>
            <w:pPr>
              <w:spacing w:after="0"/>
              <w:rPr>
                <w:sz w:val="19"/>
                <w:szCs w:val="19"/>
                <w:color w:val="auto"/>
              </w:rPr>
            </w:pPr>
          </w:p>
        </w:tc>
        <w:tc>
          <w:tcPr>
            <w:tcW w:w="780" w:type="dxa"/>
            <w:vAlign w:val="bottom"/>
            <w:tcBorders>
              <w:top w:val="single" w:sz="8" w:color="00539B"/>
              <w:bottom w:val="single" w:sz="8" w:color="00539B"/>
            </w:tcBorders>
            <w:shd w:val="clear" w:color="auto" w:fill="E0E3F1"/>
          </w:tcPr>
          <w:p>
            <w:pPr>
              <w:jc w:val="right"/>
              <w:ind w:right="251"/>
              <w:spacing w:after="0"/>
              <w:rPr>
                <w:sz w:val="20"/>
                <w:szCs w:val="20"/>
                <w:color w:val="auto"/>
              </w:rPr>
            </w:pPr>
            <w:r>
              <w:rPr>
                <w:rFonts w:ascii="Arial" w:cs="Arial" w:eastAsia="Arial" w:hAnsi="Arial"/>
                <w:sz w:val="14"/>
                <w:szCs w:val="14"/>
                <w:color w:val="auto"/>
              </w:rPr>
              <w:t>2025</w:t>
            </w:r>
          </w:p>
        </w:tc>
        <w:tc>
          <w:tcPr>
            <w:tcW w:w="220" w:type="dxa"/>
            <w:vAlign w:val="bottom"/>
            <w:tcBorders>
              <w:top w:val="single" w:sz="8" w:color="00539B"/>
              <w:bottom w:val="single" w:sz="8" w:color="00539B"/>
            </w:tcBorders>
          </w:tcPr>
          <w:p>
            <w:pPr>
              <w:spacing w:after="0"/>
              <w:rPr>
                <w:sz w:val="19"/>
                <w:szCs w:val="19"/>
                <w:color w:val="auto"/>
              </w:rPr>
            </w:pPr>
          </w:p>
        </w:tc>
        <w:tc>
          <w:tcPr>
            <w:tcW w:w="760" w:type="dxa"/>
            <w:vAlign w:val="bottom"/>
            <w:tcBorders>
              <w:top w:val="single" w:sz="8" w:color="00539B"/>
              <w:bottom w:val="single" w:sz="8" w:color="00539B"/>
            </w:tcBorders>
          </w:tcPr>
          <w:p>
            <w:pPr>
              <w:jc w:val="right"/>
              <w:ind w:right="231"/>
              <w:spacing w:after="0"/>
              <w:rPr>
                <w:sz w:val="20"/>
                <w:szCs w:val="20"/>
                <w:color w:val="auto"/>
              </w:rPr>
            </w:pPr>
            <w:r>
              <w:rPr>
                <w:rFonts w:ascii="Arial" w:cs="Arial" w:eastAsia="Arial" w:hAnsi="Arial"/>
                <w:sz w:val="14"/>
                <w:szCs w:val="14"/>
                <w:color w:val="auto"/>
              </w:rPr>
              <w:t>2024</w:t>
            </w:r>
          </w:p>
        </w:tc>
        <w:tc>
          <w:tcPr>
            <w:tcW w:w="180" w:type="dxa"/>
            <w:vAlign w:val="bottom"/>
            <w:tcBorders>
              <w:top w:val="single" w:sz="8" w:color="00539B"/>
              <w:bottom w:val="single" w:sz="8" w:color="00539B"/>
            </w:tcBorders>
          </w:tcPr>
          <w:p>
            <w:pPr>
              <w:spacing w:after="0"/>
              <w:rPr>
                <w:sz w:val="19"/>
                <w:szCs w:val="19"/>
                <w:color w:val="auto"/>
              </w:rPr>
            </w:pPr>
          </w:p>
        </w:tc>
        <w:tc>
          <w:tcPr>
            <w:tcW w:w="800" w:type="dxa"/>
            <w:vAlign w:val="bottom"/>
            <w:tcBorders>
              <w:top w:val="single" w:sz="8" w:color="00539B"/>
              <w:bottom w:val="single" w:sz="8" w:color="00539B"/>
            </w:tcBorders>
          </w:tcPr>
          <w:p>
            <w:pPr>
              <w:jc w:val="right"/>
              <w:ind w:right="231"/>
              <w:spacing w:after="0"/>
              <w:rPr>
                <w:sz w:val="20"/>
                <w:szCs w:val="20"/>
                <w:color w:val="auto"/>
              </w:rPr>
            </w:pPr>
            <w:r>
              <w:rPr>
                <w:rFonts w:ascii="Arial" w:cs="Arial" w:eastAsia="Arial" w:hAnsi="Arial"/>
                <w:sz w:val="14"/>
                <w:szCs w:val="14"/>
                <w:color w:val="auto"/>
              </w:rPr>
              <w:t>2023</w:t>
            </w:r>
          </w:p>
        </w:tc>
      </w:tr>
      <w:tr>
        <w:trPr>
          <w:trHeight w:val="222"/>
        </w:trPr>
        <w:tc>
          <w:tcPr>
            <w:tcW w:w="5720" w:type="dxa"/>
            <w:vAlign w:val="bottom"/>
          </w:tcPr>
          <w:p>
            <w:pPr>
              <w:ind w:left="20"/>
              <w:spacing w:after="0"/>
              <w:rPr>
                <w:sz w:val="20"/>
                <w:szCs w:val="20"/>
                <w:color w:val="auto"/>
              </w:rPr>
            </w:pPr>
            <w:r>
              <w:rPr>
                <w:rFonts w:ascii="Arial" w:cs="Arial" w:eastAsia="Arial" w:hAnsi="Arial"/>
                <w:sz w:val="18"/>
                <w:szCs w:val="18"/>
                <w:b w:val="1"/>
                <w:bCs w:val="1"/>
                <w:color w:val="00539B"/>
              </w:rPr>
              <w:t>Operating activities</w:t>
            </w:r>
          </w:p>
        </w:tc>
        <w:tc>
          <w:tcPr>
            <w:tcW w:w="220" w:type="dxa"/>
            <w:vAlign w:val="bottom"/>
            <w:shd w:val="clear" w:color="auto" w:fill="E0E3F1"/>
          </w:tcPr>
          <w:p>
            <w:pPr>
              <w:spacing w:after="0"/>
              <w:rPr>
                <w:sz w:val="19"/>
                <w:szCs w:val="19"/>
                <w:color w:val="auto"/>
              </w:rPr>
            </w:pPr>
          </w:p>
        </w:tc>
        <w:tc>
          <w:tcPr>
            <w:tcW w:w="780" w:type="dxa"/>
            <w:vAlign w:val="bottom"/>
            <w:shd w:val="clear" w:color="auto" w:fill="E0E3F1"/>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572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E0E3F1"/>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E0E3F1"/>
          </w:tcPr>
          <w:p>
            <w:pPr>
              <w:jc w:val="right"/>
              <w:spacing w:after="0"/>
              <w:rPr>
                <w:sz w:val="20"/>
                <w:szCs w:val="20"/>
                <w:color w:val="auto"/>
              </w:rPr>
            </w:pPr>
            <w:r>
              <w:rPr>
                <w:rFonts w:ascii="Arial" w:cs="Arial" w:eastAsia="Arial" w:hAnsi="Arial"/>
                <w:sz w:val="18"/>
                <w:szCs w:val="18"/>
                <w:color w:val="auto"/>
              </w:rPr>
              <w:t>789.4</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788.5</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680.6</w:t>
            </w:r>
          </w:p>
        </w:tc>
      </w:tr>
      <w:tr>
        <w:trPr>
          <w:trHeight w:val="181"/>
        </w:trPr>
        <w:tc>
          <w:tcPr>
            <w:tcW w:w="5720" w:type="dxa"/>
            <w:vAlign w:val="bottom"/>
          </w:tcPr>
          <w:p>
            <w:pPr>
              <w:ind w:left="180"/>
              <w:spacing w:after="0" w:line="181" w:lineRule="exact"/>
              <w:rPr>
                <w:sz w:val="20"/>
                <w:szCs w:val="20"/>
                <w:color w:val="auto"/>
              </w:rPr>
            </w:pPr>
            <w:r>
              <w:rPr>
                <w:rFonts w:ascii="Arial" w:cs="Arial" w:eastAsia="Arial" w:hAnsi="Arial"/>
                <w:sz w:val="18"/>
                <w:szCs w:val="18"/>
                <w:color w:val="auto"/>
              </w:rPr>
              <w:t>Adjustments to reconcile net income to net cash provided by</w:t>
            </w:r>
          </w:p>
        </w:tc>
        <w:tc>
          <w:tcPr>
            <w:tcW w:w="220" w:type="dxa"/>
            <w:vAlign w:val="bottom"/>
            <w:shd w:val="clear" w:color="auto" w:fill="E0E3F1"/>
          </w:tcPr>
          <w:p>
            <w:pPr>
              <w:spacing w:after="0"/>
              <w:rPr>
                <w:sz w:val="15"/>
                <w:szCs w:val="15"/>
                <w:color w:val="auto"/>
              </w:rPr>
            </w:pPr>
          </w:p>
        </w:tc>
        <w:tc>
          <w:tcPr>
            <w:tcW w:w="780" w:type="dxa"/>
            <w:vAlign w:val="bottom"/>
            <w:shd w:val="clear" w:color="auto" w:fill="E0E3F1"/>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39"/>
        </w:trPr>
        <w:tc>
          <w:tcPr>
            <w:tcW w:w="572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220" w:type="dxa"/>
            <w:vAlign w:val="bottom"/>
            <w:shd w:val="clear" w:color="auto" w:fill="E0E3F1"/>
          </w:tcPr>
          <w:p>
            <w:pPr>
              <w:spacing w:after="0"/>
              <w:rPr>
                <w:sz w:val="20"/>
                <w:szCs w:val="20"/>
                <w:color w:val="auto"/>
              </w:rPr>
            </w:pPr>
          </w:p>
        </w:tc>
        <w:tc>
          <w:tcPr>
            <w:tcW w:w="780" w:type="dxa"/>
            <w:vAlign w:val="bottom"/>
            <w:shd w:val="clear" w:color="auto" w:fill="E0E3F1"/>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34"/>
        </w:trPr>
        <w:tc>
          <w:tcPr>
            <w:tcW w:w="57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E0E3F1"/>
          </w:tcPr>
          <w:p>
            <w:pPr>
              <w:spacing w:after="0"/>
              <w:rPr>
                <w:sz w:val="20"/>
                <w:szCs w:val="20"/>
                <w:color w:val="auto"/>
              </w:rPr>
            </w:pPr>
          </w:p>
        </w:tc>
        <w:tc>
          <w:tcPr>
            <w:tcW w:w="780" w:type="dxa"/>
            <w:vAlign w:val="bottom"/>
            <w:shd w:val="clear" w:color="auto" w:fill="E0E3F1"/>
          </w:tcPr>
          <w:p>
            <w:pPr>
              <w:jc w:val="right"/>
              <w:spacing w:after="0"/>
              <w:rPr>
                <w:sz w:val="20"/>
                <w:szCs w:val="20"/>
                <w:color w:val="auto"/>
              </w:rPr>
            </w:pPr>
            <w:r>
              <w:rPr>
                <w:rFonts w:ascii="Arial" w:cs="Arial" w:eastAsia="Arial" w:hAnsi="Arial"/>
                <w:sz w:val="18"/>
                <w:szCs w:val="18"/>
                <w:color w:val="auto"/>
              </w:rPr>
              <w:t>231.3</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208.8</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199.3</w:t>
            </w:r>
          </w:p>
        </w:tc>
      </w:tr>
      <w:tr>
        <w:trPr>
          <w:trHeight w:val="224"/>
        </w:trPr>
        <w:tc>
          <w:tcPr>
            <w:tcW w:w="572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E0E3F1"/>
          </w:tcPr>
          <w:p>
            <w:pPr>
              <w:spacing w:after="0"/>
              <w:rPr>
                <w:sz w:val="19"/>
                <w:szCs w:val="19"/>
                <w:color w:val="auto"/>
              </w:rPr>
            </w:pPr>
          </w:p>
        </w:tc>
        <w:tc>
          <w:tcPr>
            <w:tcW w:w="780" w:type="dxa"/>
            <w:vAlign w:val="bottom"/>
            <w:shd w:val="clear" w:color="auto" w:fill="E0E3F1"/>
          </w:tcPr>
          <w:p>
            <w:pPr>
              <w:jc w:val="right"/>
              <w:spacing w:after="0"/>
              <w:rPr>
                <w:sz w:val="20"/>
                <w:szCs w:val="20"/>
                <w:color w:val="auto"/>
              </w:rPr>
            </w:pPr>
            <w:r>
              <w:rPr>
                <w:rFonts w:ascii="Arial" w:cs="Arial" w:eastAsia="Arial" w:hAnsi="Arial"/>
                <w:sz w:val="18"/>
                <w:szCs w:val="18"/>
                <w:color w:val="auto"/>
              </w:rPr>
              <w:t>46.2</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47.4</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63.4</w:t>
            </w:r>
          </w:p>
        </w:tc>
      </w:tr>
      <w:tr>
        <w:trPr>
          <w:trHeight w:val="230"/>
        </w:trPr>
        <w:tc>
          <w:tcPr>
            <w:tcW w:w="5720" w:type="dxa"/>
            <w:vAlign w:val="bottom"/>
          </w:tcPr>
          <w:p>
            <w:pPr>
              <w:ind w:left="360"/>
              <w:spacing w:after="0"/>
              <w:rPr>
                <w:sz w:val="20"/>
                <w:szCs w:val="20"/>
                <w:color w:val="auto"/>
              </w:rPr>
            </w:pPr>
            <w:r>
              <w:rPr>
                <w:rFonts w:ascii="Arial" w:cs="Arial" w:eastAsia="Arial" w:hAnsi="Arial"/>
                <w:sz w:val="18"/>
                <w:szCs w:val="18"/>
                <w:color w:val="auto"/>
              </w:rPr>
              <w:t>Loss on the sale of a business</w:t>
            </w:r>
          </w:p>
        </w:tc>
        <w:tc>
          <w:tcPr>
            <w:tcW w:w="220" w:type="dxa"/>
            <w:vAlign w:val="bottom"/>
            <w:shd w:val="clear" w:color="auto" w:fill="E0E3F1"/>
          </w:tcPr>
          <w:p>
            <w:pPr>
              <w:spacing w:after="0"/>
              <w:rPr>
                <w:sz w:val="19"/>
                <w:szCs w:val="19"/>
                <w:color w:val="auto"/>
              </w:rPr>
            </w:pPr>
          </w:p>
        </w:tc>
        <w:tc>
          <w:tcPr>
            <w:tcW w:w="780" w:type="dxa"/>
            <w:vAlign w:val="bottom"/>
            <w:shd w:val="clear" w:color="auto" w:fill="E0E3F1"/>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5720" w:type="dxa"/>
            <w:vAlign w:val="bottom"/>
          </w:tcPr>
          <w:p>
            <w:pPr>
              <w:ind w:left="360"/>
              <w:spacing w:after="0"/>
              <w:rPr>
                <w:sz w:val="20"/>
                <w:szCs w:val="20"/>
                <w:color w:val="auto"/>
              </w:rPr>
            </w:pPr>
            <w:r>
              <w:rPr>
                <w:rFonts w:ascii="Arial" w:cs="Arial" w:eastAsia="Arial" w:hAnsi="Arial"/>
                <w:sz w:val="18"/>
                <w:szCs w:val="18"/>
                <w:color w:val="auto"/>
              </w:rPr>
              <w:t>(Gain) loss on sale of assets</w:t>
            </w:r>
          </w:p>
        </w:tc>
        <w:tc>
          <w:tcPr>
            <w:tcW w:w="220" w:type="dxa"/>
            <w:vAlign w:val="bottom"/>
            <w:shd w:val="clear" w:color="auto" w:fill="E0E3F1"/>
          </w:tcPr>
          <w:p>
            <w:pPr>
              <w:spacing w:after="0"/>
              <w:rPr>
                <w:sz w:val="19"/>
                <w:szCs w:val="19"/>
                <w:color w:val="auto"/>
              </w:rPr>
            </w:pPr>
          </w:p>
        </w:tc>
        <w:tc>
          <w:tcPr>
            <w:tcW w:w="780" w:type="dxa"/>
            <w:vAlign w:val="bottom"/>
            <w:shd w:val="clear" w:color="auto" w:fill="E0E3F1"/>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5720" w:type="dxa"/>
            <w:vAlign w:val="bottom"/>
          </w:tcPr>
          <w:p>
            <w:pPr>
              <w:ind w:left="360"/>
              <w:spacing w:after="0"/>
              <w:rPr>
                <w:sz w:val="20"/>
                <w:szCs w:val="20"/>
                <w:color w:val="auto"/>
              </w:rPr>
            </w:pPr>
            <w:r>
              <w:rPr>
                <w:rFonts w:ascii="Arial" w:cs="Arial" w:eastAsia="Arial" w:hAnsi="Arial"/>
                <w:sz w:val="18"/>
                <w:szCs w:val="18"/>
                <w:color w:val="auto"/>
              </w:rPr>
              <w:t>Deferred income tax benefit</w:t>
            </w:r>
          </w:p>
        </w:tc>
        <w:tc>
          <w:tcPr>
            <w:tcW w:w="220" w:type="dxa"/>
            <w:vAlign w:val="bottom"/>
            <w:shd w:val="clear" w:color="auto" w:fill="E0E3F1"/>
          </w:tcPr>
          <w:p>
            <w:pPr>
              <w:spacing w:after="0"/>
              <w:rPr>
                <w:sz w:val="19"/>
                <w:szCs w:val="19"/>
                <w:color w:val="auto"/>
              </w:rPr>
            </w:pPr>
          </w:p>
        </w:tc>
        <w:tc>
          <w:tcPr>
            <w:tcW w:w="780" w:type="dxa"/>
            <w:vAlign w:val="bottom"/>
            <w:shd w:val="clear" w:color="auto" w:fill="E0E3F1"/>
          </w:tcPr>
          <w:p>
            <w:pPr>
              <w:jc w:val="right"/>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(30.3)</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5"/>
        </w:trPr>
        <w:tc>
          <w:tcPr>
            <w:tcW w:w="5720" w:type="dxa"/>
            <w:vAlign w:val="bottom"/>
          </w:tcPr>
          <w:p>
            <w:pPr>
              <w:ind w:left="360"/>
              <w:spacing w:after="0"/>
              <w:rPr>
                <w:sz w:val="20"/>
                <w:szCs w:val="20"/>
                <w:color w:val="auto"/>
              </w:rPr>
            </w:pPr>
            <w:r>
              <w:rPr>
                <w:rFonts w:ascii="Arial" w:cs="Arial" w:eastAsia="Arial" w:hAnsi="Arial"/>
                <w:sz w:val="18"/>
                <w:szCs w:val="18"/>
                <w:color w:val="auto"/>
              </w:rPr>
              <w:t>Income from unconsolidated operations</w:t>
            </w:r>
          </w:p>
        </w:tc>
        <w:tc>
          <w:tcPr>
            <w:tcW w:w="220" w:type="dxa"/>
            <w:vAlign w:val="bottom"/>
            <w:shd w:val="clear" w:color="auto" w:fill="E0E3F1"/>
          </w:tcPr>
          <w:p>
            <w:pPr>
              <w:spacing w:after="0"/>
              <w:rPr>
                <w:sz w:val="20"/>
                <w:szCs w:val="20"/>
                <w:color w:val="auto"/>
              </w:rPr>
            </w:pPr>
          </w:p>
        </w:tc>
        <w:tc>
          <w:tcPr>
            <w:tcW w:w="780" w:type="dxa"/>
            <w:vAlign w:val="bottom"/>
            <w:shd w:val="clear" w:color="auto" w:fill="E0E3F1"/>
          </w:tcPr>
          <w:p>
            <w:pPr>
              <w:jc w:val="right"/>
              <w:spacing w:after="0"/>
              <w:rPr>
                <w:sz w:val="20"/>
                <w:szCs w:val="20"/>
                <w:color w:val="auto"/>
              </w:rPr>
            </w:pPr>
            <w:r>
              <w:rPr>
                <w:rFonts w:ascii="Arial" w:cs="Arial" w:eastAsia="Arial" w:hAnsi="Arial"/>
                <w:sz w:val="18"/>
                <w:szCs w:val="18"/>
                <w:color w:val="auto"/>
              </w:rPr>
              <w:t>(72.2)</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(74.2)</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(56.4)</w:t>
            </w:r>
          </w:p>
        </w:tc>
      </w:tr>
      <w:tr>
        <w:trPr>
          <w:trHeight w:val="175"/>
        </w:trPr>
        <w:tc>
          <w:tcPr>
            <w:tcW w:w="5720" w:type="dxa"/>
            <w:vAlign w:val="bottom"/>
          </w:tcPr>
          <w:p>
            <w:pPr>
              <w:ind w:left="140"/>
              <w:spacing w:after="0" w:line="176" w:lineRule="exact"/>
              <w:rPr>
                <w:sz w:val="20"/>
                <w:szCs w:val="20"/>
                <w:color w:val="auto"/>
              </w:rPr>
            </w:pPr>
            <w:r>
              <w:rPr>
                <w:rFonts w:ascii="Arial" w:cs="Arial" w:eastAsia="Arial" w:hAnsi="Arial"/>
                <w:sz w:val="18"/>
                <w:szCs w:val="18"/>
                <w:color w:val="auto"/>
                <w:w w:val="99"/>
              </w:rPr>
              <w:t>Changes in operating assets and liabilities (net of effect of businesses</w:t>
            </w:r>
          </w:p>
        </w:tc>
        <w:tc>
          <w:tcPr>
            <w:tcW w:w="220" w:type="dxa"/>
            <w:vAlign w:val="bottom"/>
            <w:shd w:val="clear" w:color="auto" w:fill="E0E3F1"/>
          </w:tcPr>
          <w:p>
            <w:pPr>
              <w:spacing w:after="0"/>
              <w:rPr>
                <w:sz w:val="15"/>
                <w:szCs w:val="15"/>
                <w:color w:val="auto"/>
              </w:rPr>
            </w:pPr>
          </w:p>
        </w:tc>
        <w:tc>
          <w:tcPr>
            <w:tcW w:w="780" w:type="dxa"/>
            <w:vAlign w:val="bottom"/>
            <w:shd w:val="clear" w:color="auto" w:fill="E0E3F1"/>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39"/>
        </w:trPr>
        <w:tc>
          <w:tcPr>
            <w:tcW w:w="5720" w:type="dxa"/>
            <w:vAlign w:val="bottom"/>
          </w:tcPr>
          <w:p>
            <w:pPr>
              <w:ind w:left="300"/>
              <w:spacing w:after="0"/>
              <w:rPr>
                <w:sz w:val="20"/>
                <w:szCs w:val="20"/>
                <w:color w:val="auto"/>
              </w:rPr>
            </w:pPr>
            <w:r>
              <w:rPr>
                <w:rFonts w:ascii="Arial" w:cs="Arial" w:eastAsia="Arial" w:hAnsi="Arial"/>
                <w:sz w:val="18"/>
                <w:szCs w:val="18"/>
                <w:color w:val="auto"/>
              </w:rPr>
              <w:t>acquired and disposed)</w:t>
            </w:r>
          </w:p>
        </w:tc>
        <w:tc>
          <w:tcPr>
            <w:tcW w:w="220" w:type="dxa"/>
            <w:vAlign w:val="bottom"/>
            <w:shd w:val="clear" w:color="auto" w:fill="E0E3F1"/>
          </w:tcPr>
          <w:p>
            <w:pPr>
              <w:spacing w:after="0"/>
              <w:rPr>
                <w:sz w:val="20"/>
                <w:szCs w:val="20"/>
                <w:color w:val="auto"/>
              </w:rPr>
            </w:pPr>
          </w:p>
        </w:tc>
        <w:tc>
          <w:tcPr>
            <w:tcW w:w="780" w:type="dxa"/>
            <w:vAlign w:val="bottom"/>
            <w:shd w:val="clear" w:color="auto" w:fill="E0E3F1"/>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34"/>
        </w:trPr>
        <w:tc>
          <w:tcPr>
            <w:tcW w:w="5720" w:type="dxa"/>
            <w:vAlign w:val="bottom"/>
          </w:tcPr>
          <w:p>
            <w:pPr>
              <w:ind w:left="360"/>
              <w:spacing w:after="0"/>
              <w:rPr>
                <w:sz w:val="20"/>
                <w:szCs w:val="20"/>
                <w:color w:val="auto"/>
              </w:rPr>
            </w:pPr>
            <w:r>
              <w:rPr>
                <w:rFonts w:ascii="Arial" w:cs="Arial" w:eastAsia="Arial" w:hAnsi="Arial"/>
                <w:sz w:val="18"/>
                <w:szCs w:val="18"/>
                <w:color w:val="auto"/>
              </w:rPr>
              <w:t>Trade accounts receivable</w:t>
            </w:r>
          </w:p>
        </w:tc>
        <w:tc>
          <w:tcPr>
            <w:tcW w:w="220" w:type="dxa"/>
            <w:vAlign w:val="bottom"/>
            <w:shd w:val="clear" w:color="auto" w:fill="E0E3F1"/>
          </w:tcPr>
          <w:p>
            <w:pPr>
              <w:spacing w:after="0"/>
              <w:rPr>
                <w:sz w:val="20"/>
                <w:szCs w:val="20"/>
                <w:color w:val="auto"/>
              </w:rPr>
            </w:pPr>
          </w:p>
        </w:tc>
        <w:tc>
          <w:tcPr>
            <w:tcW w:w="780" w:type="dxa"/>
            <w:vAlign w:val="bottom"/>
            <w:shd w:val="clear" w:color="auto" w:fill="E0E3F1"/>
          </w:tcPr>
          <w:p>
            <w:pPr>
              <w:jc w:val="right"/>
              <w:spacing w:after="0"/>
              <w:rPr>
                <w:sz w:val="20"/>
                <w:szCs w:val="20"/>
                <w:color w:val="auto"/>
              </w:rPr>
            </w:pPr>
            <w:r>
              <w:rPr>
                <w:rFonts w:ascii="Arial" w:cs="Arial" w:eastAsia="Arial" w:hAnsi="Arial"/>
                <w:sz w:val="18"/>
                <w:szCs w:val="18"/>
                <w:color w:val="auto"/>
              </w:rPr>
              <w:t>(14.7)</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(20.5)</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4"/>
        </w:trPr>
        <w:tc>
          <w:tcPr>
            <w:tcW w:w="572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E0E3F1"/>
          </w:tcPr>
          <w:p>
            <w:pPr>
              <w:spacing w:after="0"/>
              <w:rPr>
                <w:sz w:val="19"/>
                <w:szCs w:val="19"/>
                <w:color w:val="auto"/>
              </w:rPr>
            </w:pPr>
          </w:p>
        </w:tc>
        <w:tc>
          <w:tcPr>
            <w:tcW w:w="780" w:type="dxa"/>
            <w:vAlign w:val="bottom"/>
            <w:shd w:val="clear" w:color="auto" w:fill="E0E3F1"/>
          </w:tcPr>
          <w:p>
            <w:pPr>
              <w:jc w:val="right"/>
              <w:spacing w:after="0"/>
              <w:rPr>
                <w:sz w:val="20"/>
                <w:szCs w:val="20"/>
                <w:color w:val="auto"/>
              </w:rPr>
            </w:pPr>
            <w:r>
              <w:rPr>
                <w:rFonts w:ascii="Arial" w:cs="Arial" w:eastAsia="Arial" w:hAnsi="Arial"/>
                <w:sz w:val="18"/>
                <w:szCs w:val="18"/>
                <w:color w:val="auto"/>
              </w:rPr>
              <w:t>23.9</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(125.0)</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225.0</w:t>
            </w:r>
          </w:p>
        </w:tc>
      </w:tr>
      <w:tr>
        <w:trPr>
          <w:trHeight w:val="229"/>
        </w:trPr>
        <w:tc>
          <w:tcPr>
            <w:tcW w:w="5720" w:type="dxa"/>
            <w:vAlign w:val="bottom"/>
          </w:tcPr>
          <w:p>
            <w:pPr>
              <w:ind w:left="360"/>
              <w:spacing w:after="0"/>
              <w:rPr>
                <w:sz w:val="20"/>
                <w:szCs w:val="20"/>
                <w:color w:val="auto"/>
              </w:rPr>
            </w:pPr>
            <w:r>
              <w:rPr>
                <w:rFonts w:ascii="Arial" w:cs="Arial" w:eastAsia="Arial" w:hAnsi="Arial"/>
                <w:sz w:val="18"/>
                <w:szCs w:val="18"/>
                <w:color w:val="auto"/>
              </w:rPr>
              <w:t>Trade accounts payable</w:t>
            </w:r>
          </w:p>
        </w:tc>
        <w:tc>
          <w:tcPr>
            <w:tcW w:w="220" w:type="dxa"/>
            <w:vAlign w:val="bottom"/>
            <w:shd w:val="clear" w:color="auto" w:fill="E0E3F1"/>
          </w:tcPr>
          <w:p>
            <w:pPr>
              <w:spacing w:after="0"/>
              <w:rPr>
                <w:sz w:val="19"/>
                <w:szCs w:val="19"/>
                <w:color w:val="auto"/>
              </w:rPr>
            </w:pPr>
          </w:p>
        </w:tc>
        <w:tc>
          <w:tcPr>
            <w:tcW w:w="780" w:type="dxa"/>
            <w:vAlign w:val="bottom"/>
            <w:shd w:val="clear" w:color="auto" w:fill="E0E3F1"/>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135.1</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(68.1)</w:t>
            </w:r>
          </w:p>
        </w:tc>
      </w:tr>
      <w:tr>
        <w:trPr>
          <w:trHeight w:val="230"/>
        </w:trPr>
        <w:tc>
          <w:tcPr>
            <w:tcW w:w="5720" w:type="dxa"/>
            <w:vAlign w:val="bottom"/>
          </w:tcPr>
          <w:p>
            <w:pPr>
              <w:ind w:left="360"/>
              <w:spacing w:after="0"/>
              <w:rPr>
                <w:sz w:val="20"/>
                <w:szCs w:val="20"/>
                <w:color w:val="auto"/>
              </w:rPr>
            </w:pPr>
            <w:r>
              <w:rPr>
                <w:rFonts w:ascii="Arial" w:cs="Arial" w:eastAsia="Arial" w:hAnsi="Arial"/>
                <w:sz w:val="18"/>
                <w:szCs w:val="18"/>
                <w:color w:val="auto"/>
              </w:rPr>
              <w:t>Other assets and liabilities</w:t>
            </w:r>
          </w:p>
        </w:tc>
        <w:tc>
          <w:tcPr>
            <w:tcW w:w="220" w:type="dxa"/>
            <w:vAlign w:val="bottom"/>
            <w:shd w:val="clear" w:color="auto" w:fill="E0E3F1"/>
          </w:tcPr>
          <w:p>
            <w:pPr>
              <w:spacing w:after="0"/>
              <w:rPr>
                <w:sz w:val="19"/>
                <w:szCs w:val="19"/>
                <w:color w:val="auto"/>
              </w:rPr>
            </w:pPr>
          </w:p>
        </w:tc>
        <w:tc>
          <w:tcPr>
            <w:tcW w:w="780" w:type="dxa"/>
            <w:vAlign w:val="bottom"/>
            <w:shd w:val="clear" w:color="auto" w:fill="E0E3F1"/>
          </w:tcPr>
          <w:p>
            <w:pPr>
              <w:jc w:val="right"/>
              <w:spacing w:after="0"/>
              <w:rPr>
                <w:sz w:val="20"/>
                <w:szCs w:val="20"/>
                <w:color w:val="auto"/>
              </w:rPr>
            </w:pPr>
            <w:r>
              <w:rPr>
                <w:rFonts w:ascii="Arial" w:cs="Arial" w:eastAsia="Arial" w:hAnsi="Arial"/>
                <w:sz w:val="18"/>
                <w:szCs w:val="18"/>
                <w:color w:val="auto"/>
              </w:rPr>
              <w:t>(94.2)</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(72.6)</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109.0</w:t>
            </w:r>
          </w:p>
        </w:tc>
      </w:tr>
      <w:tr>
        <w:trPr>
          <w:trHeight w:val="235"/>
        </w:trPr>
        <w:tc>
          <w:tcPr>
            <w:tcW w:w="5720" w:type="dxa"/>
            <w:vAlign w:val="bottom"/>
            <w:tcBorders>
              <w:bottom w:val="single" w:sz="8" w:color="00539B"/>
            </w:tcBorders>
          </w:tcPr>
          <w:p>
            <w:pPr>
              <w:ind w:left="140"/>
              <w:spacing w:after="0"/>
              <w:rPr>
                <w:sz w:val="20"/>
                <w:szCs w:val="20"/>
                <w:color w:val="auto"/>
              </w:rPr>
            </w:pPr>
            <w:r>
              <w:rPr>
                <w:rFonts w:ascii="Arial" w:cs="Arial" w:eastAsia="Arial" w:hAnsi="Arial"/>
                <w:sz w:val="18"/>
                <w:szCs w:val="18"/>
                <w:color w:val="auto"/>
              </w:rPr>
              <w:t>Dividends received from unconsolidated affiliates</w:t>
            </w:r>
          </w:p>
        </w:tc>
        <w:tc>
          <w:tcPr>
            <w:tcW w:w="220" w:type="dxa"/>
            <w:vAlign w:val="bottom"/>
            <w:tcBorders>
              <w:bottom w:val="single" w:sz="8" w:color="00539B"/>
            </w:tcBorders>
            <w:shd w:val="clear" w:color="auto" w:fill="E0E3F1"/>
          </w:tcPr>
          <w:p>
            <w:pPr>
              <w:spacing w:after="0"/>
              <w:rPr>
                <w:sz w:val="20"/>
                <w:szCs w:val="20"/>
                <w:color w:val="auto"/>
              </w:rPr>
            </w:pPr>
          </w:p>
        </w:tc>
        <w:tc>
          <w:tcPr>
            <w:tcW w:w="78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8"/>
                <w:szCs w:val="18"/>
                <w:color w:val="auto"/>
              </w:rPr>
              <w:t>57.8</w:t>
            </w:r>
          </w:p>
        </w:tc>
        <w:tc>
          <w:tcPr>
            <w:tcW w:w="220" w:type="dxa"/>
            <w:vAlign w:val="bottom"/>
            <w:tcBorders>
              <w:bottom w:val="single" w:sz="8" w:color="00539B"/>
            </w:tcBorders>
          </w:tcPr>
          <w:p>
            <w:pPr>
              <w:spacing w:after="0"/>
              <w:rPr>
                <w:sz w:val="20"/>
                <w:szCs w:val="20"/>
                <w:color w:val="auto"/>
              </w:rPr>
            </w:pPr>
          </w:p>
        </w:tc>
        <w:tc>
          <w:tcPr>
            <w:tcW w:w="760" w:type="dxa"/>
            <w:vAlign w:val="bottom"/>
            <w:tcBorders>
              <w:bottom w:val="single" w:sz="8" w:color="00539B"/>
            </w:tcBorders>
          </w:tcPr>
          <w:p>
            <w:pPr>
              <w:jc w:val="right"/>
              <w:spacing w:after="0"/>
              <w:rPr>
                <w:sz w:val="20"/>
                <w:szCs w:val="20"/>
                <w:color w:val="auto"/>
              </w:rPr>
            </w:pPr>
            <w:r>
              <w:rPr>
                <w:rFonts w:ascii="Arial" w:cs="Arial" w:eastAsia="Arial" w:hAnsi="Arial"/>
                <w:sz w:val="18"/>
                <w:szCs w:val="18"/>
                <w:color w:val="auto"/>
              </w:rPr>
              <w:t>66.8</w:t>
            </w:r>
          </w:p>
        </w:tc>
        <w:tc>
          <w:tcPr>
            <w:tcW w:w="180" w:type="dxa"/>
            <w:vAlign w:val="bottom"/>
            <w:tcBorders>
              <w:bottom w:val="single" w:sz="8" w:color="00539B"/>
            </w:tcBorders>
          </w:tcPr>
          <w:p>
            <w:pPr>
              <w:spacing w:after="0"/>
              <w:rPr>
                <w:sz w:val="20"/>
                <w:szCs w:val="20"/>
                <w:color w:val="auto"/>
              </w:rPr>
            </w:pPr>
          </w:p>
        </w:tc>
        <w:tc>
          <w:tcPr>
            <w:tcW w:w="800" w:type="dxa"/>
            <w:vAlign w:val="bottom"/>
            <w:tcBorders>
              <w:bottom w:val="single" w:sz="8" w:color="00539B"/>
            </w:tcBorders>
          </w:tcPr>
          <w:p>
            <w:pPr>
              <w:jc w:val="right"/>
              <w:spacing w:after="0"/>
              <w:rPr>
                <w:sz w:val="20"/>
                <w:szCs w:val="20"/>
                <w:color w:val="auto"/>
              </w:rPr>
            </w:pPr>
            <w:r>
              <w:rPr>
                <w:rFonts w:ascii="Arial" w:cs="Arial" w:eastAsia="Arial" w:hAnsi="Arial"/>
                <w:sz w:val="18"/>
                <w:szCs w:val="18"/>
                <w:color w:val="auto"/>
              </w:rPr>
              <w:t>85.1</w:t>
            </w:r>
          </w:p>
        </w:tc>
      </w:tr>
      <w:tr>
        <w:trPr>
          <w:trHeight w:val="223"/>
        </w:trPr>
        <w:tc>
          <w:tcPr>
            <w:tcW w:w="5720" w:type="dxa"/>
            <w:vAlign w:val="bottom"/>
            <w:tcBorders>
              <w:bottom w:val="single" w:sz="8" w:color="00539B"/>
            </w:tcBorders>
          </w:tcPr>
          <w:p>
            <w:pPr>
              <w:ind w:left="20"/>
              <w:spacing w:after="0"/>
              <w:rPr>
                <w:sz w:val="20"/>
                <w:szCs w:val="20"/>
                <w:color w:val="auto"/>
              </w:rPr>
            </w:pPr>
            <w:r>
              <w:rPr>
                <w:rFonts w:ascii="Arial" w:cs="Arial" w:eastAsia="Arial" w:hAnsi="Arial"/>
                <w:sz w:val="18"/>
                <w:szCs w:val="18"/>
                <w:color w:val="auto"/>
              </w:rPr>
              <w:t>Net cash flow provided by operating activities</w:t>
            </w:r>
          </w:p>
        </w:tc>
        <w:tc>
          <w:tcPr>
            <w:tcW w:w="220" w:type="dxa"/>
            <w:vAlign w:val="bottom"/>
            <w:tcBorders>
              <w:bottom w:val="single" w:sz="8" w:color="00539B"/>
            </w:tcBorders>
            <w:shd w:val="clear" w:color="auto" w:fill="E0E3F1"/>
          </w:tcPr>
          <w:p>
            <w:pPr>
              <w:spacing w:after="0"/>
              <w:rPr>
                <w:sz w:val="19"/>
                <w:szCs w:val="19"/>
                <w:color w:val="auto"/>
              </w:rPr>
            </w:pPr>
          </w:p>
        </w:tc>
        <w:tc>
          <w:tcPr>
            <w:tcW w:w="78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8"/>
                <w:szCs w:val="18"/>
                <w:color w:val="auto"/>
              </w:rPr>
              <w:t>962.2</w:t>
            </w:r>
          </w:p>
        </w:tc>
        <w:tc>
          <w:tcPr>
            <w:tcW w:w="220" w:type="dxa"/>
            <w:vAlign w:val="bottom"/>
            <w:tcBorders>
              <w:bottom w:val="single" w:sz="8" w:color="00539B"/>
            </w:tcBorders>
          </w:tcPr>
          <w:p>
            <w:pPr>
              <w:spacing w:after="0"/>
              <w:rPr>
                <w:sz w:val="19"/>
                <w:szCs w:val="19"/>
                <w:color w:val="auto"/>
              </w:rPr>
            </w:pPr>
          </w:p>
        </w:tc>
        <w:tc>
          <w:tcPr>
            <w:tcW w:w="760" w:type="dxa"/>
            <w:vAlign w:val="bottom"/>
            <w:tcBorders>
              <w:bottom w:val="single" w:sz="8" w:color="00539B"/>
            </w:tcBorders>
          </w:tcPr>
          <w:p>
            <w:pPr>
              <w:jc w:val="right"/>
              <w:spacing w:after="0"/>
              <w:rPr>
                <w:sz w:val="20"/>
                <w:szCs w:val="20"/>
                <w:color w:val="auto"/>
              </w:rPr>
            </w:pPr>
            <w:r>
              <w:rPr>
                <w:rFonts w:ascii="Arial" w:cs="Arial" w:eastAsia="Arial" w:hAnsi="Arial"/>
                <w:sz w:val="18"/>
                <w:szCs w:val="18"/>
                <w:color w:val="auto"/>
              </w:rPr>
              <w:t>921.9</w:t>
            </w:r>
          </w:p>
        </w:tc>
        <w:tc>
          <w:tcPr>
            <w:tcW w:w="180" w:type="dxa"/>
            <w:vAlign w:val="bottom"/>
            <w:tcBorders>
              <w:bottom w:val="single" w:sz="8" w:color="00539B"/>
            </w:tcBorders>
          </w:tcPr>
          <w:p>
            <w:pPr>
              <w:spacing w:after="0"/>
              <w:rPr>
                <w:sz w:val="19"/>
                <w:szCs w:val="19"/>
                <w:color w:val="auto"/>
              </w:rPr>
            </w:pPr>
          </w:p>
        </w:tc>
        <w:tc>
          <w:tcPr>
            <w:tcW w:w="800" w:type="dxa"/>
            <w:vAlign w:val="bottom"/>
            <w:tcBorders>
              <w:bottom w:val="single" w:sz="8" w:color="00539B"/>
            </w:tcBorders>
          </w:tcPr>
          <w:p>
            <w:pPr>
              <w:jc w:val="right"/>
              <w:spacing w:after="0"/>
              <w:rPr>
                <w:sz w:val="20"/>
                <w:szCs w:val="20"/>
                <w:color w:val="auto"/>
              </w:rPr>
            </w:pPr>
            <w:r>
              <w:rPr>
                <w:rFonts w:ascii="Arial" w:cs="Arial" w:eastAsia="Arial" w:hAnsi="Arial"/>
                <w:sz w:val="18"/>
                <w:szCs w:val="18"/>
                <w:color w:val="auto"/>
              </w:rPr>
              <w:t>1,237.3</w:t>
            </w:r>
          </w:p>
        </w:tc>
      </w:tr>
      <w:tr>
        <w:trPr>
          <w:trHeight w:val="223"/>
        </w:trPr>
        <w:tc>
          <w:tcPr>
            <w:tcW w:w="5720" w:type="dxa"/>
            <w:vAlign w:val="bottom"/>
          </w:tcPr>
          <w:p>
            <w:pPr>
              <w:ind w:left="20"/>
              <w:spacing w:after="0"/>
              <w:rPr>
                <w:sz w:val="20"/>
                <w:szCs w:val="20"/>
                <w:color w:val="auto"/>
              </w:rPr>
            </w:pPr>
            <w:r>
              <w:rPr>
                <w:rFonts w:ascii="Arial" w:cs="Arial" w:eastAsia="Arial" w:hAnsi="Arial"/>
                <w:sz w:val="18"/>
                <w:szCs w:val="18"/>
                <w:b w:val="1"/>
                <w:bCs w:val="1"/>
                <w:color w:val="00539B"/>
              </w:rPr>
              <w:t>Investing activities</w:t>
            </w:r>
          </w:p>
        </w:tc>
        <w:tc>
          <w:tcPr>
            <w:tcW w:w="220" w:type="dxa"/>
            <w:vAlign w:val="bottom"/>
            <w:shd w:val="clear" w:color="auto" w:fill="E0E3F1"/>
          </w:tcPr>
          <w:p>
            <w:pPr>
              <w:spacing w:after="0"/>
              <w:rPr>
                <w:sz w:val="19"/>
                <w:szCs w:val="19"/>
                <w:color w:val="auto"/>
              </w:rPr>
            </w:pPr>
          </w:p>
        </w:tc>
        <w:tc>
          <w:tcPr>
            <w:tcW w:w="780" w:type="dxa"/>
            <w:vAlign w:val="bottom"/>
            <w:shd w:val="clear" w:color="auto" w:fill="E0E3F1"/>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5720" w:type="dxa"/>
            <w:vAlign w:val="bottom"/>
          </w:tcPr>
          <w:p>
            <w:pPr>
              <w:ind w:left="140"/>
              <w:spacing w:after="0"/>
              <w:rPr>
                <w:sz w:val="20"/>
                <w:szCs w:val="20"/>
                <w:color w:val="auto"/>
              </w:rPr>
            </w:pPr>
            <w:r>
              <w:rPr>
                <w:rFonts w:ascii="Arial" w:cs="Arial" w:eastAsia="Arial" w:hAnsi="Arial"/>
                <w:sz w:val="18"/>
                <w:szCs w:val="18"/>
                <w:color w:val="auto"/>
              </w:rPr>
              <w:t>Acquisition of business</w:t>
            </w:r>
          </w:p>
        </w:tc>
        <w:tc>
          <w:tcPr>
            <w:tcW w:w="220" w:type="dxa"/>
            <w:vAlign w:val="bottom"/>
            <w:shd w:val="clear" w:color="auto" w:fill="E0E3F1"/>
          </w:tcPr>
          <w:p>
            <w:pPr>
              <w:spacing w:after="0"/>
              <w:rPr>
                <w:sz w:val="19"/>
                <w:szCs w:val="19"/>
                <w:color w:val="auto"/>
              </w:rPr>
            </w:pPr>
          </w:p>
        </w:tc>
        <w:tc>
          <w:tcPr>
            <w:tcW w:w="780" w:type="dxa"/>
            <w:vAlign w:val="bottom"/>
            <w:shd w:val="clear" w:color="auto" w:fill="E0E3F1"/>
          </w:tcPr>
          <w:p>
            <w:pPr>
              <w:jc w:val="right"/>
              <w:spacing w:after="0"/>
              <w:rPr>
                <w:sz w:val="20"/>
                <w:szCs w:val="20"/>
                <w:color w:val="auto"/>
              </w:rPr>
            </w:pPr>
            <w:r>
              <w:rPr>
                <w:rFonts w:ascii="Arial" w:cs="Arial" w:eastAsia="Arial" w:hAnsi="Arial"/>
                <w:sz w:val="18"/>
                <w:szCs w:val="18"/>
                <w:color w:val="auto"/>
              </w:rPr>
              <w:t>(34.1)</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5720" w:type="dxa"/>
            <w:vAlign w:val="bottom"/>
          </w:tcPr>
          <w:p>
            <w:pPr>
              <w:ind w:left="140"/>
              <w:spacing w:after="0"/>
              <w:rPr>
                <w:sz w:val="20"/>
                <w:szCs w:val="20"/>
                <w:color w:val="auto"/>
              </w:rPr>
            </w:pPr>
            <w:r>
              <w:rPr>
                <w:rFonts w:ascii="Arial" w:cs="Arial" w:eastAsia="Arial" w:hAnsi="Arial"/>
                <w:sz w:val="18"/>
                <w:szCs w:val="18"/>
                <w:color w:val="auto"/>
              </w:rPr>
              <w:t>Proceeds from sale of business</w:t>
            </w:r>
          </w:p>
        </w:tc>
        <w:tc>
          <w:tcPr>
            <w:tcW w:w="220" w:type="dxa"/>
            <w:vAlign w:val="bottom"/>
            <w:shd w:val="clear" w:color="auto" w:fill="E0E3F1"/>
          </w:tcPr>
          <w:p>
            <w:pPr>
              <w:spacing w:after="0"/>
              <w:rPr>
                <w:sz w:val="19"/>
                <w:szCs w:val="19"/>
                <w:color w:val="auto"/>
              </w:rPr>
            </w:pPr>
          </w:p>
        </w:tc>
        <w:tc>
          <w:tcPr>
            <w:tcW w:w="780" w:type="dxa"/>
            <w:vAlign w:val="bottom"/>
            <w:shd w:val="clear" w:color="auto" w:fill="E0E3F1"/>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5720" w:type="dxa"/>
            <w:vAlign w:val="bottom"/>
          </w:tcPr>
          <w:p>
            <w:pPr>
              <w:ind w:left="140"/>
              <w:spacing w:after="0"/>
              <w:rPr>
                <w:sz w:val="20"/>
                <w:szCs w:val="20"/>
                <w:color w:val="auto"/>
              </w:rPr>
            </w:pPr>
            <w:r>
              <w:rPr>
                <w:rFonts w:ascii="Arial" w:cs="Arial" w:eastAsia="Arial" w:hAnsi="Arial"/>
                <w:sz w:val="18"/>
                <w:szCs w:val="18"/>
                <w:color w:val="auto"/>
              </w:rPr>
              <w:t>Capital expenditures (including software)</w:t>
            </w:r>
          </w:p>
        </w:tc>
        <w:tc>
          <w:tcPr>
            <w:tcW w:w="220" w:type="dxa"/>
            <w:vAlign w:val="bottom"/>
            <w:shd w:val="clear" w:color="auto" w:fill="E0E3F1"/>
          </w:tcPr>
          <w:p>
            <w:pPr>
              <w:spacing w:after="0"/>
              <w:rPr>
                <w:sz w:val="19"/>
                <w:szCs w:val="19"/>
                <w:color w:val="auto"/>
              </w:rPr>
            </w:pPr>
          </w:p>
        </w:tc>
        <w:tc>
          <w:tcPr>
            <w:tcW w:w="780" w:type="dxa"/>
            <w:vAlign w:val="bottom"/>
            <w:shd w:val="clear" w:color="auto" w:fill="E0E3F1"/>
          </w:tcPr>
          <w:p>
            <w:pPr>
              <w:jc w:val="right"/>
              <w:spacing w:after="0"/>
              <w:rPr>
                <w:sz w:val="20"/>
                <w:szCs w:val="20"/>
                <w:color w:val="auto"/>
              </w:rPr>
            </w:pPr>
            <w:r>
              <w:rPr>
                <w:rFonts w:ascii="Arial" w:cs="Arial" w:eastAsia="Arial" w:hAnsi="Arial"/>
                <w:sz w:val="18"/>
                <w:szCs w:val="18"/>
                <w:color w:val="auto"/>
              </w:rPr>
              <w:t>(221.8)</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(274.9)</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(263.9)</w:t>
            </w:r>
          </w:p>
        </w:tc>
      </w:tr>
      <w:tr>
        <w:trPr>
          <w:trHeight w:val="235"/>
        </w:trPr>
        <w:tc>
          <w:tcPr>
            <w:tcW w:w="5720" w:type="dxa"/>
            <w:vAlign w:val="bottom"/>
            <w:tcBorders>
              <w:bottom w:val="single" w:sz="8" w:color="00539B"/>
            </w:tcBorders>
          </w:tcPr>
          <w:p>
            <w:pPr>
              <w:ind w:left="140"/>
              <w:spacing w:after="0"/>
              <w:rPr>
                <w:sz w:val="20"/>
                <w:szCs w:val="20"/>
                <w:color w:val="auto"/>
              </w:rPr>
            </w:pPr>
            <w:r>
              <w:rPr>
                <w:rFonts w:ascii="Arial" w:cs="Arial" w:eastAsia="Arial" w:hAnsi="Arial"/>
                <w:sz w:val="18"/>
                <w:szCs w:val="18"/>
                <w:color w:val="auto"/>
              </w:rPr>
              <w:t>Other investing activities</w:t>
            </w:r>
          </w:p>
        </w:tc>
        <w:tc>
          <w:tcPr>
            <w:tcW w:w="220" w:type="dxa"/>
            <w:vAlign w:val="bottom"/>
            <w:tcBorders>
              <w:bottom w:val="single" w:sz="8" w:color="00539B"/>
            </w:tcBorders>
            <w:shd w:val="clear" w:color="auto" w:fill="E0E3F1"/>
          </w:tcPr>
          <w:p>
            <w:pPr>
              <w:spacing w:after="0"/>
              <w:rPr>
                <w:sz w:val="20"/>
                <w:szCs w:val="20"/>
                <w:color w:val="auto"/>
              </w:rPr>
            </w:pPr>
          </w:p>
        </w:tc>
        <w:tc>
          <w:tcPr>
            <w:tcW w:w="78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8"/>
                <w:szCs w:val="18"/>
                <w:color w:val="auto"/>
              </w:rPr>
              <w:t>0.7</w:t>
            </w:r>
          </w:p>
        </w:tc>
        <w:tc>
          <w:tcPr>
            <w:tcW w:w="220" w:type="dxa"/>
            <w:vAlign w:val="bottom"/>
            <w:tcBorders>
              <w:bottom w:val="single" w:sz="8" w:color="00539B"/>
            </w:tcBorders>
          </w:tcPr>
          <w:p>
            <w:pPr>
              <w:spacing w:after="0"/>
              <w:rPr>
                <w:sz w:val="20"/>
                <w:szCs w:val="20"/>
                <w:color w:val="auto"/>
              </w:rPr>
            </w:pPr>
          </w:p>
        </w:tc>
        <w:tc>
          <w:tcPr>
            <w:tcW w:w="760" w:type="dxa"/>
            <w:vAlign w:val="bottom"/>
            <w:tcBorders>
              <w:bottom w:val="single" w:sz="8" w:color="00539B"/>
            </w:tcBorders>
          </w:tcPr>
          <w:p>
            <w:pPr>
              <w:jc w:val="right"/>
              <w:spacing w:after="0"/>
              <w:rPr>
                <w:sz w:val="20"/>
                <w:szCs w:val="20"/>
                <w:color w:val="auto"/>
              </w:rPr>
            </w:pPr>
            <w:r>
              <w:rPr>
                <w:rFonts w:ascii="Arial" w:cs="Arial" w:eastAsia="Arial" w:hAnsi="Arial"/>
                <w:sz w:val="18"/>
                <w:szCs w:val="18"/>
                <w:color w:val="auto"/>
              </w:rPr>
              <w:t>5.9</w:t>
            </w:r>
          </w:p>
        </w:tc>
        <w:tc>
          <w:tcPr>
            <w:tcW w:w="180" w:type="dxa"/>
            <w:vAlign w:val="bottom"/>
            <w:tcBorders>
              <w:bottom w:val="single" w:sz="8" w:color="00539B"/>
            </w:tcBorders>
          </w:tcPr>
          <w:p>
            <w:pPr>
              <w:spacing w:after="0"/>
              <w:rPr>
                <w:sz w:val="20"/>
                <w:szCs w:val="20"/>
                <w:color w:val="auto"/>
              </w:rPr>
            </w:pPr>
          </w:p>
        </w:tc>
        <w:tc>
          <w:tcPr>
            <w:tcW w:w="800" w:type="dxa"/>
            <w:vAlign w:val="bottom"/>
            <w:tcBorders>
              <w:bottom w:val="single" w:sz="8" w:color="00539B"/>
            </w:tcBorders>
          </w:tcPr>
          <w:p>
            <w:pPr>
              <w:jc w:val="right"/>
              <w:spacing w:after="0"/>
              <w:rPr>
                <w:sz w:val="20"/>
                <w:szCs w:val="20"/>
                <w:color w:val="auto"/>
              </w:rPr>
            </w:pPr>
            <w:r>
              <w:rPr>
                <w:rFonts w:ascii="Arial" w:cs="Arial" w:eastAsia="Arial" w:hAnsi="Arial"/>
                <w:sz w:val="18"/>
                <w:szCs w:val="18"/>
                <w:color w:val="auto"/>
              </w:rPr>
              <w:t>2.4</w:t>
            </w:r>
          </w:p>
        </w:tc>
      </w:tr>
      <w:tr>
        <w:trPr>
          <w:trHeight w:val="223"/>
        </w:trPr>
        <w:tc>
          <w:tcPr>
            <w:tcW w:w="5720" w:type="dxa"/>
            <w:vAlign w:val="bottom"/>
            <w:tcBorders>
              <w:bottom w:val="single" w:sz="8" w:color="00539B"/>
            </w:tcBorders>
          </w:tcPr>
          <w:p>
            <w:pPr>
              <w:ind w:left="20"/>
              <w:spacing w:after="0"/>
              <w:rPr>
                <w:sz w:val="20"/>
                <w:szCs w:val="20"/>
                <w:color w:val="auto"/>
              </w:rPr>
            </w:pPr>
            <w:r>
              <w:rPr>
                <w:rFonts w:ascii="Arial" w:cs="Arial" w:eastAsia="Arial" w:hAnsi="Arial"/>
                <w:sz w:val="18"/>
                <w:szCs w:val="18"/>
                <w:color w:val="auto"/>
              </w:rPr>
              <w:t>Net cash flow used in investing activities</w:t>
            </w:r>
          </w:p>
        </w:tc>
        <w:tc>
          <w:tcPr>
            <w:tcW w:w="220" w:type="dxa"/>
            <w:vAlign w:val="bottom"/>
            <w:tcBorders>
              <w:bottom w:val="single" w:sz="8" w:color="00539B"/>
            </w:tcBorders>
            <w:shd w:val="clear" w:color="auto" w:fill="E0E3F1"/>
          </w:tcPr>
          <w:p>
            <w:pPr>
              <w:spacing w:after="0"/>
              <w:rPr>
                <w:sz w:val="19"/>
                <w:szCs w:val="19"/>
                <w:color w:val="auto"/>
              </w:rPr>
            </w:pPr>
          </w:p>
        </w:tc>
        <w:tc>
          <w:tcPr>
            <w:tcW w:w="78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8"/>
                <w:szCs w:val="18"/>
                <w:color w:val="auto"/>
              </w:rPr>
              <w:t>(255.2)</w:t>
            </w:r>
          </w:p>
        </w:tc>
        <w:tc>
          <w:tcPr>
            <w:tcW w:w="220" w:type="dxa"/>
            <w:vAlign w:val="bottom"/>
            <w:tcBorders>
              <w:bottom w:val="single" w:sz="8" w:color="00539B"/>
            </w:tcBorders>
          </w:tcPr>
          <w:p>
            <w:pPr>
              <w:spacing w:after="0"/>
              <w:rPr>
                <w:sz w:val="19"/>
                <w:szCs w:val="19"/>
                <w:color w:val="auto"/>
              </w:rPr>
            </w:pPr>
          </w:p>
        </w:tc>
        <w:tc>
          <w:tcPr>
            <w:tcW w:w="760" w:type="dxa"/>
            <w:vAlign w:val="bottom"/>
            <w:tcBorders>
              <w:bottom w:val="single" w:sz="8" w:color="00539B"/>
            </w:tcBorders>
          </w:tcPr>
          <w:p>
            <w:pPr>
              <w:jc w:val="right"/>
              <w:spacing w:after="0"/>
              <w:rPr>
                <w:sz w:val="20"/>
                <w:szCs w:val="20"/>
                <w:color w:val="auto"/>
              </w:rPr>
            </w:pPr>
            <w:r>
              <w:rPr>
                <w:rFonts w:ascii="Arial" w:cs="Arial" w:eastAsia="Arial" w:hAnsi="Arial"/>
                <w:sz w:val="18"/>
                <w:szCs w:val="18"/>
                <w:color w:val="auto"/>
              </w:rPr>
              <w:t>(269.0)</w:t>
            </w:r>
          </w:p>
        </w:tc>
        <w:tc>
          <w:tcPr>
            <w:tcW w:w="180" w:type="dxa"/>
            <w:vAlign w:val="bottom"/>
            <w:tcBorders>
              <w:bottom w:val="single" w:sz="8" w:color="00539B"/>
            </w:tcBorders>
          </w:tcPr>
          <w:p>
            <w:pPr>
              <w:spacing w:after="0"/>
              <w:rPr>
                <w:sz w:val="19"/>
                <w:szCs w:val="19"/>
                <w:color w:val="auto"/>
              </w:rPr>
            </w:pPr>
          </w:p>
        </w:tc>
        <w:tc>
          <w:tcPr>
            <w:tcW w:w="800" w:type="dxa"/>
            <w:vAlign w:val="bottom"/>
            <w:tcBorders>
              <w:bottom w:val="single" w:sz="8" w:color="00539B"/>
            </w:tcBorders>
          </w:tcPr>
          <w:p>
            <w:pPr>
              <w:jc w:val="right"/>
              <w:spacing w:after="0"/>
              <w:rPr>
                <w:sz w:val="20"/>
                <w:szCs w:val="20"/>
                <w:color w:val="auto"/>
              </w:rPr>
            </w:pPr>
            <w:r>
              <w:rPr>
                <w:rFonts w:ascii="Arial" w:cs="Arial" w:eastAsia="Arial" w:hAnsi="Arial"/>
                <w:sz w:val="18"/>
                <w:szCs w:val="18"/>
                <w:color w:val="auto"/>
              </w:rPr>
              <w:t>(260.5)</w:t>
            </w:r>
          </w:p>
        </w:tc>
      </w:tr>
      <w:tr>
        <w:trPr>
          <w:trHeight w:val="223"/>
        </w:trPr>
        <w:tc>
          <w:tcPr>
            <w:tcW w:w="5720" w:type="dxa"/>
            <w:vAlign w:val="bottom"/>
          </w:tcPr>
          <w:p>
            <w:pPr>
              <w:ind w:left="20"/>
              <w:spacing w:after="0"/>
              <w:rPr>
                <w:sz w:val="20"/>
                <w:szCs w:val="20"/>
                <w:color w:val="auto"/>
              </w:rPr>
            </w:pPr>
            <w:r>
              <w:rPr>
                <w:rFonts w:ascii="Arial" w:cs="Arial" w:eastAsia="Arial" w:hAnsi="Arial"/>
                <w:sz w:val="18"/>
                <w:szCs w:val="18"/>
                <w:b w:val="1"/>
                <w:bCs w:val="1"/>
                <w:color w:val="00539B"/>
              </w:rPr>
              <w:t>Financing activities</w:t>
            </w:r>
          </w:p>
        </w:tc>
        <w:tc>
          <w:tcPr>
            <w:tcW w:w="220" w:type="dxa"/>
            <w:vAlign w:val="bottom"/>
            <w:shd w:val="clear" w:color="auto" w:fill="E0E3F1"/>
          </w:tcPr>
          <w:p>
            <w:pPr>
              <w:spacing w:after="0"/>
              <w:rPr>
                <w:sz w:val="19"/>
                <w:szCs w:val="19"/>
                <w:color w:val="auto"/>
              </w:rPr>
            </w:pPr>
          </w:p>
        </w:tc>
        <w:tc>
          <w:tcPr>
            <w:tcW w:w="780" w:type="dxa"/>
            <w:vAlign w:val="bottom"/>
            <w:shd w:val="clear" w:color="auto" w:fill="E0E3F1"/>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5720" w:type="dxa"/>
            <w:vAlign w:val="bottom"/>
          </w:tcPr>
          <w:p>
            <w:pPr>
              <w:ind w:left="140"/>
              <w:spacing w:after="0"/>
              <w:rPr>
                <w:sz w:val="20"/>
                <w:szCs w:val="20"/>
                <w:color w:val="auto"/>
              </w:rPr>
            </w:pPr>
            <w:r>
              <w:rPr>
                <w:rFonts w:ascii="Arial" w:cs="Arial" w:eastAsia="Arial" w:hAnsi="Arial"/>
                <w:sz w:val="18"/>
                <w:szCs w:val="18"/>
                <w:color w:val="auto"/>
              </w:rPr>
              <w:t>Short-term borrowings (repayments), net</w:t>
            </w:r>
          </w:p>
        </w:tc>
        <w:tc>
          <w:tcPr>
            <w:tcW w:w="220" w:type="dxa"/>
            <w:vAlign w:val="bottom"/>
            <w:shd w:val="clear" w:color="auto" w:fill="E0E3F1"/>
          </w:tcPr>
          <w:p>
            <w:pPr>
              <w:spacing w:after="0"/>
              <w:rPr>
                <w:sz w:val="19"/>
                <w:szCs w:val="19"/>
                <w:color w:val="auto"/>
              </w:rPr>
            </w:pPr>
          </w:p>
        </w:tc>
        <w:tc>
          <w:tcPr>
            <w:tcW w:w="780" w:type="dxa"/>
            <w:vAlign w:val="bottom"/>
            <w:shd w:val="clear" w:color="auto" w:fill="E0E3F1"/>
          </w:tcPr>
          <w:p>
            <w:pPr>
              <w:jc w:val="right"/>
              <w:spacing w:after="0"/>
              <w:rPr>
                <w:sz w:val="20"/>
                <w:szCs w:val="20"/>
                <w:color w:val="auto"/>
              </w:rPr>
            </w:pPr>
            <w:r>
              <w:rPr>
                <w:rFonts w:ascii="Arial" w:cs="Arial" w:eastAsia="Arial" w:hAnsi="Arial"/>
                <w:sz w:val="18"/>
                <w:szCs w:val="18"/>
                <w:color w:val="auto"/>
              </w:rPr>
              <w:t>(101.4)</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211.1</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(964.6)</w:t>
            </w:r>
          </w:p>
        </w:tc>
      </w:tr>
      <w:tr>
        <w:trPr>
          <w:trHeight w:val="224"/>
        </w:trPr>
        <w:tc>
          <w:tcPr>
            <w:tcW w:w="5720" w:type="dxa"/>
            <w:vAlign w:val="bottom"/>
          </w:tcPr>
          <w:p>
            <w:pPr>
              <w:ind w:left="140"/>
              <w:spacing w:after="0"/>
              <w:rPr>
                <w:sz w:val="20"/>
                <w:szCs w:val="20"/>
                <w:color w:val="auto"/>
              </w:rPr>
            </w:pPr>
            <w:r>
              <w:rPr>
                <w:rFonts w:ascii="Arial" w:cs="Arial" w:eastAsia="Arial" w:hAnsi="Arial"/>
                <w:sz w:val="18"/>
                <w:szCs w:val="18"/>
                <w:color w:val="auto"/>
              </w:rPr>
              <w:t>Long-term debt borrowings</w:t>
            </w:r>
          </w:p>
        </w:tc>
        <w:tc>
          <w:tcPr>
            <w:tcW w:w="220" w:type="dxa"/>
            <w:vAlign w:val="bottom"/>
            <w:shd w:val="clear" w:color="auto" w:fill="E0E3F1"/>
          </w:tcPr>
          <w:p>
            <w:pPr>
              <w:spacing w:after="0"/>
              <w:rPr>
                <w:sz w:val="19"/>
                <w:szCs w:val="19"/>
                <w:color w:val="auto"/>
              </w:rPr>
            </w:pPr>
          </w:p>
        </w:tc>
        <w:tc>
          <w:tcPr>
            <w:tcW w:w="780" w:type="dxa"/>
            <w:vAlign w:val="bottom"/>
            <w:shd w:val="clear" w:color="auto" w:fill="E0E3F1"/>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495.5</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496.4</w:t>
            </w:r>
          </w:p>
        </w:tc>
      </w:tr>
      <w:tr>
        <w:trPr>
          <w:trHeight w:val="230"/>
        </w:trPr>
        <w:tc>
          <w:tcPr>
            <w:tcW w:w="5720" w:type="dxa"/>
            <w:vAlign w:val="bottom"/>
          </w:tcPr>
          <w:p>
            <w:pPr>
              <w:ind w:left="140"/>
              <w:spacing w:after="0"/>
              <w:rPr>
                <w:sz w:val="20"/>
                <w:szCs w:val="20"/>
                <w:color w:val="auto"/>
              </w:rPr>
            </w:pPr>
            <w:r>
              <w:rPr>
                <w:rFonts w:ascii="Arial" w:cs="Arial" w:eastAsia="Arial" w:hAnsi="Arial"/>
                <w:sz w:val="18"/>
                <w:szCs w:val="18"/>
                <w:color w:val="auto"/>
              </w:rPr>
              <w:t>Payment of debt issuance costs</w:t>
            </w:r>
          </w:p>
        </w:tc>
        <w:tc>
          <w:tcPr>
            <w:tcW w:w="220" w:type="dxa"/>
            <w:vAlign w:val="bottom"/>
            <w:shd w:val="clear" w:color="auto" w:fill="E0E3F1"/>
          </w:tcPr>
          <w:p>
            <w:pPr>
              <w:spacing w:after="0"/>
              <w:rPr>
                <w:sz w:val="19"/>
                <w:szCs w:val="19"/>
                <w:color w:val="auto"/>
              </w:rPr>
            </w:pPr>
          </w:p>
        </w:tc>
        <w:tc>
          <w:tcPr>
            <w:tcW w:w="780" w:type="dxa"/>
            <w:vAlign w:val="bottom"/>
            <w:shd w:val="clear" w:color="auto" w:fill="E0E3F1"/>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5720" w:type="dxa"/>
            <w:vAlign w:val="bottom"/>
          </w:tcPr>
          <w:p>
            <w:pPr>
              <w:ind w:left="140"/>
              <w:spacing w:after="0"/>
              <w:rPr>
                <w:sz w:val="20"/>
                <w:szCs w:val="20"/>
                <w:color w:val="auto"/>
              </w:rPr>
            </w:pPr>
            <w:r>
              <w:rPr>
                <w:rFonts w:ascii="Arial" w:cs="Arial" w:eastAsia="Arial" w:hAnsi="Arial"/>
                <w:sz w:val="18"/>
                <w:szCs w:val="18"/>
                <w:color w:val="auto"/>
              </w:rPr>
              <w:t>Long-term debt repayments</w:t>
            </w:r>
          </w:p>
        </w:tc>
        <w:tc>
          <w:tcPr>
            <w:tcW w:w="220" w:type="dxa"/>
            <w:vAlign w:val="bottom"/>
            <w:shd w:val="clear" w:color="auto" w:fill="E0E3F1"/>
          </w:tcPr>
          <w:p>
            <w:pPr>
              <w:spacing w:after="0"/>
              <w:rPr>
                <w:sz w:val="19"/>
                <w:szCs w:val="19"/>
                <w:color w:val="auto"/>
              </w:rPr>
            </w:pPr>
          </w:p>
        </w:tc>
        <w:tc>
          <w:tcPr>
            <w:tcW w:w="780" w:type="dxa"/>
            <w:vAlign w:val="bottom"/>
            <w:shd w:val="clear" w:color="auto" w:fill="E0E3F1"/>
          </w:tcPr>
          <w:p>
            <w:pPr>
              <w:jc w:val="right"/>
              <w:spacing w:after="0"/>
              <w:rPr>
                <w:sz w:val="20"/>
                <w:szCs w:val="20"/>
                <w:color w:val="auto"/>
              </w:rPr>
            </w:pPr>
            <w:r>
              <w:rPr>
                <w:rFonts w:ascii="Arial" w:cs="Arial" w:eastAsia="Arial" w:hAnsi="Arial"/>
                <w:sz w:val="18"/>
                <w:szCs w:val="18"/>
                <w:color w:val="auto"/>
              </w:rPr>
              <w:t>(267.9)</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(801.1)</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(268.1)</w:t>
            </w:r>
          </w:p>
        </w:tc>
      </w:tr>
      <w:tr>
        <w:trPr>
          <w:trHeight w:val="229"/>
        </w:trPr>
        <w:tc>
          <w:tcPr>
            <w:tcW w:w="5720" w:type="dxa"/>
            <w:vAlign w:val="bottom"/>
          </w:tcPr>
          <w:p>
            <w:pPr>
              <w:ind w:left="140"/>
              <w:spacing w:after="0"/>
              <w:rPr>
                <w:sz w:val="20"/>
                <w:szCs w:val="20"/>
                <w:color w:val="auto"/>
              </w:rPr>
            </w:pPr>
            <w:r>
              <w:rPr>
                <w:rFonts w:ascii="Arial" w:cs="Arial" w:eastAsia="Arial" w:hAnsi="Arial"/>
                <w:sz w:val="18"/>
                <w:szCs w:val="18"/>
                <w:color w:val="auto"/>
              </w:rPr>
              <w:t>Proceeds from exercised stock options</w:t>
            </w:r>
          </w:p>
        </w:tc>
        <w:tc>
          <w:tcPr>
            <w:tcW w:w="220" w:type="dxa"/>
            <w:vAlign w:val="bottom"/>
            <w:shd w:val="clear" w:color="auto" w:fill="E0E3F1"/>
          </w:tcPr>
          <w:p>
            <w:pPr>
              <w:spacing w:after="0"/>
              <w:rPr>
                <w:sz w:val="19"/>
                <w:szCs w:val="19"/>
                <w:color w:val="auto"/>
              </w:rPr>
            </w:pPr>
          </w:p>
        </w:tc>
        <w:tc>
          <w:tcPr>
            <w:tcW w:w="780" w:type="dxa"/>
            <w:vAlign w:val="bottom"/>
            <w:shd w:val="clear" w:color="auto" w:fill="E0E3F1"/>
          </w:tcPr>
          <w:p>
            <w:pPr>
              <w:jc w:val="right"/>
              <w:spacing w:after="0"/>
              <w:rPr>
                <w:sz w:val="20"/>
                <w:szCs w:val="20"/>
                <w:color w:val="auto"/>
              </w:rPr>
            </w:pPr>
            <w:r>
              <w:rPr>
                <w:rFonts w:ascii="Arial" w:cs="Arial" w:eastAsia="Arial" w:hAnsi="Arial"/>
                <w:sz w:val="18"/>
                <w:szCs w:val="18"/>
                <w:color w:val="auto"/>
              </w:rPr>
              <w:t>20.9</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17.5</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30"/>
        </w:trPr>
        <w:tc>
          <w:tcPr>
            <w:tcW w:w="5720" w:type="dxa"/>
            <w:vAlign w:val="bottom"/>
          </w:tcPr>
          <w:p>
            <w:pPr>
              <w:ind w:left="140"/>
              <w:spacing w:after="0"/>
              <w:rPr>
                <w:sz w:val="20"/>
                <w:szCs w:val="20"/>
                <w:color w:val="auto"/>
              </w:rPr>
            </w:pPr>
            <w:r>
              <w:rPr>
                <w:rFonts w:ascii="Arial" w:cs="Arial" w:eastAsia="Arial" w:hAnsi="Arial"/>
                <w:sz w:val="18"/>
                <w:szCs w:val="18"/>
                <w:color w:val="auto"/>
              </w:rPr>
              <w:t>Taxes withheld and paid on employee stock awards</w:t>
            </w:r>
          </w:p>
        </w:tc>
        <w:tc>
          <w:tcPr>
            <w:tcW w:w="220" w:type="dxa"/>
            <w:vAlign w:val="bottom"/>
            <w:shd w:val="clear" w:color="auto" w:fill="E0E3F1"/>
          </w:tcPr>
          <w:p>
            <w:pPr>
              <w:spacing w:after="0"/>
              <w:rPr>
                <w:sz w:val="19"/>
                <w:szCs w:val="19"/>
                <w:color w:val="auto"/>
              </w:rPr>
            </w:pPr>
          </w:p>
        </w:tc>
        <w:tc>
          <w:tcPr>
            <w:tcW w:w="780" w:type="dxa"/>
            <w:vAlign w:val="bottom"/>
            <w:shd w:val="clear" w:color="auto" w:fill="E0E3F1"/>
          </w:tcPr>
          <w:p>
            <w:pPr>
              <w:jc w:val="right"/>
              <w:spacing w:after="0"/>
              <w:rPr>
                <w:sz w:val="20"/>
                <w:szCs w:val="20"/>
                <w:color w:val="auto"/>
              </w:rPr>
            </w:pPr>
            <w:r>
              <w:rPr>
                <w:rFonts w:ascii="Arial" w:cs="Arial" w:eastAsia="Arial" w:hAnsi="Arial"/>
                <w:sz w:val="18"/>
                <w:szCs w:val="18"/>
                <w:color w:val="auto"/>
              </w:rPr>
              <w:t>(13.2)</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30"/>
        </w:trPr>
        <w:tc>
          <w:tcPr>
            <w:tcW w:w="5720" w:type="dxa"/>
            <w:vAlign w:val="bottom"/>
          </w:tcPr>
          <w:p>
            <w:pPr>
              <w:ind w:left="140"/>
              <w:spacing w:after="0"/>
              <w:rPr>
                <w:sz w:val="20"/>
                <w:szCs w:val="20"/>
                <w:color w:val="auto"/>
              </w:rPr>
            </w:pPr>
            <w:r>
              <w:rPr>
                <w:rFonts w:ascii="Arial" w:cs="Arial" w:eastAsia="Arial" w:hAnsi="Arial"/>
                <w:sz w:val="18"/>
                <w:szCs w:val="18"/>
                <w:color w:val="auto"/>
              </w:rPr>
              <w:t>Common stock acquired by purchase</w:t>
            </w:r>
          </w:p>
        </w:tc>
        <w:tc>
          <w:tcPr>
            <w:tcW w:w="220" w:type="dxa"/>
            <w:vAlign w:val="bottom"/>
            <w:shd w:val="clear" w:color="auto" w:fill="E0E3F1"/>
          </w:tcPr>
          <w:p>
            <w:pPr>
              <w:spacing w:after="0"/>
              <w:rPr>
                <w:sz w:val="19"/>
                <w:szCs w:val="19"/>
                <w:color w:val="auto"/>
              </w:rPr>
            </w:pPr>
          </w:p>
        </w:tc>
        <w:tc>
          <w:tcPr>
            <w:tcW w:w="780" w:type="dxa"/>
            <w:vAlign w:val="bottom"/>
            <w:shd w:val="clear" w:color="auto" w:fill="E0E3F1"/>
          </w:tcPr>
          <w:p>
            <w:pPr>
              <w:jc w:val="right"/>
              <w:spacing w:after="0"/>
              <w:rPr>
                <w:sz w:val="20"/>
                <w:szCs w:val="20"/>
                <w:color w:val="auto"/>
              </w:rPr>
            </w:pPr>
            <w:r>
              <w:rPr>
                <w:rFonts w:ascii="Arial" w:cs="Arial" w:eastAsia="Arial" w:hAnsi="Arial"/>
                <w:sz w:val="18"/>
                <w:szCs w:val="18"/>
                <w:color w:val="auto"/>
              </w:rPr>
              <w:t>(34.8)</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(53.1)</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(35.7)</w:t>
            </w:r>
          </w:p>
        </w:tc>
      </w:tr>
      <w:tr>
        <w:trPr>
          <w:trHeight w:val="230"/>
        </w:trPr>
        <w:tc>
          <w:tcPr>
            <w:tcW w:w="5720" w:type="dxa"/>
            <w:vAlign w:val="bottom"/>
          </w:tcPr>
          <w:p>
            <w:pPr>
              <w:ind w:left="140"/>
              <w:spacing w:after="0"/>
              <w:rPr>
                <w:sz w:val="20"/>
                <w:szCs w:val="20"/>
                <w:color w:val="auto"/>
              </w:rPr>
            </w:pPr>
            <w:r>
              <w:rPr>
                <w:rFonts w:ascii="Arial" w:cs="Arial" w:eastAsia="Arial" w:hAnsi="Arial"/>
                <w:sz w:val="18"/>
                <w:szCs w:val="18"/>
                <w:color w:val="auto"/>
              </w:rPr>
              <w:t>Dividends paid</w:t>
            </w:r>
          </w:p>
        </w:tc>
        <w:tc>
          <w:tcPr>
            <w:tcW w:w="220" w:type="dxa"/>
            <w:vAlign w:val="bottom"/>
            <w:shd w:val="clear" w:color="auto" w:fill="E0E3F1"/>
          </w:tcPr>
          <w:p>
            <w:pPr>
              <w:spacing w:after="0"/>
              <w:rPr>
                <w:sz w:val="19"/>
                <w:szCs w:val="19"/>
                <w:color w:val="auto"/>
              </w:rPr>
            </w:pPr>
          </w:p>
        </w:tc>
        <w:tc>
          <w:tcPr>
            <w:tcW w:w="780" w:type="dxa"/>
            <w:vAlign w:val="bottom"/>
            <w:shd w:val="clear" w:color="auto" w:fill="E0E3F1"/>
          </w:tcPr>
          <w:p>
            <w:pPr>
              <w:jc w:val="right"/>
              <w:spacing w:after="0"/>
              <w:rPr>
                <w:sz w:val="20"/>
                <w:szCs w:val="20"/>
                <w:color w:val="auto"/>
              </w:rPr>
            </w:pPr>
            <w:r>
              <w:rPr>
                <w:rFonts w:ascii="Arial" w:cs="Arial" w:eastAsia="Arial" w:hAnsi="Arial"/>
                <w:sz w:val="18"/>
                <w:szCs w:val="18"/>
                <w:color w:val="auto"/>
              </w:rPr>
              <w:t>(483.0)</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(451.0)</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(418.5)</w:t>
            </w:r>
          </w:p>
        </w:tc>
      </w:tr>
      <w:tr>
        <w:trPr>
          <w:trHeight w:val="235"/>
        </w:trPr>
        <w:tc>
          <w:tcPr>
            <w:tcW w:w="5720" w:type="dxa"/>
            <w:vAlign w:val="bottom"/>
            <w:tcBorders>
              <w:bottom w:val="single" w:sz="8" w:color="00539B"/>
            </w:tcBorders>
          </w:tcPr>
          <w:p>
            <w:pPr>
              <w:ind w:left="140"/>
              <w:spacing w:after="0"/>
              <w:rPr>
                <w:sz w:val="20"/>
                <w:szCs w:val="20"/>
                <w:color w:val="auto"/>
              </w:rPr>
            </w:pPr>
            <w:r>
              <w:rPr>
                <w:rFonts w:ascii="Arial" w:cs="Arial" w:eastAsia="Arial" w:hAnsi="Arial"/>
                <w:sz w:val="18"/>
                <w:szCs w:val="18"/>
                <w:color w:val="auto"/>
              </w:rPr>
              <w:t>Other financing activities</w:t>
            </w:r>
          </w:p>
        </w:tc>
        <w:tc>
          <w:tcPr>
            <w:tcW w:w="220" w:type="dxa"/>
            <w:vAlign w:val="bottom"/>
            <w:tcBorders>
              <w:bottom w:val="single" w:sz="8" w:color="00539B"/>
            </w:tcBorders>
            <w:shd w:val="clear" w:color="auto" w:fill="E0E3F1"/>
          </w:tcPr>
          <w:p>
            <w:pPr>
              <w:spacing w:after="0"/>
              <w:rPr>
                <w:sz w:val="20"/>
                <w:szCs w:val="20"/>
                <w:color w:val="auto"/>
              </w:rPr>
            </w:pPr>
          </w:p>
        </w:tc>
        <w:tc>
          <w:tcPr>
            <w:tcW w:w="78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8"/>
                <w:szCs w:val="18"/>
                <w:color w:val="auto"/>
              </w:rPr>
              <w:t>35.8</w:t>
            </w:r>
          </w:p>
        </w:tc>
        <w:tc>
          <w:tcPr>
            <w:tcW w:w="220" w:type="dxa"/>
            <w:vAlign w:val="bottom"/>
            <w:tcBorders>
              <w:bottom w:val="single" w:sz="8" w:color="00539B"/>
            </w:tcBorders>
          </w:tcPr>
          <w:p>
            <w:pPr>
              <w:spacing w:after="0"/>
              <w:rPr>
                <w:sz w:val="20"/>
                <w:szCs w:val="20"/>
                <w:color w:val="auto"/>
              </w:rPr>
            </w:pPr>
          </w:p>
        </w:tc>
        <w:tc>
          <w:tcPr>
            <w:tcW w:w="760" w:type="dxa"/>
            <w:vAlign w:val="bottom"/>
            <w:tcBorders>
              <w:bottom w:val="single" w:sz="8" w:color="00539B"/>
            </w:tcBorders>
          </w:tcPr>
          <w:p>
            <w:pPr>
              <w:jc w:val="right"/>
              <w:spacing w:after="0"/>
              <w:rPr>
                <w:sz w:val="20"/>
                <w:szCs w:val="20"/>
                <w:color w:val="auto"/>
              </w:rPr>
            </w:pPr>
            <w:r>
              <w:rPr>
                <w:rFonts w:ascii="Arial" w:cs="Arial" w:eastAsia="Arial" w:hAnsi="Arial"/>
                <w:sz w:val="18"/>
                <w:szCs w:val="18"/>
                <w:color w:val="auto"/>
              </w:rPr>
              <w:t>8.0</w:t>
            </w:r>
          </w:p>
        </w:tc>
        <w:tc>
          <w:tcPr>
            <w:tcW w:w="180" w:type="dxa"/>
            <w:vAlign w:val="bottom"/>
            <w:tcBorders>
              <w:bottom w:val="single" w:sz="8" w:color="00539B"/>
            </w:tcBorders>
          </w:tcPr>
          <w:p>
            <w:pPr>
              <w:spacing w:after="0"/>
              <w:rPr>
                <w:sz w:val="20"/>
                <w:szCs w:val="20"/>
                <w:color w:val="auto"/>
              </w:rPr>
            </w:pPr>
          </w:p>
        </w:tc>
        <w:tc>
          <w:tcPr>
            <w:tcW w:w="800" w:type="dxa"/>
            <w:vAlign w:val="bottom"/>
            <w:tcBorders>
              <w:bottom w:val="single" w:sz="8" w:color="00539B"/>
            </w:tcBorders>
          </w:tcPr>
          <w:p>
            <w:pPr>
              <w:jc w:val="right"/>
              <w:spacing w:after="0"/>
              <w:rPr>
                <w:sz w:val="20"/>
                <w:szCs w:val="20"/>
                <w:color w:val="auto"/>
              </w:rPr>
            </w:pPr>
            <w:r>
              <w:rPr>
                <w:rFonts w:ascii="Arial" w:cs="Arial" w:eastAsia="Arial" w:hAnsi="Arial"/>
                <w:sz w:val="18"/>
                <w:szCs w:val="18"/>
                <w:color w:val="auto"/>
              </w:rPr>
              <w:t>1.6</w:t>
            </w:r>
          </w:p>
        </w:tc>
      </w:tr>
      <w:tr>
        <w:trPr>
          <w:trHeight w:val="218"/>
        </w:trPr>
        <w:tc>
          <w:tcPr>
            <w:tcW w:w="5720" w:type="dxa"/>
            <w:vAlign w:val="bottom"/>
          </w:tcPr>
          <w:p>
            <w:pPr>
              <w:ind w:left="20"/>
              <w:spacing w:after="0"/>
              <w:rPr>
                <w:sz w:val="20"/>
                <w:szCs w:val="20"/>
                <w:color w:val="auto"/>
              </w:rPr>
            </w:pPr>
            <w:r>
              <w:rPr>
                <w:rFonts w:ascii="Arial" w:cs="Arial" w:eastAsia="Arial" w:hAnsi="Arial"/>
                <w:sz w:val="18"/>
                <w:szCs w:val="18"/>
                <w:color w:val="auto"/>
              </w:rPr>
              <w:t>Net cash flow used in financing activities</w:t>
            </w:r>
          </w:p>
        </w:tc>
        <w:tc>
          <w:tcPr>
            <w:tcW w:w="220" w:type="dxa"/>
            <w:vAlign w:val="bottom"/>
            <w:shd w:val="clear" w:color="auto" w:fill="E0E3F1"/>
          </w:tcPr>
          <w:p>
            <w:pPr>
              <w:spacing w:after="0"/>
              <w:rPr>
                <w:sz w:val="18"/>
                <w:szCs w:val="18"/>
                <w:color w:val="auto"/>
              </w:rPr>
            </w:pPr>
          </w:p>
        </w:tc>
        <w:tc>
          <w:tcPr>
            <w:tcW w:w="780" w:type="dxa"/>
            <w:vAlign w:val="bottom"/>
            <w:shd w:val="clear" w:color="auto" w:fill="E0E3F1"/>
          </w:tcPr>
          <w:p>
            <w:pPr>
              <w:jc w:val="right"/>
              <w:spacing w:after="0"/>
              <w:rPr>
                <w:sz w:val="20"/>
                <w:szCs w:val="20"/>
                <w:color w:val="auto"/>
              </w:rPr>
            </w:pPr>
            <w:r>
              <w:rPr>
                <w:rFonts w:ascii="Arial" w:cs="Arial" w:eastAsia="Arial" w:hAnsi="Arial"/>
                <w:sz w:val="18"/>
                <w:szCs w:val="18"/>
                <w:color w:val="auto"/>
              </w:rPr>
              <w:t>(840.9)</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(583.1)</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(1,184.2)</w:t>
            </w:r>
          </w:p>
        </w:tc>
      </w:tr>
      <w:tr>
        <w:trPr>
          <w:trHeight w:val="229"/>
        </w:trPr>
        <w:tc>
          <w:tcPr>
            <w:tcW w:w="5720" w:type="dxa"/>
            <w:vAlign w:val="bottom"/>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220" w:type="dxa"/>
            <w:vAlign w:val="bottom"/>
            <w:shd w:val="clear" w:color="auto" w:fill="E0E3F1"/>
          </w:tcPr>
          <w:p>
            <w:pPr>
              <w:spacing w:after="0"/>
              <w:rPr>
                <w:sz w:val="19"/>
                <w:szCs w:val="19"/>
                <w:color w:val="auto"/>
              </w:rPr>
            </w:pPr>
          </w:p>
        </w:tc>
        <w:tc>
          <w:tcPr>
            <w:tcW w:w="780" w:type="dxa"/>
            <w:vAlign w:val="bottom"/>
            <w:shd w:val="clear" w:color="auto" w:fill="E0E3F1"/>
          </w:tcPr>
          <w:p>
            <w:pPr>
              <w:jc w:val="right"/>
              <w:spacing w:after="0"/>
              <w:rPr>
                <w:sz w:val="20"/>
                <w:szCs w:val="20"/>
                <w:color w:val="auto"/>
              </w:rPr>
            </w:pPr>
            <w:r>
              <w:rPr>
                <w:rFonts w:ascii="Arial" w:cs="Arial" w:eastAsia="Arial" w:hAnsi="Arial"/>
                <w:sz w:val="18"/>
                <w:szCs w:val="18"/>
                <w:color w:val="auto"/>
              </w:rPr>
              <w:t>43.7</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(50.3)</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30"/>
        </w:trPr>
        <w:tc>
          <w:tcPr>
            <w:tcW w:w="5720" w:type="dxa"/>
            <w:vAlign w:val="bottom"/>
          </w:tcPr>
          <w:p>
            <w:pPr>
              <w:ind w:left="20"/>
              <w:spacing w:after="0"/>
              <w:rPr>
                <w:sz w:val="20"/>
                <w:szCs w:val="20"/>
                <w:color w:val="auto"/>
              </w:rPr>
            </w:pPr>
            <w:r>
              <w:rPr>
                <w:rFonts w:ascii="Arial" w:cs="Arial" w:eastAsia="Arial" w:hAnsi="Arial"/>
                <w:sz w:val="18"/>
                <w:szCs w:val="18"/>
                <w:color w:val="auto"/>
              </w:rPr>
              <w:t>Increase (decrease) in cash and cash equivalents</w:t>
            </w:r>
          </w:p>
        </w:tc>
        <w:tc>
          <w:tcPr>
            <w:tcW w:w="220" w:type="dxa"/>
            <w:vAlign w:val="bottom"/>
            <w:shd w:val="clear" w:color="auto" w:fill="E0E3F1"/>
          </w:tcPr>
          <w:p>
            <w:pPr>
              <w:spacing w:after="0"/>
              <w:rPr>
                <w:sz w:val="19"/>
                <w:szCs w:val="19"/>
                <w:color w:val="auto"/>
              </w:rPr>
            </w:pPr>
          </w:p>
        </w:tc>
        <w:tc>
          <w:tcPr>
            <w:tcW w:w="780" w:type="dxa"/>
            <w:vAlign w:val="bottom"/>
            <w:shd w:val="clear" w:color="auto" w:fill="E0E3F1"/>
          </w:tcPr>
          <w:p>
            <w:pPr>
              <w:jc w:val="right"/>
              <w:spacing w:after="0"/>
              <w:rPr>
                <w:sz w:val="20"/>
                <w:szCs w:val="20"/>
                <w:color w:val="auto"/>
              </w:rPr>
            </w:pPr>
            <w:r>
              <w:rPr>
                <w:rFonts w:ascii="Arial" w:cs="Arial" w:eastAsia="Arial" w:hAnsi="Arial"/>
                <w:sz w:val="18"/>
                <w:szCs w:val="18"/>
                <w:color w:val="auto"/>
              </w:rPr>
              <w:t>(90.2)</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19.5</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(167.4)</w:t>
            </w:r>
          </w:p>
        </w:tc>
      </w:tr>
      <w:tr>
        <w:trPr>
          <w:trHeight w:val="235"/>
        </w:trPr>
        <w:tc>
          <w:tcPr>
            <w:tcW w:w="5720" w:type="dxa"/>
            <w:vAlign w:val="bottom"/>
            <w:tcBorders>
              <w:bottom w:val="single" w:sz="8" w:color="00539B"/>
            </w:tcBorders>
          </w:tcPr>
          <w:p>
            <w:pPr>
              <w:ind w:left="20"/>
              <w:spacing w:after="0"/>
              <w:rPr>
                <w:sz w:val="20"/>
                <w:szCs w:val="20"/>
                <w:color w:val="auto"/>
              </w:rPr>
            </w:pPr>
            <w:r>
              <w:rPr>
                <w:rFonts w:ascii="Arial" w:cs="Arial" w:eastAsia="Arial" w:hAnsi="Arial"/>
                <w:sz w:val="18"/>
                <w:szCs w:val="18"/>
                <w:color w:val="auto"/>
              </w:rPr>
              <w:t>Cash and cash equivalents at beginning of year</w:t>
            </w:r>
          </w:p>
        </w:tc>
        <w:tc>
          <w:tcPr>
            <w:tcW w:w="220" w:type="dxa"/>
            <w:vAlign w:val="bottom"/>
            <w:tcBorders>
              <w:bottom w:val="single" w:sz="8" w:color="00539B"/>
            </w:tcBorders>
            <w:shd w:val="clear" w:color="auto" w:fill="E0E3F1"/>
          </w:tcPr>
          <w:p>
            <w:pPr>
              <w:spacing w:after="0"/>
              <w:rPr>
                <w:sz w:val="20"/>
                <w:szCs w:val="20"/>
                <w:color w:val="auto"/>
              </w:rPr>
            </w:pPr>
          </w:p>
        </w:tc>
        <w:tc>
          <w:tcPr>
            <w:tcW w:w="78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8"/>
                <w:szCs w:val="18"/>
                <w:color w:val="auto"/>
              </w:rPr>
              <w:t>186.1</w:t>
            </w:r>
          </w:p>
        </w:tc>
        <w:tc>
          <w:tcPr>
            <w:tcW w:w="220" w:type="dxa"/>
            <w:vAlign w:val="bottom"/>
            <w:tcBorders>
              <w:bottom w:val="single" w:sz="8" w:color="00539B"/>
            </w:tcBorders>
          </w:tcPr>
          <w:p>
            <w:pPr>
              <w:spacing w:after="0"/>
              <w:rPr>
                <w:sz w:val="20"/>
                <w:szCs w:val="20"/>
                <w:color w:val="auto"/>
              </w:rPr>
            </w:pPr>
          </w:p>
        </w:tc>
        <w:tc>
          <w:tcPr>
            <w:tcW w:w="760" w:type="dxa"/>
            <w:vAlign w:val="bottom"/>
            <w:tcBorders>
              <w:bottom w:val="single" w:sz="8" w:color="00539B"/>
            </w:tcBorders>
          </w:tcPr>
          <w:p>
            <w:pPr>
              <w:jc w:val="right"/>
              <w:spacing w:after="0"/>
              <w:rPr>
                <w:sz w:val="20"/>
                <w:szCs w:val="20"/>
                <w:color w:val="auto"/>
              </w:rPr>
            </w:pPr>
            <w:r>
              <w:rPr>
                <w:rFonts w:ascii="Arial" w:cs="Arial" w:eastAsia="Arial" w:hAnsi="Arial"/>
                <w:sz w:val="18"/>
                <w:szCs w:val="18"/>
                <w:color w:val="auto"/>
              </w:rPr>
              <w:t>166.6</w:t>
            </w:r>
          </w:p>
        </w:tc>
        <w:tc>
          <w:tcPr>
            <w:tcW w:w="180" w:type="dxa"/>
            <w:vAlign w:val="bottom"/>
            <w:tcBorders>
              <w:bottom w:val="single" w:sz="8" w:color="00539B"/>
            </w:tcBorders>
          </w:tcPr>
          <w:p>
            <w:pPr>
              <w:spacing w:after="0"/>
              <w:rPr>
                <w:sz w:val="20"/>
                <w:szCs w:val="20"/>
                <w:color w:val="auto"/>
              </w:rPr>
            </w:pPr>
          </w:p>
        </w:tc>
        <w:tc>
          <w:tcPr>
            <w:tcW w:w="800" w:type="dxa"/>
            <w:vAlign w:val="bottom"/>
            <w:tcBorders>
              <w:bottom w:val="single" w:sz="8" w:color="00539B"/>
            </w:tcBorders>
          </w:tcPr>
          <w:p>
            <w:pPr>
              <w:jc w:val="right"/>
              <w:spacing w:after="0"/>
              <w:rPr>
                <w:sz w:val="20"/>
                <w:szCs w:val="20"/>
                <w:color w:val="auto"/>
              </w:rPr>
            </w:pPr>
            <w:r>
              <w:rPr>
                <w:rFonts w:ascii="Arial" w:cs="Arial" w:eastAsia="Arial" w:hAnsi="Arial"/>
                <w:sz w:val="18"/>
                <w:szCs w:val="18"/>
                <w:color w:val="auto"/>
              </w:rPr>
              <w:t>334.0</w:t>
            </w:r>
          </w:p>
        </w:tc>
      </w:tr>
      <w:tr>
        <w:trPr>
          <w:trHeight w:val="230"/>
        </w:trPr>
        <w:tc>
          <w:tcPr>
            <w:tcW w:w="5720" w:type="dxa"/>
            <w:vAlign w:val="bottom"/>
            <w:tcBorders>
              <w:bottom w:val="single" w:sz="8" w:color="00539B"/>
            </w:tcBorders>
          </w:tcPr>
          <w:p>
            <w:pPr>
              <w:ind w:left="20"/>
              <w:spacing w:after="0"/>
              <w:rPr>
                <w:sz w:val="20"/>
                <w:szCs w:val="20"/>
                <w:color w:val="auto"/>
              </w:rPr>
            </w:pPr>
            <w:r>
              <w:rPr>
                <w:rFonts w:ascii="Arial" w:cs="Arial" w:eastAsia="Arial" w:hAnsi="Arial"/>
                <w:sz w:val="18"/>
                <w:szCs w:val="18"/>
                <w:color w:val="auto"/>
              </w:rPr>
              <w:t>Cash and cash equivalents at end of year</w:t>
            </w:r>
          </w:p>
        </w:tc>
        <w:tc>
          <w:tcPr>
            <w:tcW w:w="220" w:type="dxa"/>
            <w:vAlign w:val="bottom"/>
            <w:tcBorders>
              <w:bottom w:val="single" w:sz="8" w:color="00539B"/>
            </w:tcBorders>
            <w:shd w:val="clear" w:color="auto" w:fill="E0E3F1"/>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8"/>
                <w:szCs w:val="18"/>
                <w:color w:val="auto"/>
              </w:rPr>
              <w:t>95.9</w:t>
            </w:r>
          </w:p>
        </w:tc>
        <w:tc>
          <w:tcPr>
            <w:tcW w:w="220" w:type="dxa"/>
            <w:vAlign w:val="bottom"/>
            <w:tcBorders>
              <w:bottom w:val="single" w:sz="8" w:color="00539B"/>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00539B"/>
            </w:tcBorders>
          </w:tcPr>
          <w:p>
            <w:pPr>
              <w:jc w:val="right"/>
              <w:spacing w:after="0"/>
              <w:rPr>
                <w:sz w:val="20"/>
                <w:szCs w:val="20"/>
                <w:color w:val="auto"/>
              </w:rPr>
            </w:pPr>
            <w:r>
              <w:rPr>
                <w:rFonts w:ascii="Arial" w:cs="Arial" w:eastAsia="Arial" w:hAnsi="Arial"/>
                <w:sz w:val="18"/>
                <w:szCs w:val="18"/>
                <w:color w:val="auto"/>
              </w:rPr>
              <w:t>186.1</w:t>
            </w:r>
          </w:p>
        </w:tc>
        <w:tc>
          <w:tcPr>
            <w:tcW w:w="180" w:type="dxa"/>
            <w:vAlign w:val="bottom"/>
            <w:tcBorders>
              <w:bottom w:val="single" w:sz="8" w:color="00539B"/>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00539B"/>
            </w:tcBorders>
          </w:tcPr>
          <w:p>
            <w:pPr>
              <w:jc w:val="right"/>
              <w:spacing w:after="0"/>
              <w:rPr>
                <w:sz w:val="20"/>
                <w:szCs w:val="20"/>
                <w:color w:val="auto"/>
              </w:rPr>
            </w:pPr>
            <w:r>
              <w:rPr>
                <w:rFonts w:ascii="Arial" w:cs="Arial" w:eastAsia="Arial" w:hAnsi="Arial"/>
                <w:sz w:val="18"/>
                <w:szCs w:val="18"/>
                <w:color w:val="auto"/>
              </w:rPr>
              <w:t>166.6</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pacing w:after="0" w:line="200" w:lineRule="exact"/>
        <w:rPr>
          <w:sz w:val="20"/>
          <w:szCs w:val="20"/>
          <w:color w:val="auto"/>
        </w:rPr>
      </w:pPr>
    </w:p>
    <w:p>
      <w:pPr>
        <w:spacing w:after="0" w:line="34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52" w:right="1440"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00539B"/>
        </w:rPr>
        <w:t>CONSOLIDATED STATEMENTS OF SHAREHOLDERS’ EQUITY</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60" w:type="dxa"/>
            <w:vAlign w:val="bottom"/>
            <w:tcBorders>
              <w:top w:val="single" w:sz="8" w:color="00539B"/>
            </w:tcBorders>
          </w:tcPr>
          <w:p>
            <w:pPr>
              <w:spacing w:after="0"/>
              <w:rPr>
                <w:sz w:val="15"/>
                <w:szCs w:val="15"/>
                <w:color w:val="auto"/>
              </w:rPr>
            </w:pPr>
          </w:p>
        </w:tc>
        <w:tc>
          <w:tcPr>
            <w:tcW w:w="840" w:type="dxa"/>
            <w:vAlign w:val="bottom"/>
            <w:tcBorders>
              <w:top w:val="single" w:sz="8" w:color="00539B"/>
            </w:tcBorders>
            <w:vMerge w:val="restart"/>
          </w:tcPr>
          <w:p>
            <w:pPr>
              <w:jc w:val="center"/>
              <w:spacing w:after="0"/>
              <w:rPr>
                <w:sz w:val="20"/>
                <w:szCs w:val="20"/>
                <w:color w:val="auto"/>
              </w:rPr>
            </w:pPr>
            <w:r>
              <w:rPr>
                <w:rFonts w:ascii="Arial" w:cs="Arial" w:eastAsia="Arial" w:hAnsi="Arial"/>
                <w:sz w:val="14"/>
                <w:szCs w:val="14"/>
                <w:color w:val="auto"/>
              </w:rPr>
              <w:t>Common</w:t>
            </w:r>
          </w:p>
        </w:tc>
        <w:tc>
          <w:tcPr>
            <w:tcW w:w="840" w:type="dxa"/>
            <w:vAlign w:val="bottom"/>
            <w:tcBorders>
              <w:top w:val="single" w:sz="8" w:color="00539B"/>
            </w:tcBorders>
          </w:tcPr>
          <w:p>
            <w:pPr>
              <w:jc w:val="center"/>
              <w:spacing w:after="0"/>
              <w:rPr>
                <w:sz w:val="20"/>
                <w:szCs w:val="20"/>
                <w:color w:val="auto"/>
              </w:rPr>
            </w:pPr>
            <w:r>
              <w:rPr>
                <w:rFonts w:ascii="Arial" w:cs="Arial" w:eastAsia="Arial" w:hAnsi="Arial"/>
                <w:sz w:val="14"/>
                <w:szCs w:val="14"/>
                <w:color w:val="auto"/>
              </w:rPr>
              <w:t>Common</w:t>
            </w:r>
          </w:p>
        </w:tc>
        <w:tc>
          <w:tcPr>
            <w:tcW w:w="840" w:type="dxa"/>
            <w:vAlign w:val="bottom"/>
            <w:tcBorders>
              <w:top w:val="single" w:sz="8" w:color="00539B"/>
            </w:tcBorders>
            <w:vMerge w:val="restart"/>
          </w:tcPr>
          <w:p>
            <w:pPr>
              <w:jc w:val="center"/>
              <w:spacing w:after="0"/>
              <w:rPr>
                <w:sz w:val="20"/>
                <w:szCs w:val="20"/>
                <w:color w:val="auto"/>
              </w:rPr>
            </w:pPr>
            <w:r>
              <w:rPr>
                <w:rFonts w:ascii="Arial" w:cs="Arial" w:eastAsia="Arial" w:hAnsi="Arial"/>
                <w:sz w:val="14"/>
                <w:szCs w:val="14"/>
                <w:color w:val="auto"/>
              </w:rPr>
              <w:t>Common</w:t>
            </w:r>
          </w:p>
        </w:tc>
        <w:tc>
          <w:tcPr>
            <w:tcW w:w="860" w:type="dxa"/>
            <w:vAlign w:val="bottom"/>
            <w:tcBorders>
              <w:top w:val="single" w:sz="8" w:color="00539B"/>
            </w:tcBorders>
          </w:tcPr>
          <w:p>
            <w:pPr>
              <w:spacing w:after="0"/>
              <w:rPr>
                <w:sz w:val="15"/>
                <w:szCs w:val="15"/>
                <w:color w:val="auto"/>
              </w:rPr>
            </w:pPr>
          </w:p>
        </w:tc>
        <w:tc>
          <w:tcPr>
            <w:tcW w:w="120" w:type="dxa"/>
            <w:vAlign w:val="bottom"/>
            <w:tcBorders>
              <w:top w:val="single" w:sz="8" w:color="00539B"/>
            </w:tcBorders>
          </w:tcPr>
          <w:p>
            <w:pPr>
              <w:spacing w:after="0"/>
              <w:rPr>
                <w:sz w:val="15"/>
                <w:szCs w:val="15"/>
                <w:color w:val="auto"/>
              </w:rPr>
            </w:pPr>
          </w:p>
        </w:tc>
        <w:tc>
          <w:tcPr>
            <w:tcW w:w="960" w:type="dxa"/>
            <w:vAlign w:val="bottom"/>
            <w:tcBorders>
              <w:top w:val="single" w:sz="8" w:color="00539B"/>
            </w:tcBorders>
          </w:tcPr>
          <w:p>
            <w:pPr>
              <w:jc w:val="center"/>
              <w:ind w:right="31"/>
              <w:spacing w:after="0"/>
              <w:rPr>
                <w:sz w:val="20"/>
                <w:szCs w:val="20"/>
                <w:color w:val="auto"/>
              </w:rPr>
            </w:pPr>
            <w:r>
              <w:rPr>
                <w:rFonts w:ascii="Arial" w:cs="Arial" w:eastAsia="Arial" w:hAnsi="Arial"/>
                <w:sz w:val="14"/>
                <w:szCs w:val="14"/>
                <w:color w:val="auto"/>
              </w:rPr>
              <w:t>Accumulated</w:t>
            </w:r>
          </w:p>
        </w:tc>
        <w:tc>
          <w:tcPr>
            <w:tcW w:w="140" w:type="dxa"/>
            <w:vAlign w:val="bottom"/>
            <w:tcBorders>
              <w:top w:val="single" w:sz="8" w:color="00539B"/>
            </w:tcBorders>
          </w:tcPr>
          <w:p>
            <w:pPr>
              <w:spacing w:after="0"/>
              <w:rPr>
                <w:sz w:val="15"/>
                <w:szCs w:val="15"/>
                <w:color w:val="auto"/>
              </w:rPr>
            </w:pPr>
          </w:p>
        </w:tc>
        <w:tc>
          <w:tcPr>
            <w:tcW w:w="840" w:type="dxa"/>
            <w:vAlign w:val="bottom"/>
            <w:tcBorders>
              <w:top w:val="single" w:sz="8" w:color="00539B"/>
            </w:tcBorders>
            <w:vMerge w:val="restart"/>
          </w:tcPr>
          <w:p>
            <w:pPr>
              <w:jc w:val="center"/>
              <w:ind w:right="52"/>
              <w:spacing w:after="0"/>
              <w:rPr>
                <w:sz w:val="20"/>
                <w:szCs w:val="20"/>
                <w:color w:val="auto"/>
              </w:rPr>
            </w:pPr>
            <w:r>
              <w:rPr>
                <w:rFonts w:ascii="Arial" w:cs="Arial" w:eastAsia="Arial" w:hAnsi="Arial"/>
                <w:sz w:val="14"/>
                <w:szCs w:val="14"/>
                <w:color w:val="auto"/>
                <w:w w:val="98"/>
              </w:rPr>
              <w:t>Non-</w:t>
            </w:r>
          </w:p>
        </w:tc>
        <w:tc>
          <w:tcPr>
            <w:tcW w:w="200" w:type="dxa"/>
            <w:vAlign w:val="bottom"/>
            <w:tcBorders>
              <w:top w:val="single" w:sz="8" w:color="00539B"/>
            </w:tcBorders>
          </w:tcPr>
          <w:p>
            <w:pPr>
              <w:spacing w:after="0"/>
              <w:rPr>
                <w:sz w:val="15"/>
                <w:szCs w:val="15"/>
                <w:color w:val="auto"/>
              </w:rPr>
            </w:pPr>
          </w:p>
        </w:tc>
        <w:tc>
          <w:tcPr>
            <w:tcW w:w="780" w:type="dxa"/>
            <w:vAlign w:val="bottom"/>
            <w:tcBorders>
              <w:top w:val="single" w:sz="8" w:color="00539B"/>
            </w:tcBorders>
            <w:vMerge w:val="restart"/>
          </w:tcPr>
          <w:p>
            <w:pPr>
              <w:jc w:val="center"/>
              <w:ind w:right="111"/>
              <w:spacing w:after="0"/>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44"/>
        </w:trPr>
        <w:tc>
          <w:tcPr>
            <w:tcW w:w="47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40" w:type="dxa"/>
            <w:vAlign w:val="bottom"/>
          </w:tcPr>
          <w:p>
            <w:pPr>
              <w:jc w:val="center"/>
              <w:spacing w:after="0" w:line="145" w:lineRule="exact"/>
              <w:rPr>
                <w:sz w:val="20"/>
                <w:szCs w:val="20"/>
                <w:color w:val="auto"/>
              </w:rPr>
            </w:pPr>
            <w:r>
              <w:rPr>
                <w:rFonts w:ascii="Arial" w:cs="Arial" w:eastAsia="Arial" w:hAnsi="Arial"/>
                <w:sz w:val="14"/>
                <w:szCs w:val="14"/>
                <w:color w:val="auto"/>
              </w:rPr>
              <w:t>Stock</w:t>
            </w:r>
          </w:p>
        </w:tc>
        <w:tc>
          <w:tcPr>
            <w:tcW w:w="840" w:type="dxa"/>
            <w:vAlign w:val="bottom"/>
            <w:vMerge w:val="continue"/>
          </w:tcPr>
          <w:p>
            <w:pPr>
              <w:spacing w:after="0"/>
              <w:rPr>
                <w:sz w:val="12"/>
                <w:szCs w:val="12"/>
                <w:color w:val="auto"/>
              </w:rPr>
            </w:pPr>
          </w:p>
        </w:tc>
        <w:tc>
          <w:tcPr>
            <w:tcW w:w="860" w:type="dxa"/>
            <w:vAlign w:val="bottom"/>
            <w:vMerge w:val="restart"/>
          </w:tcPr>
          <w:p>
            <w:pPr>
              <w:jc w:val="right"/>
              <w:ind w:right="51"/>
              <w:spacing w:after="0"/>
              <w:rPr>
                <w:sz w:val="20"/>
                <w:szCs w:val="20"/>
                <w:color w:val="auto"/>
              </w:rPr>
            </w:pPr>
            <w:r>
              <w:rPr>
                <w:rFonts w:ascii="Arial" w:cs="Arial" w:eastAsia="Arial" w:hAnsi="Arial"/>
                <w:sz w:val="14"/>
                <w:szCs w:val="14"/>
                <w:color w:val="auto"/>
              </w:rPr>
              <w:t>Retained</w:t>
            </w:r>
          </w:p>
        </w:tc>
        <w:tc>
          <w:tcPr>
            <w:tcW w:w="120" w:type="dxa"/>
            <w:vAlign w:val="bottom"/>
          </w:tcPr>
          <w:p>
            <w:pPr>
              <w:spacing w:after="0"/>
              <w:rPr>
                <w:sz w:val="12"/>
                <w:szCs w:val="12"/>
                <w:color w:val="auto"/>
              </w:rPr>
            </w:pPr>
          </w:p>
        </w:tc>
        <w:tc>
          <w:tcPr>
            <w:tcW w:w="960" w:type="dxa"/>
            <w:vAlign w:val="bottom"/>
          </w:tcPr>
          <w:p>
            <w:pPr>
              <w:jc w:val="center"/>
              <w:ind w:right="31"/>
              <w:spacing w:after="0" w:line="145" w:lineRule="exact"/>
              <w:rPr>
                <w:sz w:val="20"/>
                <w:szCs w:val="20"/>
                <w:color w:val="auto"/>
              </w:rPr>
            </w:pPr>
            <w:r>
              <w:rPr>
                <w:rFonts w:ascii="Arial" w:cs="Arial" w:eastAsia="Arial" w:hAnsi="Arial"/>
                <w:sz w:val="14"/>
                <w:szCs w:val="14"/>
                <w:color w:val="auto"/>
              </w:rPr>
              <w:t>Other</w:t>
            </w: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60" w:type="dxa"/>
            <w:vAlign w:val="bottom"/>
            <w:vMerge w:val="restart"/>
          </w:tcPr>
          <w:p>
            <w:pPr>
              <w:ind w:left="20"/>
              <w:spacing w:after="0"/>
              <w:rPr>
                <w:sz w:val="20"/>
                <w:szCs w:val="20"/>
                <w:color w:val="auto"/>
              </w:rPr>
            </w:pPr>
            <w:r>
              <w:rPr>
                <w:rFonts w:ascii="Arial" w:cs="Arial" w:eastAsia="Arial" w:hAnsi="Arial"/>
                <w:sz w:val="14"/>
                <w:szCs w:val="14"/>
                <w:color w:val="auto"/>
              </w:rPr>
              <w:t>(millions)</w:t>
            </w: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rPr>
              <w:t>Stock</w:t>
            </w: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rPr>
              <w:t>Non-Voting</w:t>
            </w: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rPr>
              <w:t>Stock</w:t>
            </w:r>
          </w:p>
        </w:tc>
        <w:tc>
          <w:tcPr>
            <w:tcW w:w="860" w:type="dxa"/>
            <w:vAlign w:val="bottom"/>
            <w:vMerge w:val="continue"/>
          </w:tcPr>
          <w:p>
            <w:pPr>
              <w:spacing w:after="0"/>
              <w:rPr>
                <w:sz w:val="12"/>
                <w:szCs w:val="12"/>
                <w:color w:val="auto"/>
              </w:rPr>
            </w:pPr>
          </w:p>
        </w:tc>
        <w:tc>
          <w:tcPr>
            <w:tcW w:w="10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Comprehensive</w:t>
            </w:r>
          </w:p>
        </w:tc>
        <w:tc>
          <w:tcPr>
            <w:tcW w:w="140" w:type="dxa"/>
            <w:vAlign w:val="bottom"/>
          </w:tcPr>
          <w:p>
            <w:pPr>
              <w:spacing w:after="0"/>
              <w:rPr>
                <w:sz w:val="12"/>
                <w:szCs w:val="12"/>
                <w:color w:val="auto"/>
              </w:rPr>
            </w:pPr>
          </w:p>
        </w:tc>
        <w:tc>
          <w:tcPr>
            <w:tcW w:w="840" w:type="dxa"/>
            <w:vAlign w:val="bottom"/>
          </w:tcPr>
          <w:p>
            <w:pPr>
              <w:jc w:val="center"/>
              <w:ind w:right="52"/>
              <w:spacing w:after="0" w:line="149" w:lineRule="exact"/>
              <w:rPr>
                <w:sz w:val="20"/>
                <w:szCs w:val="20"/>
                <w:color w:val="auto"/>
              </w:rPr>
            </w:pPr>
            <w:r>
              <w:rPr>
                <w:rFonts w:ascii="Arial" w:cs="Arial" w:eastAsia="Arial" w:hAnsi="Arial"/>
                <w:sz w:val="14"/>
                <w:szCs w:val="14"/>
                <w:color w:val="auto"/>
              </w:rPr>
              <w:t>controlling</w:t>
            </w: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color w:val="auto"/>
              </w:rPr>
              <w:t>Shareholders’</w:t>
            </w:r>
          </w:p>
        </w:tc>
        <w:tc>
          <w:tcPr>
            <w:tcW w:w="0" w:type="dxa"/>
            <w:vAlign w:val="bottom"/>
          </w:tcPr>
          <w:p>
            <w:pPr>
              <w:spacing w:after="0"/>
              <w:rPr>
                <w:sz w:val="1"/>
                <w:szCs w:val="1"/>
                <w:color w:val="auto"/>
              </w:rPr>
            </w:pPr>
          </w:p>
        </w:tc>
      </w:tr>
      <w:tr>
        <w:trPr>
          <w:trHeight w:val="189"/>
        </w:trPr>
        <w:tc>
          <w:tcPr>
            <w:tcW w:w="4760" w:type="dxa"/>
            <w:vAlign w:val="bottom"/>
            <w:tcBorders>
              <w:bottom w:val="single" w:sz="8" w:color="00539B"/>
            </w:tcBorders>
            <w:vMerge w:val="continue"/>
          </w:tcPr>
          <w:p>
            <w:pPr>
              <w:spacing w:after="0"/>
              <w:rPr>
                <w:sz w:val="16"/>
                <w:szCs w:val="16"/>
                <w:color w:val="auto"/>
              </w:rPr>
            </w:pPr>
          </w:p>
        </w:tc>
        <w:tc>
          <w:tcPr>
            <w:tcW w:w="840" w:type="dxa"/>
            <w:vAlign w:val="bottom"/>
            <w:tcBorders>
              <w:bottom w:val="single" w:sz="8" w:color="00539B"/>
            </w:tcBorders>
          </w:tcPr>
          <w:p>
            <w:pPr>
              <w:jc w:val="center"/>
              <w:spacing w:after="0"/>
              <w:rPr>
                <w:sz w:val="20"/>
                <w:szCs w:val="20"/>
                <w:color w:val="auto"/>
              </w:rPr>
            </w:pPr>
            <w:r>
              <w:rPr>
                <w:rFonts w:ascii="Arial" w:cs="Arial" w:eastAsia="Arial" w:hAnsi="Arial"/>
                <w:sz w:val="14"/>
                <w:szCs w:val="14"/>
                <w:color w:val="auto"/>
                <w:w w:val="99"/>
              </w:rPr>
              <w:t>Shares</w:t>
            </w:r>
          </w:p>
        </w:tc>
        <w:tc>
          <w:tcPr>
            <w:tcW w:w="840" w:type="dxa"/>
            <w:vAlign w:val="bottom"/>
            <w:tcBorders>
              <w:bottom w:val="single" w:sz="8" w:color="00539B"/>
            </w:tcBorders>
          </w:tcPr>
          <w:p>
            <w:pPr>
              <w:jc w:val="center"/>
              <w:spacing w:after="0"/>
              <w:rPr>
                <w:sz w:val="20"/>
                <w:szCs w:val="20"/>
                <w:color w:val="auto"/>
              </w:rPr>
            </w:pPr>
            <w:r>
              <w:rPr>
                <w:rFonts w:ascii="Arial" w:cs="Arial" w:eastAsia="Arial" w:hAnsi="Arial"/>
                <w:sz w:val="14"/>
                <w:szCs w:val="14"/>
                <w:color w:val="auto"/>
              </w:rPr>
              <w:t>Shares</w:t>
            </w:r>
          </w:p>
        </w:tc>
        <w:tc>
          <w:tcPr>
            <w:tcW w:w="840" w:type="dxa"/>
            <w:vAlign w:val="bottom"/>
            <w:tcBorders>
              <w:bottom w:val="single" w:sz="8" w:color="00539B"/>
            </w:tcBorders>
          </w:tcPr>
          <w:p>
            <w:pPr>
              <w:jc w:val="center"/>
              <w:spacing w:after="0"/>
              <w:rPr>
                <w:sz w:val="20"/>
                <w:szCs w:val="20"/>
                <w:color w:val="auto"/>
              </w:rPr>
            </w:pPr>
            <w:r>
              <w:rPr>
                <w:rFonts w:ascii="Arial" w:cs="Arial" w:eastAsia="Arial" w:hAnsi="Arial"/>
                <w:sz w:val="14"/>
                <w:szCs w:val="14"/>
                <w:color w:val="auto"/>
                <w:w w:val="99"/>
              </w:rPr>
              <w:t>Amount</w:t>
            </w:r>
          </w:p>
        </w:tc>
        <w:tc>
          <w:tcPr>
            <w:tcW w:w="860" w:type="dxa"/>
            <w:vAlign w:val="bottom"/>
            <w:tcBorders>
              <w:bottom w:val="single" w:sz="8" w:color="00539B"/>
            </w:tcBorders>
          </w:tcPr>
          <w:p>
            <w:pPr>
              <w:jc w:val="right"/>
              <w:ind w:right="51"/>
              <w:spacing w:after="0"/>
              <w:rPr>
                <w:sz w:val="20"/>
                <w:szCs w:val="20"/>
                <w:color w:val="auto"/>
              </w:rPr>
            </w:pPr>
            <w:r>
              <w:rPr>
                <w:rFonts w:ascii="Arial" w:cs="Arial" w:eastAsia="Arial" w:hAnsi="Arial"/>
                <w:sz w:val="14"/>
                <w:szCs w:val="14"/>
                <w:color w:val="auto"/>
              </w:rPr>
              <w:t>Earnings</w:t>
            </w:r>
          </w:p>
        </w:tc>
        <w:tc>
          <w:tcPr>
            <w:tcW w:w="1080" w:type="dxa"/>
            <w:vAlign w:val="bottom"/>
            <w:tcBorders>
              <w:bottom w:val="single" w:sz="8" w:color="00539B"/>
            </w:tcBorders>
            <w:gridSpan w:val="2"/>
          </w:tcPr>
          <w:p>
            <w:pPr>
              <w:jc w:val="center"/>
              <w:spacing w:after="0"/>
              <w:rPr>
                <w:sz w:val="20"/>
                <w:szCs w:val="20"/>
                <w:color w:val="auto"/>
              </w:rPr>
            </w:pPr>
            <w:r>
              <w:rPr>
                <w:rFonts w:ascii="Arial" w:cs="Arial" w:eastAsia="Arial" w:hAnsi="Arial"/>
                <w:sz w:val="14"/>
                <w:szCs w:val="14"/>
                <w:color w:val="auto"/>
              </w:rPr>
              <w:t>(Loss) Income</w:t>
            </w:r>
          </w:p>
        </w:tc>
        <w:tc>
          <w:tcPr>
            <w:tcW w:w="140" w:type="dxa"/>
            <w:vAlign w:val="bottom"/>
            <w:tcBorders>
              <w:bottom w:val="single" w:sz="8" w:color="00539B"/>
            </w:tcBorders>
          </w:tcPr>
          <w:p>
            <w:pPr>
              <w:spacing w:after="0"/>
              <w:rPr>
                <w:sz w:val="16"/>
                <w:szCs w:val="16"/>
                <w:color w:val="auto"/>
              </w:rPr>
            </w:pPr>
          </w:p>
        </w:tc>
        <w:tc>
          <w:tcPr>
            <w:tcW w:w="840" w:type="dxa"/>
            <w:vAlign w:val="bottom"/>
            <w:tcBorders>
              <w:bottom w:val="single" w:sz="8" w:color="00539B"/>
            </w:tcBorders>
          </w:tcPr>
          <w:p>
            <w:pPr>
              <w:jc w:val="center"/>
              <w:ind w:right="52"/>
              <w:spacing w:after="0"/>
              <w:rPr>
                <w:sz w:val="20"/>
                <w:szCs w:val="20"/>
                <w:color w:val="auto"/>
              </w:rPr>
            </w:pPr>
            <w:r>
              <w:rPr>
                <w:rFonts w:ascii="Arial" w:cs="Arial" w:eastAsia="Arial" w:hAnsi="Arial"/>
                <w:sz w:val="14"/>
                <w:szCs w:val="14"/>
                <w:color w:val="auto"/>
              </w:rPr>
              <w:t>Interests</w:t>
            </w:r>
          </w:p>
        </w:tc>
        <w:tc>
          <w:tcPr>
            <w:tcW w:w="200" w:type="dxa"/>
            <w:vAlign w:val="bottom"/>
            <w:tcBorders>
              <w:bottom w:val="single" w:sz="8" w:color="00539B"/>
            </w:tcBorders>
          </w:tcPr>
          <w:p>
            <w:pPr>
              <w:spacing w:after="0"/>
              <w:rPr>
                <w:sz w:val="16"/>
                <w:szCs w:val="16"/>
                <w:color w:val="auto"/>
              </w:rPr>
            </w:pPr>
          </w:p>
        </w:tc>
        <w:tc>
          <w:tcPr>
            <w:tcW w:w="780" w:type="dxa"/>
            <w:vAlign w:val="bottom"/>
            <w:tcBorders>
              <w:bottom w:val="single" w:sz="8" w:color="00539B"/>
            </w:tcBorders>
          </w:tcPr>
          <w:p>
            <w:pPr>
              <w:jc w:val="center"/>
              <w:ind w:right="91"/>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218"/>
        </w:trPr>
        <w:tc>
          <w:tcPr>
            <w:tcW w:w="4760" w:type="dxa"/>
            <w:vAlign w:val="bottom"/>
          </w:tcPr>
          <w:p>
            <w:pPr>
              <w:ind w:left="20"/>
              <w:spacing w:after="0"/>
              <w:rPr>
                <w:sz w:val="20"/>
                <w:szCs w:val="20"/>
                <w:color w:val="auto"/>
              </w:rPr>
            </w:pPr>
            <w:r>
              <w:rPr>
                <w:rFonts w:ascii="Arial" w:cs="Arial" w:eastAsia="Arial" w:hAnsi="Arial"/>
                <w:sz w:val="18"/>
                <w:szCs w:val="18"/>
                <w:color w:val="auto"/>
              </w:rPr>
              <w:t>Balance, November 30, 2022</w:t>
            </w:r>
          </w:p>
        </w:tc>
        <w:tc>
          <w:tcPr>
            <w:tcW w:w="840" w:type="dxa"/>
            <w:vAlign w:val="bottom"/>
          </w:tcPr>
          <w:p>
            <w:pPr>
              <w:jc w:val="right"/>
              <w:spacing w:after="0"/>
              <w:rPr>
                <w:sz w:val="20"/>
                <w:szCs w:val="20"/>
                <w:color w:val="auto"/>
              </w:rPr>
            </w:pPr>
            <w:r>
              <w:rPr>
                <w:rFonts w:ascii="Arial" w:cs="Arial" w:eastAsia="Arial" w:hAnsi="Arial"/>
                <w:sz w:val="18"/>
                <w:szCs w:val="18"/>
                <w:color w:val="auto"/>
              </w:rPr>
              <w:t>17.4</w:t>
            </w:r>
          </w:p>
        </w:tc>
        <w:tc>
          <w:tcPr>
            <w:tcW w:w="840" w:type="dxa"/>
            <w:vAlign w:val="bottom"/>
          </w:tcPr>
          <w:p>
            <w:pPr>
              <w:jc w:val="right"/>
              <w:spacing w:after="0"/>
              <w:rPr>
                <w:sz w:val="20"/>
                <w:szCs w:val="20"/>
                <w:color w:val="auto"/>
              </w:rPr>
            </w:pPr>
            <w:r>
              <w:rPr>
                <w:rFonts w:ascii="Arial" w:cs="Arial" w:eastAsia="Arial" w:hAnsi="Arial"/>
                <w:sz w:val="18"/>
                <w:szCs w:val="18"/>
                <w:color w:val="auto"/>
              </w:rPr>
              <w:t>250.6</w:t>
            </w:r>
          </w:p>
        </w:tc>
        <w:tc>
          <w:tcPr>
            <w:tcW w:w="840" w:type="dxa"/>
            <w:vAlign w:val="bottom"/>
          </w:tcPr>
          <w:p>
            <w:pPr>
              <w:jc w:val="right"/>
              <w:spacing w:after="0"/>
              <w:rPr>
                <w:sz w:val="20"/>
                <w:szCs w:val="20"/>
                <w:color w:val="auto"/>
              </w:rPr>
            </w:pPr>
            <w:r>
              <w:rPr>
                <w:rFonts w:ascii="Arial" w:cs="Arial" w:eastAsia="Arial" w:hAnsi="Arial"/>
                <w:sz w:val="18"/>
                <w:szCs w:val="18"/>
                <w:color w:val="auto"/>
                <w:w w:val="98"/>
              </w:rPr>
              <w:t>$ 2,138.6</w:t>
            </w:r>
          </w:p>
        </w:tc>
        <w:tc>
          <w:tcPr>
            <w:tcW w:w="860" w:type="dxa"/>
            <w:vAlign w:val="bottom"/>
          </w:tcPr>
          <w:p>
            <w:pPr>
              <w:jc w:val="right"/>
              <w:spacing w:after="0"/>
              <w:rPr>
                <w:sz w:val="20"/>
                <w:szCs w:val="20"/>
                <w:color w:val="auto"/>
              </w:rPr>
            </w:pPr>
            <w:r>
              <w:rPr>
                <w:rFonts w:ascii="Arial" w:cs="Arial" w:eastAsia="Arial" w:hAnsi="Arial"/>
                <w:sz w:val="18"/>
                <w:szCs w:val="18"/>
                <w:color w:val="auto"/>
              </w:rPr>
              <w:t>$ 3,022.5</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(480.6)</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4,699.2</w:t>
            </w:r>
          </w:p>
        </w:tc>
        <w:tc>
          <w:tcPr>
            <w:tcW w:w="0" w:type="dxa"/>
            <w:vAlign w:val="bottom"/>
          </w:tcPr>
          <w:p>
            <w:pPr>
              <w:spacing w:after="0"/>
              <w:rPr>
                <w:sz w:val="1"/>
                <w:szCs w:val="1"/>
                <w:color w:val="auto"/>
              </w:rPr>
            </w:pPr>
          </w:p>
        </w:tc>
      </w:tr>
      <w:tr>
        <w:trPr>
          <w:trHeight w:val="229"/>
        </w:trPr>
        <w:tc>
          <w:tcPr>
            <w:tcW w:w="47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680.6</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680.6</w:t>
            </w:r>
          </w:p>
        </w:tc>
        <w:tc>
          <w:tcPr>
            <w:tcW w:w="0" w:type="dxa"/>
            <w:vAlign w:val="bottom"/>
          </w:tcPr>
          <w:p>
            <w:pPr>
              <w:spacing w:after="0"/>
              <w:rPr>
                <w:sz w:val="1"/>
                <w:szCs w:val="1"/>
                <w:color w:val="auto"/>
              </w:rPr>
            </w:pPr>
          </w:p>
        </w:tc>
      </w:tr>
      <w:tr>
        <w:trPr>
          <w:trHeight w:val="229"/>
        </w:trPr>
        <w:tc>
          <w:tcPr>
            <w:tcW w:w="4760" w:type="dxa"/>
            <w:vAlign w:val="bottom"/>
          </w:tcPr>
          <w:p>
            <w:pPr>
              <w:ind w:left="20"/>
              <w:spacing w:after="0"/>
              <w:rPr>
                <w:sz w:val="20"/>
                <w:szCs w:val="20"/>
                <w:color w:val="auto"/>
              </w:rPr>
            </w:pPr>
            <w:r>
              <w:rPr>
                <w:rFonts w:ascii="Arial" w:cs="Arial" w:eastAsia="Arial" w:hAnsi="Arial"/>
                <w:sz w:val="18"/>
                <w:szCs w:val="18"/>
                <w:color w:val="auto"/>
              </w:rPr>
              <w:t>Net income attributable to non-controlling interest</w:t>
            </w: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92.0</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29"/>
        </w:trPr>
        <w:tc>
          <w:tcPr>
            <w:tcW w:w="4760" w:type="dxa"/>
            <w:vAlign w:val="bottom"/>
          </w:tcPr>
          <w:p>
            <w:pPr>
              <w:ind w:left="20"/>
              <w:spacing w:after="0"/>
              <w:rPr>
                <w:sz w:val="20"/>
                <w:szCs w:val="20"/>
                <w:color w:val="auto"/>
              </w:rPr>
            </w:pPr>
            <w:r>
              <w:rPr>
                <w:rFonts w:ascii="Arial" w:cs="Arial" w:eastAsia="Arial" w:hAnsi="Arial"/>
                <w:sz w:val="18"/>
                <w:szCs w:val="18"/>
                <w:color w:val="auto"/>
              </w:rPr>
              <w:t>Dividends</w:t>
            </w: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(426.6)</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(426.6)</w:t>
            </w:r>
          </w:p>
        </w:tc>
        <w:tc>
          <w:tcPr>
            <w:tcW w:w="0" w:type="dxa"/>
            <w:vAlign w:val="bottom"/>
          </w:tcPr>
          <w:p>
            <w:pPr>
              <w:spacing w:after="0"/>
              <w:rPr>
                <w:sz w:val="1"/>
                <w:szCs w:val="1"/>
                <w:color w:val="auto"/>
              </w:rPr>
            </w:pPr>
          </w:p>
        </w:tc>
      </w:tr>
      <w:tr>
        <w:trPr>
          <w:trHeight w:val="229"/>
        </w:trPr>
        <w:tc>
          <w:tcPr>
            <w:tcW w:w="476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63.4</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auto"/>
              </w:rPr>
              <w:t>Shares purchased and retired</w:t>
            </w:r>
          </w:p>
        </w:tc>
        <w:tc>
          <w:tcPr>
            <w:tcW w:w="840" w:type="dxa"/>
            <w:vAlign w:val="bottom"/>
          </w:tcPr>
          <w:p>
            <w:pPr>
              <w:jc w:val="right"/>
              <w:spacing w:after="0"/>
              <w:rPr>
                <w:sz w:val="20"/>
                <w:szCs w:val="20"/>
                <w:color w:val="auto"/>
              </w:rPr>
            </w:pPr>
            <w:r>
              <w:rPr>
                <w:rFonts w:ascii="Arial" w:cs="Arial" w:eastAsia="Arial" w:hAnsi="Arial"/>
                <w:sz w:val="18"/>
                <w:szCs w:val="18"/>
                <w:color w:val="auto"/>
              </w:rPr>
              <w:t>(0.6)</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(20.6)</w:t>
            </w:r>
          </w:p>
        </w:tc>
        <w:tc>
          <w:tcPr>
            <w:tcW w:w="860" w:type="dxa"/>
            <w:vAlign w:val="bottom"/>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29"/>
        </w:trPr>
        <w:tc>
          <w:tcPr>
            <w:tcW w:w="4760" w:type="dxa"/>
            <w:vAlign w:val="bottom"/>
          </w:tcPr>
          <w:p>
            <w:pPr>
              <w:ind w:left="20"/>
              <w:spacing w:after="0"/>
              <w:rPr>
                <w:sz w:val="20"/>
                <w:szCs w:val="20"/>
                <w:color w:val="auto"/>
              </w:rPr>
            </w:pPr>
            <w:r>
              <w:rPr>
                <w:rFonts w:ascii="Arial" w:cs="Arial" w:eastAsia="Arial" w:hAnsi="Arial"/>
                <w:sz w:val="18"/>
                <w:szCs w:val="18"/>
                <w:color w:val="auto"/>
              </w:rPr>
              <w:t>Shares issued</w:t>
            </w:r>
          </w:p>
        </w:tc>
        <w:tc>
          <w:tcPr>
            <w:tcW w:w="840" w:type="dxa"/>
            <w:vAlign w:val="bottom"/>
          </w:tcPr>
          <w:p>
            <w:pPr>
              <w:jc w:val="right"/>
              <w:spacing w:after="0"/>
              <w:rPr>
                <w:sz w:val="20"/>
                <w:szCs w:val="20"/>
                <w:color w:val="auto"/>
              </w:rPr>
            </w:pPr>
            <w:r>
              <w:rPr>
                <w:rFonts w:ascii="Arial" w:cs="Arial" w:eastAsia="Arial" w:hAnsi="Arial"/>
                <w:sz w:val="18"/>
                <w:szCs w:val="18"/>
                <w:color w:val="auto"/>
              </w:rPr>
              <w:t>0.7</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18.2</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35"/>
        </w:trPr>
        <w:tc>
          <w:tcPr>
            <w:tcW w:w="4760" w:type="dxa"/>
            <w:vAlign w:val="bottom"/>
            <w:tcBorders>
              <w:bottom w:val="single" w:sz="8" w:color="00539B"/>
            </w:tcBorders>
          </w:tcPr>
          <w:p>
            <w:pPr>
              <w:ind w:left="20"/>
              <w:spacing w:after="0"/>
              <w:rPr>
                <w:sz w:val="20"/>
                <w:szCs w:val="20"/>
                <w:color w:val="auto"/>
              </w:rPr>
            </w:pPr>
            <w:r>
              <w:rPr>
                <w:rFonts w:ascii="Arial" w:cs="Arial" w:eastAsia="Arial" w:hAnsi="Arial"/>
                <w:sz w:val="18"/>
                <w:szCs w:val="18"/>
                <w:color w:val="auto"/>
              </w:rPr>
              <w:t>Equal exchange</w:t>
            </w:r>
          </w:p>
        </w:tc>
        <w:tc>
          <w:tcPr>
            <w:tcW w:w="840" w:type="dxa"/>
            <w:vAlign w:val="bottom"/>
            <w:tcBorders>
              <w:bottom w:val="single" w:sz="8" w:color="00539B"/>
            </w:tcBorders>
          </w:tcPr>
          <w:p>
            <w:pPr>
              <w:jc w:val="right"/>
              <w:spacing w:after="0"/>
              <w:rPr>
                <w:sz w:val="20"/>
                <w:szCs w:val="20"/>
                <w:color w:val="auto"/>
              </w:rPr>
            </w:pPr>
            <w:r>
              <w:rPr>
                <w:rFonts w:ascii="Arial" w:cs="Arial" w:eastAsia="Arial" w:hAnsi="Arial"/>
                <w:sz w:val="18"/>
                <w:szCs w:val="18"/>
                <w:color w:val="auto"/>
              </w:rPr>
              <w:t>(0.7)</w:t>
            </w:r>
          </w:p>
        </w:tc>
        <w:tc>
          <w:tcPr>
            <w:tcW w:w="840" w:type="dxa"/>
            <w:vAlign w:val="bottom"/>
            <w:tcBorders>
              <w:bottom w:val="single" w:sz="8" w:color="00539B"/>
            </w:tcBorders>
          </w:tcPr>
          <w:p>
            <w:pPr>
              <w:jc w:val="right"/>
              <w:spacing w:after="0"/>
              <w:rPr>
                <w:sz w:val="20"/>
                <w:szCs w:val="20"/>
                <w:color w:val="auto"/>
              </w:rPr>
            </w:pPr>
            <w:r>
              <w:rPr>
                <w:rFonts w:ascii="Arial" w:cs="Arial" w:eastAsia="Arial" w:hAnsi="Arial"/>
                <w:sz w:val="18"/>
                <w:szCs w:val="18"/>
                <w:color w:val="auto"/>
              </w:rPr>
              <w:t>0.7</w:t>
            </w:r>
          </w:p>
        </w:tc>
        <w:tc>
          <w:tcPr>
            <w:tcW w:w="840" w:type="dxa"/>
            <w:vAlign w:val="bottom"/>
            <w:tcBorders>
              <w:bottom w:val="single" w:sz="8" w:color="00539B"/>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00539B"/>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00539B"/>
            </w:tcBorders>
          </w:tcPr>
          <w:p>
            <w:pPr>
              <w:spacing w:after="0"/>
              <w:rPr>
                <w:sz w:val="20"/>
                <w:szCs w:val="20"/>
                <w:color w:val="auto"/>
              </w:rPr>
            </w:pPr>
          </w:p>
        </w:tc>
        <w:tc>
          <w:tcPr>
            <w:tcW w:w="960" w:type="dxa"/>
            <w:vAlign w:val="bottom"/>
            <w:tcBorders>
              <w:bottom w:val="single" w:sz="8" w:color="00539B"/>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00539B"/>
            </w:tcBorders>
          </w:tcPr>
          <w:p>
            <w:pPr>
              <w:spacing w:after="0"/>
              <w:rPr>
                <w:sz w:val="20"/>
                <w:szCs w:val="20"/>
                <w:color w:val="auto"/>
              </w:rPr>
            </w:pPr>
          </w:p>
        </w:tc>
        <w:tc>
          <w:tcPr>
            <w:tcW w:w="840" w:type="dxa"/>
            <w:vAlign w:val="bottom"/>
            <w:tcBorders>
              <w:bottom w:val="single" w:sz="8" w:color="00539B"/>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00539B"/>
            </w:tcBorders>
          </w:tcPr>
          <w:p>
            <w:pPr>
              <w:spacing w:after="0"/>
              <w:rPr>
                <w:sz w:val="20"/>
                <w:szCs w:val="20"/>
                <w:color w:val="auto"/>
              </w:rPr>
            </w:pPr>
          </w:p>
        </w:tc>
        <w:tc>
          <w:tcPr>
            <w:tcW w:w="780" w:type="dxa"/>
            <w:vAlign w:val="bottom"/>
            <w:tcBorders>
              <w:bottom w:val="single" w:sz="8" w:color="00539B"/>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4760" w:type="dxa"/>
            <w:vAlign w:val="bottom"/>
          </w:tcPr>
          <w:p>
            <w:pPr>
              <w:ind w:left="20"/>
              <w:spacing w:after="0"/>
              <w:rPr>
                <w:sz w:val="20"/>
                <w:szCs w:val="20"/>
                <w:color w:val="auto"/>
              </w:rPr>
            </w:pPr>
            <w:r>
              <w:rPr>
                <w:rFonts w:ascii="Arial" w:cs="Arial" w:eastAsia="Arial" w:hAnsi="Arial"/>
                <w:sz w:val="18"/>
                <w:szCs w:val="18"/>
                <w:color w:val="auto"/>
              </w:rPr>
              <w:t>Balance, November 30, 2023</w:t>
            </w:r>
          </w:p>
        </w:tc>
        <w:tc>
          <w:tcPr>
            <w:tcW w:w="840" w:type="dxa"/>
            <w:vAlign w:val="bottom"/>
          </w:tcPr>
          <w:p>
            <w:pPr>
              <w:jc w:val="right"/>
              <w:spacing w:after="0"/>
              <w:rPr>
                <w:sz w:val="20"/>
                <w:szCs w:val="20"/>
                <w:color w:val="auto"/>
              </w:rPr>
            </w:pPr>
            <w:r>
              <w:rPr>
                <w:rFonts w:ascii="Arial" w:cs="Arial" w:eastAsia="Arial" w:hAnsi="Arial"/>
                <w:sz w:val="18"/>
                <w:szCs w:val="18"/>
                <w:color w:val="auto"/>
              </w:rPr>
              <w:t>16.8</w:t>
            </w:r>
          </w:p>
        </w:tc>
        <w:tc>
          <w:tcPr>
            <w:tcW w:w="840" w:type="dxa"/>
            <w:vAlign w:val="bottom"/>
          </w:tcPr>
          <w:p>
            <w:pPr>
              <w:jc w:val="right"/>
              <w:spacing w:after="0"/>
              <w:rPr>
                <w:sz w:val="20"/>
                <w:szCs w:val="20"/>
                <w:color w:val="auto"/>
              </w:rPr>
            </w:pPr>
            <w:r>
              <w:rPr>
                <w:rFonts w:ascii="Arial" w:cs="Arial" w:eastAsia="Arial" w:hAnsi="Arial"/>
                <w:sz w:val="18"/>
                <w:szCs w:val="18"/>
                <w:color w:val="auto"/>
              </w:rPr>
              <w:t>251.3</w:t>
            </w:r>
          </w:p>
        </w:tc>
        <w:tc>
          <w:tcPr>
            <w:tcW w:w="840" w:type="dxa"/>
            <w:vAlign w:val="bottom"/>
          </w:tcPr>
          <w:p>
            <w:pPr>
              <w:jc w:val="right"/>
              <w:spacing w:after="0"/>
              <w:rPr>
                <w:sz w:val="20"/>
                <w:szCs w:val="20"/>
                <w:color w:val="auto"/>
              </w:rPr>
            </w:pPr>
            <w:r>
              <w:rPr>
                <w:rFonts w:ascii="Arial" w:cs="Arial" w:eastAsia="Arial" w:hAnsi="Arial"/>
                <w:sz w:val="18"/>
                <w:szCs w:val="18"/>
                <w:color w:val="auto"/>
                <w:w w:val="98"/>
              </w:rPr>
              <w:t>$ 2,199.6</w:t>
            </w:r>
          </w:p>
        </w:tc>
        <w:tc>
          <w:tcPr>
            <w:tcW w:w="860" w:type="dxa"/>
            <w:vAlign w:val="bottom"/>
          </w:tcPr>
          <w:p>
            <w:pPr>
              <w:jc w:val="right"/>
              <w:spacing w:after="0"/>
              <w:rPr>
                <w:sz w:val="20"/>
                <w:szCs w:val="20"/>
                <w:color w:val="auto"/>
              </w:rPr>
            </w:pPr>
            <w:r>
              <w:rPr>
                <w:rFonts w:ascii="Arial" w:cs="Arial" w:eastAsia="Arial" w:hAnsi="Arial"/>
                <w:sz w:val="18"/>
                <w:szCs w:val="18"/>
                <w:color w:val="auto"/>
              </w:rPr>
              <w:t>$ 3,249.7</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(388.6)</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5,083.5</w:t>
            </w:r>
          </w:p>
        </w:tc>
        <w:tc>
          <w:tcPr>
            <w:tcW w:w="0" w:type="dxa"/>
            <w:vAlign w:val="bottom"/>
          </w:tcPr>
          <w:p>
            <w:pPr>
              <w:spacing w:after="0"/>
              <w:rPr>
                <w:sz w:val="1"/>
                <w:szCs w:val="1"/>
                <w:color w:val="auto"/>
              </w:rPr>
            </w:pP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788.5</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788.5</w:t>
            </w:r>
          </w:p>
        </w:tc>
        <w:tc>
          <w:tcPr>
            <w:tcW w:w="0" w:type="dxa"/>
            <w:vAlign w:val="bottom"/>
          </w:tcPr>
          <w:p>
            <w:pPr>
              <w:spacing w:after="0"/>
              <w:rPr>
                <w:sz w:val="1"/>
                <w:szCs w:val="1"/>
                <w:color w:val="auto"/>
              </w:rPr>
            </w:pPr>
          </w:p>
        </w:tc>
      </w:tr>
      <w:tr>
        <w:trPr>
          <w:trHeight w:val="229"/>
        </w:trPr>
        <w:tc>
          <w:tcPr>
            <w:tcW w:w="4760" w:type="dxa"/>
            <w:vAlign w:val="bottom"/>
          </w:tcPr>
          <w:p>
            <w:pPr>
              <w:ind w:left="20"/>
              <w:spacing w:after="0"/>
              <w:rPr>
                <w:sz w:val="20"/>
                <w:szCs w:val="20"/>
                <w:color w:val="auto"/>
              </w:rPr>
            </w:pPr>
            <w:r>
              <w:rPr>
                <w:rFonts w:ascii="Arial" w:cs="Arial" w:eastAsia="Arial" w:hAnsi="Arial"/>
                <w:sz w:val="18"/>
                <w:szCs w:val="18"/>
                <w:color w:val="auto"/>
              </w:rPr>
              <w:t>Net income attributable to non-controlling interest</w:t>
            </w: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9"/>
        </w:trPr>
        <w:tc>
          <w:tcPr>
            <w:tcW w:w="476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(102.6)</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auto"/>
              </w:rPr>
              <w:t>Dividends</w:t>
            </w: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(459.1)</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(459.1)</w:t>
            </w:r>
          </w:p>
        </w:tc>
        <w:tc>
          <w:tcPr>
            <w:tcW w:w="0" w:type="dxa"/>
            <w:vAlign w:val="bottom"/>
          </w:tcPr>
          <w:p>
            <w:pPr>
              <w:spacing w:after="0"/>
              <w:rPr>
                <w:sz w:val="1"/>
                <w:szCs w:val="1"/>
                <w:color w:val="auto"/>
              </w:rPr>
            </w:pPr>
          </w:p>
        </w:tc>
      </w:tr>
      <w:tr>
        <w:trPr>
          <w:trHeight w:val="229"/>
        </w:trPr>
        <w:tc>
          <w:tcPr>
            <w:tcW w:w="476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47.4</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29"/>
        </w:trPr>
        <w:tc>
          <w:tcPr>
            <w:tcW w:w="4760" w:type="dxa"/>
            <w:vAlign w:val="bottom"/>
          </w:tcPr>
          <w:p>
            <w:pPr>
              <w:ind w:left="20"/>
              <w:spacing w:after="0"/>
              <w:rPr>
                <w:sz w:val="20"/>
                <w:szCs w:val="20"/>
                <w:color w:val="auto"/>
              </w:rPr>
            </w:pPr>
            <w:r>
              <w:rPr>
                <w:rFonts w:ascii="Arial" w:cs="Arial" w:eastAsia="Arial" w:hAnsi="Arial"/>
                <w:sz w:val="18"/>
                <w:szCs w:val="18"/>
                <w:color w:val="auto"/>
              </w:rPr>
              <w:t>Shares purchased and retired</w:t>
            </w:r>
          </w:p>
        </w:tc>
        <w:tc>
          <w:tcPr>
            <w:tcW w:w="840" w:type="dxa"/>
            <w:vAlign w:val="bottom"/>
          </w:tcPr>
          <w:p>
            <w:pPr>
              <w:jc w:val="right"/>
              <w:spacing w:after="0"/>
              <w:rPr>
                <w:sz w:val="20"/>
                <w:szCs w:val="20"/>
                <w:color w:val="auto"/>
              </w:rPr>
            </w:pPr>
            <w:r>
              <w:rPr>
                <w:rFonts w:ascii="Arial" w:cs="Arial" w:eastAsia="Arial" w:hAnsi="Arial"/>
                <w:sz w:val="18"/>
                <w:szCs w:val="18"/>
                <w:color w:val="auto"/>
              </w:rPr>
              <w:t>(0.9)</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(29.6)</w:t>
            </w:r>
          </w:p>
        </w:tc>
        <w:tc>
          <w:tcPr>
            <w:tcW w:w="860" w:type="dxa"/>
            <w:vAlign w:val="bottom"/>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auto"/>
              </w:rPr>
              <w:t>Shares issued</w:t>
            </w:r>
          </w:p>
        </w:tc>
        <w:tc>
          <w:tcPr>
            <w:tcW w:w="840" w:type="dxa"/>
            <w:vAlign w:val="bottom"/>
          </w:tcPr>
          <w:p>
            <w:pPr>
              <w:jc w:val="right"/>
              <w:spacing w:after="0"/>
              <w:rPr>
                <w:sz w:val="20"/>
                <w:szCs w:val="20"/>
                <w:color w:val="auto"/>
              </w:rPr>
            </w:pPr>
            <w:r>
              <w:rPr>
                <w:rFonts w:ascii="Arial" w:cs="Arial" w:eastAsia="Arial" w:hAnsi="Arial"/>
                <w:sz w:val="18"/>
                <w:szCs w:val="18"/>
                <w:color w:val="auto"/>
              </w:rPr>
              <w:t>0.8</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19.8</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35"/>
        </w:trPr>
        <w:tc>
          <w:tcPr>
            <w:tcW w:w="4760" w:type="dxa"/>
            <w:vAlign w:val="bottom"/>
            <w:tcBorders>
              <w:bottom w:val="single" w:sz="8" w:color="00539B"/>
            </w:tcBorders>
          </w:tcPr>
          <w:p>
            <w:pPr>
              <w:ind w:left="20"/>
              <w:spacing w:after="0"/>
              <w:rPr>
                <w:sz w:val="20"/>
                <w:szCs w:val="20"/>
                <w:color w:val="auto"/>
              </w:rPr>
            </w:pPr>
            <w:r>
              <w:rPr>
                <w:rFonts w:ascii="Arial" w:cs="Arial" w:eastAsia="Arial" w:hAnsi="Arial"/>
                <w:sz w:val="18"/>
                <w:szCs w:val="18"/>
                <w:color w:val="auto"/>
              </w:rPr>
              <w:t>Equal exchange</w:t>
            </w:r>
          </w:p>
        </w:tc>
        <w:tc>
          <w:tcPr>
            <w:tcW w:w="840" w:type="dxa"/>
            <w:vAlign w:val="bottom"/>
            <w:tcBorders>
              <w:bottom w:val="single" w:sz="8" w:color="00539B"/>
            </w:tcBorders>
          </w:tcPr>
          <w:p>
            <w:pPr>
              <w:jc w:val="right"/>
              <w:spacing w:after="0"/>
              <w:rPr>
                <w:sz w:val="20"/>
                <w:szCs w:val="20"/>
                <w:color w:val="auto"/>
              </w:rPr>
            </w:pPr>
            <w:r>
              <w:rPr>
                <w:rFonts w:ascii="Arial" w:cs="Arial" w:eastAsia="Arial" w:hAnsi="Arial"/>
                <w:sz w:val="18"/>
                <w:szCs w:val="18"/>
                <w:color w:val="auto"/>
              </w:rPr>
              <w:t>(1.0)</w:t>
            </w:r>
          </w:p>
        </w:tc>
        <w:tc>
          <w:tcPr>
            <w:tcW w:w="840" w:type="dxa"/>
            <w:vAlign w:val="bottom"/>
            <w:tcBorders>
              <w:bottom w:val="single" w:sz="8" w:color="00539B"/>
            </w:tcBorders>
          </w:tcPr>
          <w:p>
            <w:pPr>
              <w:jc w:val="right"/>
              <w:spacing w:after="0"/>
              <w:rPr>
                <w:sz w:val="20"/>
                <w:szCs w:val="20"/>
                <w:color w:val="auto"/>
              </w:rPr>
            </w:pPr>
            <w:r>
              <w:rPr>
                <w:rFonts w:ascii="Arial" w:cs="Arial" w:eastAsia="Arial" w:hAnsi="Arial"/>
                <w:sz w:val="18"/>
                <w:szCs w:val="18"/>
                <w:color w:val="auto"/>
              </w:rPr>
              <w:t>1.0</w:t>
            </w:r>
          </w:p>
        </w:tc>
        <w:tc>
          <w:tcPr>
            <w:tcW w:w="840" w:type="dxa"/>
            <w:vAlign w:val="bottom"/>
            <w:tcBorders>
              <w:bottom w:val="single" w:sz="8" w:color="00539B"/>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00539B"/>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00539B"/>
            </w:tcBorders>
          </w:tcPr>
          <w:p>
            <w:pPr>
              <w:spacing w:after="0"/>
              <w:rPr>
                <w:sz w:val="20"/>
                <w:szCs w:val="20"/>
                <w:color w:val="auto"/>
              </w:rPr>
            </w:pPr>
          </w:p>
        </w:tc>
        <w:tc>
          <w:tcPr>
            <w:tcW w:w="960" w:type="dxa"/>
            <w:vAlign w:val="bottom"/>
            <w:tcBorders>
              <w:bottom w:val="single" w:sz="8" w:color="00539B"/>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00539B"/>
            </w:tcBorders>
          </w:tcPr>
          <w:p>
            <w:pPr>
              <w:spacing w:after="0"/>
              <w:rPr>
                <w:sz w:val="20"/>
                <w:szCs w:val="20"/>
                <w:color w:val="auto"/>
              </w:rPr>
            </w:pPr>
          </w:p>
        </w:tc>
        <w:tc>
          <w:tcPr>
            <w:tcW w:w="840" w:type="dxa"/>
            <w:vAlign w:val="bottom"/>
            <w:tcBorders>
              <w:bottom w:val="single" w:sz="8" w:color="00539B"/>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00539B"/>
            </w:tcBorders>
          </w:tcPr>
          <w:p>
            <w:pPr>
              <w:spacing w:after="0"/>
              <w:rPr>
                <w:sz w:val="20"/>
                <w:szCs w:val="20"/>
                <w:color w:val="auto"/>
              </w:rPr>
            </w:pPr>
          </w:p>
        </w:tc>
        <w:tc>
          <w:tcPr>
            <w:tcW w:w="780" w:type="dxa"/>
            <w:vAlign w:val="bottom"/>
            <w:tcBorders>
              <w:bottom w:val="single" w:sz="8" w:color="00539B"/>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60" w:type="dxa"/>
            <w:vAlign w:val="bottom"/>
          </w:tcPr>
          <w:p>
            <w:pPr>
              <w:ind w:left="20"/>
              <w:spacing w:after="0"/>
              <w:rPr>
                <w:sz w:val="20"/>
                <w:szCs w:val="20"/>
                <w:color w:val="auto"/>
              </w:rPr>
            </w:pPr>
            <w:r>
              <w:rPr>
                <w:rFonts w:ascii="Arial" w:cs="Arial" w:eastAsia="Arial" w:hAnsi="Arial"/>
                <w:sz w:val="18"/>
                <w:szCs w:val="18"/>
                <w:color w:val="auto"/>
              </w:rPr>
              <w:t>Balance, November 30, 2024</w:t>
            </w:r>
          </w:p>
        </w:tc>
        <w:tc>
          <w:tcPr>
            <w:tcW w:w="840" w:type="dxa"/>
            <w:vAlign w:val="bottom"/>
          </w:tcPr>
          <w:p>
            <w:pPr>
              <w:jc w:val="right"/>
              <w:spacing w:after="0"/>
              <w:rPr>
                <w:sz w:val="20"/>
                <w:szCs w:val="20"/>
                <w:color w:val="auto"/>
              </w:rPr>
            </w:pPr>
            <w:r>
              <w:rPr>
                <w:rFonts w:ascii="Arial" w:cs="Arial" w:eastAsia="Arial" w:hAnsi="Arial"/>
                <w:sz w:val="18"/>
                <w:szCs w:val="18"/>
                <w:color w:val="auto"/>
              </w:rPr>
              <w:t>15.7</w:t>
            </w:r>
          </w:p>
        </w:tc>
        <w:tc>
          <w:tcPr>
            <w:tcW w:w="840" w:type="dxa"/>
            <w:vAlign w:val="bottom"/>
          </w:tcPr>
          <w:p>
            <w:pPr>
              <w:jc w:val="right"/>
              <w:spacing w:after="0"/>
              <w:rPr>
                <w:sz w:val="20"/>
                <w:szCs w:val="20"/>
                <w:color w:val="auto"/>
              </w:rPr>
            </w:pPr>
            <w:r>
              <w:rPr>
                <w:rFonts w:ascii="Arial" w:cs="Arial" w:eastAsia="Arial" w:hAnsi="Arial"/>
                <w:sz w:val="18"/>
                <w:szCs w:val="18"/>
                <w:color w:val="auto"/>
              </w:rPr>
              <w:t>252.3</w:t>
            </w:r>
          </w:p>
        </w:tc>
        <w:tc>
          <w:tcPr>
            <w:tcW w:w="840" w:type="dxa"/>
            <w:vAlign w:val="bottom"/>
          </w:tcPr>
          <w:p>
            <w:pPr>
              <w:jc w:val="right"/>
              <w:spacing w:after="0"/>
              <w:rPr>
                <w:sz w:val="20"/>
                <w:szCs w:val="20"/>
                <w:color w:val="auto"/>
              </w:rPr>
            </w:pPr>
            <w:r>
              <w:rPr>
                <w:rFonts w:ascii="Arial" w:cs="Arial" w:eastAsia="Arial" w:hAnsi="Arial"/>
                <w:sz w:val="18"/>
                <w:szCs w:val="18"/>
                <w:color w:val="auto"/>
                <w:w w:val="98"/>
              </w:rPr>
              <w:t>$ 2,237.2</w:t>
            </w:r>
          </w:p>
        </w:tc>
        <w:tc>
          <w:tcPr>
            <w:tcW w:w="860" w:type="dxa"/>
            <w:vAlign w:val="bottom"/>
          </w:tcPr>
          <w:p>
            <w:pPr>
              <w:jc w:val="right"/>
              <w:spacing w:after="0"/>
              <w:rPr>
                <w:sz w:val="20"/>
                <w:szCs w:val="20"/>
                <w:color w:val="auto"/>
              </w:rPr>
            </w:pPr>
            <w:r>
              <w:rPr>
                <w:rFonts w:ascii="Arial" w:cs="Arial" w:eastAsia="Arial" w:hAnsi="Arial"/>
                <w:sz w:val="18"/>
                <w:szCs w:val="18"/>
                <w:color w:val="auto"/>
              </w:rPr>
              <w:t>$ 3,545.0</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(491.2)</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5,316.8</w:t>
            </w:r>
          </w:p>
        </w:tc>
        <w:tc>
          <w:tcPr>
            <w:tcW w:w="0" w:type="dxa"/>
            <w:vAlign w:val="bottom"/>
          </w:tcPr>
          <w:p>
            <w:pPr>
              <w:spacing w:after="0"/>
              <w:rPr>
                <w:sz w:val="1"/>
                <w:szCs w:val="1"/>
                <w:color w:val="auto"/>
              </w:rPr>
            </w:pPr>
          </w:p>
        </w:tc>
      </w:tr>
      <w:tr>
        <w:trPr>
          <w:trHeight w:val="230"/>
        </w:trPr>
        <w:tc>
          <w:tcPr>
            <w:tcW w:w="4760" w:type="dxa"/>
            <w:vAlign w:val="bottom"/>
            <w:shd w:val="clear" w:color="auto" w:fill="E0E3F1"/>
          </w:tcPr>
          <w:p>
            <w:pPr>
              <w:ind w:left="20"/>
              <w:spacing w:after="0"/>
              <w:rPr>
                <w:sz w:val="20"/>
                <w:szCs w:val="20"/>
                <w:color w:val="auto"/>
              </w:rPr>
            </w:pPr>
            <w:r>
              <w:rPr>
                <w:rFonts w:ascii="Arial" w:cs="Arial" w:eastAsia="Arial" w:hAnsi="Arial"/>
                <w:sz w:val="18"/>
                <w:szCs w:val="18"/>
                <w:color w:val="auto"/>
              </w:rPr>
              <w:t>Net income</w:t>
            </w:r>
          </w:p>
        </w:tc>
        <w:tc>
          <w:tcPr>
            <w:tcW w:w="840" w:type="dxa"/>
            <w:vAlign w:val="bottom"/>
            <w:shd w:val="clear" w:color="auto" w:fill="E0E3F1"/>
          </w:tcPr>
          <w:p>
            <w:pPr>
              <w:spacing w:after="0"/>
              <w:rPr>
                <w:sz w:val="19"/>
                <w:szCs w:val="19"/>
                <w:color w:val="auto"/>
              </w:rPr>
            </w:pPr>
          </w:p>
        </w:tc>
        <w:tc>
          <w:tcPr>
            <w:tcW w:w="840" w:type="dxa"/>
            <w:vAlign w:val="bottom"/>
            <w:shd w:val="clear" w:color="auto" w:fill="E0E3F1"/>
          </w:tcPr>
          <w:p>
            <w:pPr>
              <w:spacing w:after="0"/>
              <w:rPr>
                <w:sz w:val="19"/>
                <w:szCs w:val="19"/>
                <w:color w:val="auto"/>
              </w:rPr>
            </w:pPr>
          </w:p>
        </w:tc>
        <w:tc>
          <w:tcPr>
            <w:tcW w:w="840" w:type="dxa"/>
            <w:vAlign w:val="bottom"/>
            <w:shd w:val="clear" w:color="auto" w:fill="E0E3F1"/>
          </w:tcPr>
          <w:p>
            <w:pPr>
              <w:spacing w:after="0"/>
              <w:rPr>
                <w:sz w:val="19"/>
                <w:szCs w:val="19"/>
                <w:color w:val="auto"/>
              </w:rPr>
            </w:pPr>
          </w:p>
        </w:tc>
        <w:tc>
          <w:tcPr>
            <w:tcW w:w="860" w:type="dxa"/>
            <w:vAlign w:val="bottom"/>
            <w:shd w:val="clear" w:color="auto" w:fill="E0E3F1"/>
          </w:tcPr>
          <w:p>
            <w:pPr>
              <w:jc w:val="right"/>
              <w:spacing w:after="0"/>
              <w:rPr>
                <w:sz w:val="20"/>
                <w:szCs w:val="20"/>
                <w:color w:val="auto"/>
              </w:rPr>
            </w:pPr>
            <w:r>
              <w:rPr>
                <w:rFonts w:ascii="Arial" w:cs="Arial" w:eastAsia="Arial" w:hAnsi="Arial"/>
                <w:sz w:val="18"/>
                <w:szCs w:val="18"/>
                <w:color w:val="auto"/>
              </w:rPr>
              <w:t>789.4</w:t>
            </w:r>
          </w:p>
        </w:tc>
        <w:tc>
          <w:tcPr>
            <w:tcW w:w="120" w:type="dxa"/>
            <w:vAlign w:val="bottom"/>
            <w:shd w:val="clear" w:color="auto" w:fill="E0E3F1"/>
          </w:tcPr>
          <w:p>
            <w:pPr>
              <w:spacing w:after="0"/>
              <w:rPr>
                <w:sz w:val="19"/>
                <w:szCs w:val="19"/>
                <w:color w:val="auto"/>
              </w:rPr>
            </w:pPr>
          </w:p>
        </w:tc>
        <w:tc>
          <w:tcPr>
            <w:tcW w:w="960" w:type="dxa"/>
            <w:vAlign w:val="bottom"/>
            <w:shd w:val="clear" w:color="auto" w:fill="E0E3F1"/>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E0E3F1"/>
          </w:tcPr>
          <w:p>
            <w:pPr>
              <w:spacing w:after="0"/>
              <w:rPr>
                <w:sz w:val="19"/>
                <w:szCs w:val="19"/>
                <w:color w:val="auto"/>
              </w:rPr>
            </w:pPr>
          </w:p>
        </w:tc>
        <w:tc>
          <w:tcPr>
            <w:tcW w:w="840" w:type="dxa"/>
            <w:vAlign w:val="bottom"/>
            <w:shd w:val="clear" w:color="auto" w:fill="E0E3F1"/>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E0E3F1"/>
          </w:tcPr>
          <w:p>
            <w:pPr>
              <w:spacing w:after="0"/>
              <w:rPr>
                <w:sz w:val="19"/>
                <w:szCs w:val="19"/>
                <w:color w:val="auto"/>
              </w:rPr>
            </w:pPr>
          </w:p>
        </w:tc>
        <w:tc>
          <w:tcPr>
            <w:tcW w:w="780" w:type="dxa"/>
            <w:vAlign w:val="bottom"/>
            <w:shd w:val="clear" w:color="auto" w:fill="E0E3F1"/>
          </w:tcPr>
          <w:p>
            <w:pPr>
              <w:jc w:val="right"/>
              <w:spacing w:after="0"/>
              <w:rPr>
                <w:sz w:val="20"/>
                <w:szCs w:val="20"/>
                <w:color w:val="auto"/>
              </w:rPr>
            </w:pPr>
            <w:r>
              <w:rPr>
                <w:rFonts w:ascii="Arial" w:cs="Arial" w:eastAsia="Arial" w:hAnsi="Arial"/>
                <w:sz w:val="18"/>
                <w:szCs w:val="18"/>
                <w:color w:val="auto"/>
              </w:rPr>
              <w:t>789.4</w:t>
            </w:r>
          </w:p>
        </w:tc>
        <w:tc>
          <w:tcPr>
            <w:tcW w:w="0" w:type="dxa"/>
            <w:vAlign w:val="bottom"/>
          </w:tcPr>
          <w:p>
            <w:pPr>
              <w:spacing w:after="0"/>
              <w:rPr>
                <w:sz w:val="1"/>
                <w:szCs w:val="1"/>
                <w:color w:val="auto"/>
              </w:rPr>
            </w:pPr>
          </w:p>
        </w:tc>
      </w:tr>
      <w:tr>
        <w:trPr>
          <w:trHeight w:val="229"/>
        </w:trPr>
        <w:tc>
          <w:tcPr>
            <w:tcW w:w="4760" w:type="dxa"/>
            <w:vAlign w:val="bottom"/>
            <w:shd w:val="clear" w:color="auto" w:fill="E0E3F1"/>
          </w:tcPr>
          <w:p>
            <w:pPr>
              <w:ind w:left="20"/>
              <w:spacing w:after="0"/>
              <w:rPr>
                <w:sz w:val="20"/>
                <w:szCs w:val="20"/>
                <w:color w:val="auto"/>
              </w:rPr>
            </w:pPr>
            <w:r>
              <w:rPr>
                <w:rFonts w:ascii="Arial" w:cs="Arial" w:eastAsia="Arial" w:hAnsi="Arial"/>
                <w:sz w:val="18"/>
                <w:szCs w:val="18"/>
                <w:color w:val="auto"/>
              </w:rPr>
              <w:t>Net income attributable to non-controlling interest</w:t>
            </w:r>
          </w:p>
        </w:tc>
        <w:tc>
          <w:tcPr>
            <w:tcW w:w="840" w:type="dxa"/>
            <w:vAlign w:val="bottom"/>
            <w:shd w:val="clear" w:color="auto" w:fill="E0E3F1"/>
          </w:tcPr>
          <w:p>
            <w:pPr>
              <w:spacing w:after="0"/>
              <w:rPr>
                <w:sz w:val="19"/>
                <w:szCs w:val="19"/>
                <w:color w:val="auto"/>
              </w:rPr>
            </w:pPr>
          </w:p>
        </w:tc>
        <w:tc>
          <w:tcPr>
            <w:tcW w:w="840" w:type="dxa"/>
            <w:vAlign w:val="bottom"/>
            <w:shd w:val="clear" w:color="auto" w:fill="E0E3F1"/>
          </w:tcPr>
          <w:p>
            <w:pPr>
              <w:spacing w:after="0"/>
              <w:rPr>
                <w:sz w:val="19"/>
                <w:szCs w:val="19"/>
                <w:color w:val="auto"/>
              </w:rPr>
            </w:pPr>
          </w:p>
        </w:tc>
        <w:tc>
          <w:tcPr>
            <w:tcW w:w="840" w:type="dxa"/>
            <w:vAlign w:val="bottom"/>
            <w:shd w:val="clear" w:color="auto" w:fill="E0E3F1"/>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0E3F1"/>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0E3F1"/>
          </w:tcPr>
          <w:p>
            <w:pPr>
              <w:spacing w:after="0"/>
              <w:rPr>
                <w:sz w:val="19"/>
                <w:szCs w:val="19"/>
                <w:color w:val="auto"/>
              </w:rPr>
            </w:pPr>
          </w:p>
        </w:tc>
        <w:tc>
          <w:tcPr>
            <w:tcW w:w="960" w:type="dxa"/>
            <w:vAlign w:val="bottom"/>
            <w:shd w:val="clear" w:color="auto" w:fill="E0E3F1"/>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E0E3F1"/>
          </w:tcPr>
          <w:p>
            <w:pPr>
              <w:spacing w:after="0"/>
              <w:rPr>
                <w:sz w:val="19"/>
                <w:szCs w:val="19"/>
                <w:color w:val="auto"/>
              </w:rPr>
            </w:pPr>
          </w:p>
        </w:tc>
        <w:tc>
          <w:tcPr>
            <w:tcW w:w="840" w:type="dxa"/>
            <w:vAlign w:val="bottom"/>
            <w:shd w:val="clear" w:color="auto" w:fill="E0E3F1"/>
          </w:tcPr>
          <w:p>
            <w:pPr>
              <w:jc w:val="right"/>
              <w:spacing w:after="0"/>
              <w:rPr>
                <w:sz w:val="20"/>
                <w:szCs w:val="20"/>
                <w:color w:val="auto"/>
              </w:rPr>
            </w:pPr>
            <w:r>
              <w:rPr>
                <w:rFonts w:ascii="Arial" w:cs="Arial" w:eastAsia="Arial" w:hAnsi="Arial"/>
                <w:sz w:val="18"/>
                <w:szCs w:val="18"/>
                <w:color w:val="auto"/>
              </w:rPr>
              <w:t>6.1</w:t>
            </w:r>
          </w:p>
        </w:tc>
        <w:tc>
          <w:tcPr>
            <w:tcW w:w="200" w:type="dxa"/>
            <w:vAlign w:val="bottom"/>
            <w:shd w:val="clear" w:color="auto" w:fill="E0E3F1"/>
          </w:tcPr>
          <w:p>
            <w:pPr>
              <w:spacing w:after="0"/>
              <w:rPr>
                <w:sz w:val="19"/>
                <w:szCs w:val="19"/>
                <w:color w:val="auto"/>
              </w:rPr>
            </w:pPr>
          </w:p>
        </w:tc>
        <w:tc>
          <w:tcPr>
            <w:tcW w:w="780" w:type="dxa"/>
            <w:vAlign w:val="bottom"/>
            <w:shd w:val="clear" w:color="auto" w:fill="E0E3F1"/>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4760" w:type="dxa"/>
            <w:vAlign w:val="bottom"/>
            <w:shd w:val="clear" w:color="auto" w:fill="E0E3F1"/>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840" w:type="dxa"/>
            <w:vAlign w:val="bottom"/>
            <w:shd w:val="clear" w:color="auto" w:fill="E0E3F1"/>
          </w:tcPr>
          <w:p>
            <w:pPr>
              <w:spacing w:after="0"/>
              <w:rPr>
                <w:sz w:val="19"/>
                <w:szCs w:val="19"/>
                <w:color w:val="auto"/>
              </w:rPr>
            </w:pPr>
          </w:p>
        </w:tc>
        <w:tc>
          <w:tcPr>
            <w:tcW w:w="840" w:type="dxa"/>
            <w:vAlign w:val="bottom"/>
            <w:shd w:val="clear" w:color="auto" w:fill="E0E3F1"/>
          </w:tcPr>
          <w:p>
            <w:pPr>
              <w:spacing w:after="0"/>
              <w:rPr>
                <w:sz w:val="19"/>
                <w:szCs w:val="19"/>
                <w:color w:val="auto"/>
              </w:rPr>
            </w:pPr>
          </w:p>
        </w:tc>
        <w:tc>
          <w:tcPr>
            <w:tcW w:w="840" w:type="dxa"/>
            <w:vAlign w:val="bottom"/>
            <w:shd w:val="clear" w:color="auto" w:fill="E0E3F1"/>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0E3F1"/>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0E3F1"/>
          </w:tcPr>
          <w:p>
            <w:pPr>
              <w:spacing w:after="0"/>
              <w:rPr>
                <w:sz w:val="19"/>
                <w:szCs w:val="19"/>
                <w:color w:val="auto"/>
              </w:rPr>
            </w:pPr>
          </w:p>
        </w:tc>
        <w:tc>
          <w:tcPr>
            <w:tcW w:w="960" w:type="dxa"/>
            <w:vAlign w:val="bottom"/>
            <w:shd w:val="clear" w:color="auto" w:fill="E0E3F1"/>
          </w:tcPr>
          <w:p>
            <w:pPr>
              <w:jc w:val="right"/>
              <w:spacing w:after="0"/>
              <w:rPr>
                <w:sz w:val="20"/>
                <w:szCs w:val="20"/>
                <w:color w:val="auto"/>
              </w:rPr>
            </w:pPr>
            <w:r>
              <w:rPr>
                <w:rFonts w:ascii="Arial" w:cs="Arial" w:eastAsia="Arial" w:hAnsi="Arial"/>
                <w:sz w:val="18"/>
                <w:szCs w:val="18"/>
                <w:color w:val="auto"/>
              </w:rPr>
              <w:t>128.1</w:t>
            </w:r>
          </w:p>
        </w:tc>
        <w:tc>
          <w:tcPr>
            <w:tcW w:w="140" w:type="dxa"/>
            <w:vAlign w:val="bottom"/>
            <w:shd w:val="clear" w:color="auto" w:fill="E0E3F1"/>
          </w:tcPr>
          <w:p>
            <w:pPr>
              <w:spacing w:after="0"/>
              <w:rPr>
                <w:sz w:val="19"/>
                <w:szCs w:val="19"/>
                <w:color w:val="auto"/>
              </w:rPr>
            </w:pPr>
          </w:p>
        </w:tc>
        <w:tc>
          <w:tcPr>
            <w:tcW w:w="840" w:type="dxa"/>
            <w:vAlign w:val="bottom"/>
            <w:shd w:val="clear" w:color="auto" w:fill="E0E3F1"/>
          </w:tcPr>
          <w:p>
            <w:pPr>
              <w:jc w:val="right"/>
              <w:spacing w:after="0"/>
              <w:rPr>
                <w:sz w:val="20"/>
                <w:szCs w:val="20"/>
                <w:color w:val="auto"/>
              </w:rPr>
            </w:pPr>
            <w:r>
              <w:rPr>
                <w:rFonts w:ascii="Arial" w:cs="Arial" w:eastAsia="Arial" w:hAnsi="Arial"/>
                <w:sz w:val="18"/>
                <w:szCs w:val="18"/>
                <w:color w:val="auto"/>
              </w:rPr>
              <w:t>(0.3)</w:t>
            </w:r>
          </w:p>
        </w:tc>
        <w:tc>
          <w:tcPr>
            <w:tcW w:w="200" w:type="dxa"/>
            <w:vAlign w:val="bottom"/>
            <w:shd w:val="clear" w:color="auto" w:fill="E0E3F1"/>
          </w:tcPr>
          <w:p>
            <w:pPr>
              <w:spacing w:after="0"/>
              <w:rPr>
                <w:sz w:val="19"/>
                <w:szCs w:val="19"/>
                <w:color w:val="auto"/>
              </w:rPr>
            </w:pPr>
          </w:p>
        </w:tc>
        <w:tc>
          <w:tcPr>
            <w:tcW w:w="780" w:type="dxa"/>
            <w:vAlign w:val="bottom"/>
            <w:shd w:val="clear" w:color="auto" w:fill="E0E3F1"/>
          </w:tcPr>
          <w:p>
            <w:pPr>
              <w:jc w:val="right"/>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30"/>
        </w:trPr>
        <w:tc>
          <w:tcPr>
            <w:tcW w:w="4760" w:type="dxa"/>
            <w:vAlign w:val="bottom"/>
            <w:shd w:val="clear" w:color="auto" w:fill="E0E3F1"/>
          </w:tcPr>
          <w:p>
            <w:pPr>
              <w:ind w:left="20"/>
              <w:spacing w:after="0"/>
              <w:rPr>
                <w:sz w:val="20"/>
                <w:szCs w:val="20"/>
                <w:color w:val="auto"/>
              </w:rPr>
            </w:pPr>
            <w:r>
              <w:rPr>
                <w:rFonts w:ascii="Arial" w:cs="Arial" w:eastAsia="Arial" w:hAnsi="Arial"/>
                <w:sz w:val="18"/>
                <w:szCs w:val="18"/>
                <w:color w:val="auto"/>
              </w:rPr>
              <w:t>Dividends</w:t>
            </w:r>
          </w:p>
        </w:tc>
        <w:tc>
          <w:tcPr>
            <w:tcW w:w="840" w:type="dxa"/>
            <w:vAlign w:val="bottom"/>
            <w:shd w:val="clear" w:color="auto" w:fill="E0E3F1"/>
          </w:tcPr>
          <w:p>
            <w:pPr>
              <w:spacing w:after="0"/>
              <w:rPr>
                <w:sz w:val="19"/>
                <w:szCs w:val="19"/>
                <w:color w:val="auto"/>
              </w:rPr>
            </w:pPr>
          </w:p>
        </w:tc>
        <w:tc>
          <w:tcPr>
            <w:tcW w:w="840" w:type="dxa"/>
            <w:vAlign w:val="bottom"/>
            <w:shd w:val="clear" w:color="auto" w:fill="E0E3F1"/>
          </w:tcPr>
          <w:p>
            <w:pPr>
              <w:spacing w:after="0"/>
              <w:rPr>
                <w:sz w:val="19"/>
                <w:szCs w:val="19"/>
                <w:color w:val="auto"/>
              </w:rPr>
            </w:pPr>
          </w:p>
        </w:tc>
        <w:tc>
          <w:tcPr>
            <w:tcW w:w="840" w:type="dxa"/>
            <w:vAlign w:val="bottom"/>
            <w:shd w:val="clear" w:color="auto" w:fill="E0E3F1"/>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0E3F1"/>
          </w:tcPr>
          <w:p>
            <w:pPr>
              <w:jc w:val="right"/>
              <w:spacing w:after="0"/>
              <w:rPr>
                <w:sz w:val="20"/>
                <w:szCs w:val="20"/>
                <w:color w:val="auto"/>
              </w:rPr>
            </w:pPr>
            <w:r>
              <w:rPr>
                <w:rFonts w:ascii="Arial" w:cs="Arial" w:eastAsia="Arial" w:hAnsi="Arial"/>
                <w:sz w:val="18"/>
                <w:szCs w:val="18"/>
                <w:color w:val="auto"/>
              </w:rPr>
              <w:t>(491.2)</w:t>
            </w:r>
          </w:p>
        </w:tc>
        <w:tc>
          <w:tcPr>
            <w:tcW w:w="120" w:type="dxa"/>
            <w:vAlign w:val="bottom"/>
            <w:shd w:val="clear" w:color="auto" w:fill="E0E3F1"/>
          </w:tcPr>
          <w:p>
            <w:pPr>
              <w:spacing w:after="0"/>
              <w:rPr>
                <w:sz w:val="19"/>
                <w:szCs w:val="19"/>
                <w:color w:val="auto"/>
              </w:rPr>
            </w:pPr>
          </w:p>
        </w:tc>
        <w:tc>
          <w:tcPr>
            <w:tcW w:w="960" w:type="dxa"/>
            <w:vAlign w:val="bottom"/>
            <w:shd w:val="clear" w:color="auto" w:fill="E0E3F1"/>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E0E3F1"/>
          </w:tcPr>
          <w:p>
            <w:pPr>
              <w:spacing w:after="0"/>
              <w:rPr>
                <w:sz w:val="19"/>
                <w:szCs w:val="19"/>
                <w:color w:val="auto"/>
              </w:rPr>
            </w:pPr>
          </w:p>
        </w:tc>
        <w:tc>
          <w:tcPr>
            <w:tcW w:w="840" w:type="dxa"/>
            <w:vAlign w:val="bottom"/>
            <w:shd w:val="clear" w:color="auto" w:fill="E0E3F1"/>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E0E3F1"/>
          </w:tcPr>
          <w:p>
            <w:pPr>
              <w:spacing w:after="0"/>
              <w:rPr>
                <w:sz w:val="19"/>
                <w:szCs w:val="19"/>
                <w:color w:val="auto"/>
              </w:rPr>
            </w:pPr>
          </w:p>
        </w:tc>
        <w:tc>
          <w:tcPr>
            <w:tcW w:w="780" w:type="dxa"/>
            <w:vAlign w:val="bottom"/>
            <w:shd w:val="clear" w:color="auto" w:fill="E0E3F1"/>
          </w:tcPr>
          <w:p>
            <w:pPr>
              <w:jc w:val="right"/>
              <w:spacing w:after="0"/>
              <w:rPr>
                <w:sz w:val="20"/>
                <w:szCs w:val="20"/>
                <w:color w:val="auto"/>
              </w:rPr>
            </w:pPr>
            <w:r>
              <w:rPr>
                <w:rFonts w:ascii="Arial" w:cs="Arial" w:eastAsia="Arial" w:hAnsi="Arial"/>
                <w:sz w:val="18"/>
                <w:szCs w:val="18"/>
                <w:color w:val="auto"/>
              </w:rPr>
              <w:t>(491.2)</w:t>
            </w:r>
          </w:p>
        </w:tc>
        <w:tc>
          <w:tcPr>
            <w:tcW w:w="0" w:type="dxa"/>
            <w:vAlign w:val="bottom"/>
          </w:tcPr>
          <w:p>
            <w:pPr>
              <w:spacing w:after="0"/>
              <w:rPr>
                <w:sz w:val="1"/>
                <w:szCs w:val="1"/>
                <w:color w:val="auto"/>
              </w:rPr>
            </w:pPr>
          </w:p>
        </w:tc>
      </w:tr>
      <w:tr>
        <w:trPr>
          <w:trHeight w:val="230"/>
        </w:trPr>
        <w:tc>
          <w:tcPr>
            <w:tcW w:w="4760" w:type="dxa"/>
            <w:vAlign w:val="bottom"/>
            <w:shd w:val="clear" w:color="auto" w:fill="E0E3F1"/>
          </w:tcPr>
          <w:p>
            <w:pPr>
              <w:ind w:left="20"/>
              <w:spacing w:after="0"/>
              <w:rPr>
                <w:sz w:val="20"/>
                <w:szCs w:val="20"/>
                <w:color w:val="auto"/>
              </w:rPr>
            </w:pPr>
            <w:r>
              <w:rPr>
                <w:rFonts w:ascii="Arial" w:cs="Arial" w:eastAsia="Arial" w:hAnsi="Arial"/>
                <w:sz w:val="18"/>
                <w:szCs w:val="18"/>
                <w:color w:val="auto"/>
              </w:rPr>
              <w:t>Stock-based compensation</w:t>
            </w:r>
          </w:p>
        </w:tc>
        <w:tc>
          <w:tcPr>
            <w:tcW w:w="840" w:type="dxa"/>
            <w:vAlign w:val="bottom"/>
            <w:shd w:val="clear" w:color="auto" w:fill="E0E3F1"/>
          </w:tcPr>
          <w:p>
            <w:pPr>
              <w:spacing w:after="0"/>
              <w:rPr>
                <w:sz w:val="19"/>
                <w:szCs w:val="19"/>
                <w:color w:val="auto"/>
              </w:rPr>
            </w:pPr>
          </w:p>
        </w:tc>
        <w:tc>
          <w:tcPr>
            <w:tcW w:w="840" w:type="dxa"/>
            <w:vAlign w:val="bottom"/>
            <w:shd w:val="clear" w:color="auto" w:fill="E0E3F1"/>
          </w:tcPr>
          <w:p>
            <w:pPr>
              <w:spacing w:after="0"/>
              <w:rPr>
                <w:sz w:val="19"/>
                <w:szCs w:val="19"/>
                <w:color w:val="auto"/>
              </w:rPr>
            </w:pPr>
          </w:p>
        </w:tc>
        <w:tc>
          <w:tcPr>
            <w:tcW w:w="840" w:type="dxa"/>
            <w:vAlign w:val="bottom"/>
            <w:shd w:val="clear" w:color="auto" w:fill="E0E3F1"/>
          </w:tcPr>
          <w:p>
            <w:pPr>
              <w:jc w:val="right"/>
              <w:spacing w:after="0"/>
              <w:rPr>
                <w:sz w:val="20"/>
                <w:szCs w:val="20"/>
                <w:color w:val="auto"/>
              </w:rPr>
            </w:pPr>
            <w:r>
              <w:rPr>
                <w:rFonts w:ascii="Arial" w:cs="Arial" w:eastAsia="Arial" w:hAnsi="Arial"/>
                <w:sz w:val="18"/>
                <w:szCs w:val="18"/>
                <w:color w:val="auto"/>
              </w:rPr>
              <w:t>46.2</w:t>
            </w:r>
          </w:p>
        </w:tc>
        <w:tc>
          <w:tcPr>
            <w:tcW w:w="860" w:type="dxa"/>
            <w:vAlign w:val="bottom"/>
            <w:shd w:val="clear" w:color="auto" w:fill="E0E3F1"/>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0E3F1"/>
          </w:tcPr>
          <w:p>
            <w:pPr>
              <w:spacing w:after="0"/>
              <w:rPr>
                <w:sz w:val="19"/>
                <w:szCs w:val="19"/>
                <w:color w:val="auto"/>
              </w:rPr>
            </w:pPr>
          </w:p>
        </w:tc>
        <w:tc>
          <w:tcPr>
            <w:tcW w:w="960" w:type="dxa"/>
            <w:vAlign w:val="bottom"/>
            <w:shd w:val="clear" w:color="auto" w:fill="E0E3F1"/>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E0E3F1"/>
          </w:tcPr>
          <w:p>
            <w:pPr>
              <w:spacing w:after="0"/>
              <w:rPr>
                <w:sz w:val="19"/>
                <w:szCs w:val="19"/>
                <w:color w:val="auto"/>
              </w:rPr>
            </w:pPr>
          </w:p>
        </w:tc>
        <w:tc>
          <w:tcPr>
            <w:tcW w:w="840" w:type="dxa"/>
            <w:vAlign w:val="bottom"/>
            <w:shd w:val="clear" w:color="auto" w:fill="E0E3F1"/>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E0E3F1"/>
          </w:tcPr>
          <w:p>
            <w:pPr>
              <w:spacing w:after="0"/>
              <w:rPr>
                <w:sz w:val="19"/>
                <w:szCs w:val="19"/>
                <w:color w:val="auto"/>
              </w:rPr>
            </w:pPr>
          </w:p>
        </w:tc>
        <w:tc>
          <w:tcPr>
            <w:tcW w:w="780" w:type="dxa"/>
            <w:vAlign w:val="bottom"/>
            <w:shd w:val="clear" w:color="auto" w:fill="E0E3F1"/>
          </w:tcPr>
          <w:p>
            <w:pPr>
              <w:jc w:val="right"/>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29"/>
        </w:trPr>
        <w:tc>
          <w:tcPr>
            <w:tcW w:w="4760" w:type="dxa"/>
            <w:vAlign w:val="bottom"/>
            <w:shd w:val="clear" w:color="auto" w:fill="E0E3F1"/>
          </w:tcPr>
          <w:p>
            <w:pPr>
              <w:ind w:left="20"/>
              <w:spacing w:after="0"/>
              <w:rPr>
                <w:sz w:val="20"/>
                <w:szCs w:val="20"/>
                <w:color w:val="auto"/>
              </w:rPr>
            </w:pPr>
            <w:r>
              <w:rPr>
                <w:rFonts w:ascii="Arial" w:cs="Arial" w:eastAsia="Arial" w:hAnsi="Arial"/>
                <w:sz w:val="18"/>
                <w:szCs w:val="18"/>
                <w:color w:val="auto"/>
              </w:rPr>
              <w:t>Shares purchased and retired</w:t>
            </w:r>
          </w:p>
        </w:tc>
        <w:tc>
          <w:tcPr>
            <w:tcW w:w="840" w:type="dxa"/>
            <w:vAlign w:val="bottom"/>
            <w:shd w:val="clear" w:color="auto" w:fill="E0E3F1"/>
          </w:tcPr>
          <w:p>
            <w:pPr>
              <w:jc w:val="right"/>
              <w:spacing w:after="0"/>
              <w:rPr>
                <w:sz w:val="20"/>
                <w:szCs w:val="20"/>
                <w:color w:val="auto"/>
              </w:rPr>
            </w:pPr>
            <w:r>
              <w:rPr>
                <w:rFonts w:ascii="Arial" w:cs="Arial" w:eastAsia="Arial" w:hAnsi="Arial"/>
                <w:sz w:val="18"/>
                <w:szCs w:val="18"/>
                <w:color w:val="auto"/>
              </w:rPr>
              <w:t>(0.6)</w:t>
            </w:r>
          </w:p>
        </w:tc>
        <w:tc>
          <w:tcPr>
            <w:tcW w:w="840" w:type="dxa"/>
            <w:vAlign w:val="bottom"/>
            <w:shd w:val="clear" w:color="auto" w:fill="E0E3F1"/>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E0E3F1"/>
          </w:tcPr>
          <w:p>
            <w:pPr>
              <w:jc w:val="right"/>
              <w:spacing w:after="0"/>
              <w:rPr>
                <w:sz w:val="20"/>
                <w:szCs w:val="20"/>
                <w:color w:val="auto"/>
              </w:rPr>
            </w:pPr>
            <w:r>
              <w:rPr>
                <w:rFonts w:ascii="Arial" w:cs="Arial" w:eastAsia="Arial" w:hAnsi="Arial"/>
                <w:sz w:val="18"/>
                <w:szCs w:val="18"/>
                <w:color w:val="auto"/>
              </w:rPr>
              <w:t>(24.6)</w:t>
            </w:r>
          </w:p>
        </w:tc>
        <w:tc>
          <w:tcPr>
            <w:tcW w:w="860" w:type="dxa"/>
            <w:vAlign w:val="bottom"/>
            <w:shd w:val="clear" w:color="auto" w:fill="E0E3F1"/>
          </w:tcPr>
          <w:p>
            <w:pPr>
              <w:jc w:val="right"/>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E0E3F1"/>
          </w:tcPr>
          <w:p>
            <w:pPr>
              <w:spacing w:after="0"/>
              <w:rPr>
                <w:sz w:val="19"/>
                <w:szCs w:val="19"/>
                <w:color w:val="auto"/>
              </w:rPr>
            </w:pPr>
          </w:p>
        </w:tc>
        <w:tc>
          <w:tcPr>
            <w:tcW w:w="960" w:type="dxa"/>
            <w:vAlign w:val="bottom"/>
            <w:shd w:val="clear" w:color="auto" w:fill="E0E3F1"/>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E0E3F1"/>
          </w:tcPr>
          <w:p>
            <w:pPr>
              <w:spacing w:after="0"/>
              <w:rPr>
                <w:sz w:val="19"/>
                <w:szCs w:val="19"/>
                <w:color w:val="auto"/>
              </w:rPr>
            </w:pPr>
          </w:p>
        </w:tc>
        <w:tc>
          <w:tcPr>
            <w:tcW w:w="840" w:type="dxa"/>
            <w:vAlign w:val="bottom"/>
            <w:shd w:val="clear" w:color="auto" w:fill="E0E3F1"/>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E0E3F1"/>
          </w:tcPr>
          <w:p>
            <w:pPr>
              <w:spacing w:after="0"/>
              <w:rPr>
                <w:sz w:val="19"/>
                <w:szCs w:val="19"/>
                <w:color w:val="auto"/>
              </w:rPr>
            </w:pPr>
          </w:p>
        </w:tc>
        <w:tc>
          <w:tcPr>
            <w:tcW w:w="780" w:type="dxa"/>
            <w:vAlign w:val="bottom"/>
            <w:shd w:val="clear" w:color="auto" w:fill="E0E3F1"/>
          </w:tcPr>
          <w:p>
            <w:pPr>
              <w:jc w:val="right"/>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30"/>
        </w:trPr>
        <w:tc>
          <w:tcPr>
            <w:tcW w:w="4760" w:type="dxa"/>
            <w:vAlign w:val="bottom"/>
            <w:shd w:val="clear" w:color="auto" w:fill="E0E3F1"/>
          </w:tcPr>
          <w:p>
            <w:pPr>
              <w:ind w:left="20"/>
              <w:spacing w:after="0"/>
              <w:rPr>
                <w:sz w:val="20"/>
                <w:szCs w:val="20"/>
                <w:color w:val="auto"/>
              </w:rPr>
            </w:pPr>
            <w:r>
              <w:rPr>
                <w:rFonts w:ascii="Arial" w:cs="Arial" w:eastAsia="Arial" w:hAnsi="Arial"/>
                <w:sz w:val="18"/>
                <w:szCs w:val="18"/>
                <w:color w:val="auto"/>
              </w:rPr>
              <w:t>Shares issued</w:t>
            </w:r>
          </w:p>
        </w:tc>
        <w:tc>
          <w:tcPr>
            <w:tcW w:w="840" w:type="dxa"/>
            <w:vAlign w:val="bottom"/>
            <w:shd w:val="clear" w:color="auto" w:fill="E0E3F1"/>
          </w:tcPr>
          <w:p>
            <w:pPr>
              <w:jc w:val="right"/>
              <w:spacing w:after="0"/>
              <w:rPr>
                <w:sz w:val="20"/>
                <w:szCs w:val="20"/>
                <w:color w:val="auto"/>
              </w:rPr>
            </w:pPr>
            <w:r>
              <w:rPr>
                <w:rFonts w:ascii="Arial" w:cs="Arial" w:eastAsia="Arial" w:hAnsi="Arial"/>
                <w:sz w:val="18"/>
                <w:szCs w:val="18"/>
                <w:color w:val="auto"/>
              </w:rPr>
              <w:t>0.9</w:t>
            </w:r>
          </w:p>
        </w:tc>
        <w:tc>
          <w:tcPr>
            <w:tcW w:w="840" w:type="dxa"/>
            <w:vAlign w:val="bottom"/>
            <w:shd w:val="clear" w:color="auto" w:fill="E0E3F1"/>
          </w:tcPr>
          <w:p>
            <w:pPr>
              <w:jc w:val="right"/>
              <w:spacing w:after="0"/>
              <w:rPr>
                <w:sz w:val="20"/>
                <w:szCs w:val="20"/>
                <w:color w:val="auto"/>
              </w:rPr>
            </w:pPr>
            <w:r>
              <w:rPr>
                <w:rFonts w:ascii="Arial" w:cs="Arial" w:eastAsia="Arial" w:hAnsi="Arial"/>
                <w:sz w:val="18"/>
                <w:szCs w:val="18"/>
                <w:color w:val="auto"/>
              </w:rPr>
              <w:t>0.1</w:t>
            </w:r>
          </w:p>
        </w:tc>
        <w:tc>
          <w:tcPr>
            <w:tcW w:w="840" w:type="dxa"/>
            <w:vAlign w:val="bottom"/>
            <w:shd w:val="clear" w:color="auto" w:fill="E0E3F1"/>
          </w:tcPr>
          <w:p>
            <w:pPr>
              <w:jc w:val="right"/>
              <w:spacing w:after="0"/>
              <w:rPr>
                <w:sz w:val="20"/>
                <w:szCs w:val="20"/>
                <w:color w:val="auto"/>
              </w:rPr>
            </w:pPr>
            <w:r>
              <w:rPr>
                <w:rFonts w:ascii="Arial" w:cs="Arial" w:eastAsia="Arial" w:hAnsi="Arial"/>
                <w:sz w:val="18"/>
                <w:szCs w:val="18"/>
                <w:color w:val="auto"/>
              </w:rPr>
              <w:t>24.4</w:t>
            </w:r>
          </w:p>
        </w:tc>
        <w:tc>
          <w:tcPr>
            <w:tcW w:w="860" w:type="dxa"/>
            <w:vAlign w:val="bottom"/>
            <w:shd w:val="clear" w:color="auto" w:fill="E0E3F1"/>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0E3F1"/>
          </w:tcPr>
          <w:p>
            <w:pPr>
              <w:spacing w:after="0"/>
              <w:rPr>
                <w:sz w:val="19"/>
                <w:szCs w:val="19"/>
                <w:color w:val="auto"/>
              </w:rPr>
            </w:pPr>
          </w:p>
        </w:tc>
        <w:tc>
          <w:tcPr>
            <w:tcW w:w="960" w:type="dxa"/>
            <w:vAlign w:val="bottom"/>
            <w:shd w:val="clear" w:color="auto" w:fill="E0E3F1"/>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E0E3F1"/>
          </w:tcPr>
          <w:p>
            <w:pPr>
              <w:spacing w:after="0"/>
              <w:rPr>
                <w:sz w:val="19"/>
                <w:szCs w:val="19"/>
                <w:color w:val="auto"/>
              </w:rPr>
            </w:pPr>
          </w:p>
        </w:tc>
        <w:tc>
          <w:tcPr>
            <w:tcW w:w="840" w:type="dxa"/>
            <w:vAlign w:val="bottom"/>
            <w:shd w:val="clear" w:color="auto" w:fill="E0E3F1"/>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E0E3F1"/>
          </w:tcPr>
          <w:p>
            <w:pPr>
              <w:spacing w:after="0"/>
              <w:rPr>
                <w:sz w:val="19"/>
                <w:szCs w:val="19"/>
                <w:color w:val="auto"/>
              </w:rPr>
            </w:pPr>
          </w:p>
        </w:tc>
        <w:tc>
          <w:tcPr>
            <w:tcW w:w="780" w:type="dxa"/>
            <w:vAlign w:val="bottom"/>
            <w:shd w:val="clear" w:color="auto" w:fill="E0E3F1"/>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30"/>
        </w:trPr>
        <w:tc>
          <w:tcPr>
            <w:tcW w:w="4760" w:type="dxa"/>
            <w:vAlign w:val="bottom"/>
            <w:tcBorders>
              <w:bottom w:val="single" w:sz="8" w:color="00539B"/>
            </w:tcBorders>
            <w:shd w:val="clear" w:color="auto" w:fill="E0E3F1"/>
          </w:tcPr>
          <w:p>
            <w:pPr>
              <w:ind w:left="20"/>
              <w:spacing w:after="0"/>
              <w:rPr>
                <w:sz w:val="20"/>
                <w:szCs w:val="20"/>
                <w:color w:val="auto"/>
              </w:rPr>
            </w:pPr>
            <w:r>
              <w:rPr>
                <w:rFonts w:ascii="Arial" w:cs="Arial" w:eastAsia="Arial" w:hAnsi="Arial"/>
                <w:sz w:val="18"/>
                <w:szCs w:val="18"/>
                <w:color w:val="auto"/>
              </w:rPr>
              <w:t>Equal exchange</w:t>
            </w:r>
          </w:p>
        </w:tc>
        <w:tc>
          <w:tcPr>
            <w:tcW w:w="84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8"/>
                <w:szCs w:val="18"/>
                <w:color w:val="auto"/>
              </w:rPr>
              <w:t>(1.1)</w:t>
            </w:r>
          </w:p>
        </w:tc>
        <w:tc>
          <w:tcPr>
            <w:tcW w:w="84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8"/>
                <w:szCs w:val="18"/>
                <w:color w:val="auto"/>
              </w:rPr>
              <w:t>1.1</w:t>
            </w:r>
          </w:p>
        </w:tc>
        <w:tc>
          <w:tcPr>
            <w:tcW w:w="84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00539B"/>
            </w:tcBorders>
            <w:shd w:val="clear" w:color="auto" w:fill="E0E3F1"/>
          </w:tcPr>
          <w:p>
            <w:pPr>
              <w:spacing w:after="0"/>
              <w:rPr>
                <w:sz w:val="19"/>
                <w:szCs w:val="19"/>
                <w:color w:val="auto"/>
              </w:rPr>
            </w:pPr>
          </w:p>
        </w:tc>
        <w:tc>
          <w:tcPr>
            <w:tcW w:w="96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00539B"/>
            </w:tcBorders>
            <w:shd w:val="clear" w:color="auto" w:fill="E0E3F1"/>
          </w:tcPr>
          <w:p>
            <w:pPr>
              <w:spacing w:after="0"/>
              <w:rPr>
                <w:sz w:val="19"/>
                <w:szCs w:val="19"/>
                <w:color w:val="auto"/>
              </w:rPr>
            </w:pPr>
          </w:p>
        </w:tc>
        <w:tc>
          <w:tcPr>
            <w:tcW w:w="84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00539B"/>
            </w:tcBorders>
            <w:shd w:val="clear" w:color="auto" w:fill="E0E3F1"/>
          </w:tcPr>
          <w:p>
            <w:pPr>
              <w:spacing w:after="0"/>
              <w:rPr>
                <w:sz w:val="19"/>
                <w:szCs w:val="19"/>
                <w:color w:val="auto"/>
              </w:rPr>
            </w:pPr>
          </w:p>
        </w:tc>
        <w:tc>
          <w:tcPr>
            <w:tcW w:w="78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60" w:type="dxa"/>
            <w:vAlign w:val="bottom"/>
            <w:tcBorders>
              <w:bottom w:val="single" w:sz="8" w:color="00539B"/>
            </w:tcBorders>
            <w:shd w:val="clear" w:color="auto" w:fill="E0E3F1"/>
          </w:tcPr>
          <w:p>
            <w:pPr>
              <w:ind w:left="20"/>
              <w:spacing w:after="0"/>
              <w:rPr>
                <w:sz w:val="20"/>
                <w:szCs w:val="20"/>
                <w:color w:val="auto"/>
              </w:rPr>
            </w:pPr>
            <w:r>
              <w:rPr>
                <w:rFonts w:ascii="Arial" w:cs="Arial" w:eastAsia="Arial" w:hAnsi="Arial"/>
                <w:sz w:val="18"/>
                <w:szCs w:val="18"/>
                <w:color w:val="auto"/>
              </w:rPr>
              <w:t>Balance, November 30, 2025</w:t>
            </w:r>
          </w:p>
        </w:tc>
        <w:tc>
          <w:tcPr>
            <w:tcW w:w="84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8"/>
                <w:szCs w:val="18"/>
                <w:color w:val="auto"/>
              </w:rPr>
              <w:t>14.9</w:t>
            </w:r>
          </w:p>
        </w:tc>
        <w:tc>
          <w:tcPr>
            <w:tcW w:w="84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8"/>
                <w:szCs w:val="18"/>
                <w:color w:val="auto"/>
              </w:rPr>
              <w:t>253.5</w:t>
            </w:r>
          </w:p>
        </w:tc>
        <w:tc>
          <w:tcPr>
            <w:tcW w:w="84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8"/>
                <w:szCs w:val="18"/>
                <w:color w:val="auto"/>
                <w:w w:val="98"/>
              </w:rPr>
              <w:t>$ 2,283.2</w:t>
            </w:r>
          </w:p>
        </w:tc>
        <w:tc>
          <w:tcPr>
            <w:tcW w:w="86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8"/>
                <w:szCs w:val="18"/>
                <w:color w:val="auto"/>
              </w:rPr>
              <w:t>$ 3,816.4</w:t>
            </w:r>
          </w:p>
        </w:tc>
        <w:tc>
          <w:tcPr>
            <w:tcW w:w="120" w:type="dxa"/>
            <w:vAlign w:val="bottom"/>
            <w:tcBorders>
              <w:bottom w:val="single" w:sz="8" w:color="00539B"/>
            </w:tcBorders>
            <w:shd w:val="clear" w:color="auto" w:fill="E0E3F1"/>
          </w:tcPr>
          <w:p>
            <w:pPr>
              <w:ind w:left="2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8"/>
                <w:szCs w:val="18"/>
                <w:color w:val="auto"/>
              </w:rPr>
              <w:t>(363.1)</w:t>
            </w:r>
          </w:p>
        </w:tc>
        <w:tc>
          <w:tcPr>
            <w:tcW w:w="14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8"/>
                <w:szCs w:val="18"/>
                <w:color w:val="auto"/>
              </w:rPr>
              <w:t>31.6</w:t>
            </w:r>
          </w:p>
        </w:tc>
        <w:tc>
          <w:tcPr>
            <w:tcW w:w="20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8"/>
                <w:szCs w:val="18"/>
                <w:color w:val="auto"/>
              </w:rPr>
              <w:t>5,768.1</w:t>
            </w: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52" w:right="39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00539B"/>
        </w:rPr>
        <w:t>NOTES TO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539B"/>
        </w:rPr>
        <w:t>1. SUMMARY OF SIGNIFICANT ACCOUNTING POLICIES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00539B"/>
        </w:rPr>
        <w:t>Basis of Presentation</w:t>
      </w:r>
    </w:p>
    <w:p>
      <w:pPr>
        <w:spacing w:after="0" w:line="2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financial statements include the accounts of our majority-owned or controlled subsidiaries and affiliates. Intercompany transactions have been eliminated. Investments in unconsolidated affiliates, over which we exercise significant influence, but not control, are accounted for by the equity method. Accordingly, our share of net income or loss from unconsolidated affiliates is included in net income. Certain prior period amounts have been reclassified to conform with the current period presentation.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539B"/>
        </w:rPr>
        <w:t>Foreign Currency Translation</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For majority-owned or controlled subsidiaries and affiliates located outside of the U.S. that use functional currencies other than the U.S. dollar, asset and liability accounts are translated at the exchange rates in effect at the balance sheet date. The resulting translation adjustments are included in accumulated other comprehensive income (loss), which is a separate component of shareholders’ equity. Income and expense items are translated at average monthly exchange rates. Gains and losses from foreign currency transactions of these majority-owned or controlled subsidiaries and affiliates</w:t>
      </w:r>
      <w:r>
        <w:rPr>
          <w:rFonts w:ascii="Arial" w:cs="Arial" w:eastAsia="Arial" w:hAnsi="Arial"/>
          <w:sz w:val="14"/>
          <w:szCs w:val="14"/>
          <w:color w:val="auto"/>
        </w:rPr>
        <w:t>—</w:t>
      </w:r>
      <w:r>
        <w:rPr>
          <w:rFonts w:ascii="Arial" w:cs="Arial" w:eastAsia="Arial" w:hAnsi="Arial"/>
          <w:sz w:val="18"/>
          <w:szCs w:val="18"/>
          <w:color w:val="auto"/>
        </w:rPr>
        <w:t>specifically, transactions denominated in currencies other than their functional currency—are included in net income, except for intercompany transactions designated as long-term investments.</w:t>
      </w:r>
    </w:p>
    <w:p>
      <w:pPr>
        <w:spacing w:after="0" w:line="13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unconsolidated affiliates located outside the U.S. generally use their local currencies as their functional currencies. The asset and liability accounts of those unconsolidated affiliates are translated at the rates of exchange at the balance sheet date, with the resultant translation adjustments included in accumulated other comprehensive income (loss) of those affiliates. Income and expense items of those affiliates are translated at average monthly rates of exchange. We record our ownership share of the net assets and accumulated other comprehensive income (loss) of our unconsolidated affiliates in our consolidated balance sheet on the lines entitled “Other long-term assets” and “Accumulated other comprehensive loss,” respectively. We record our ownership share of the net income of our unconsolidated affiliates, or a gain or loss associated with the sale of our ownership interest in our unconsolidated affiliates, in our consolidated income statement on the line entitled “Income from unconsolidated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00539B"/>
        </w:rPr>
        <w:t>Use of Estimates</w:t>
      </w:r>
    </w:p>
    <w:p>
      <w:pPr>
        <w:spacing w:after="0" w:line="27" w:lineRule="exact"/>
        <w:rPr>
          <w:sz w:val="20"/>
          <w:szCs w:val="20"/>
          <w:color w:val="auto"/>
        </w:rPr>
      </w:pPr>
    </w:p>
    <w:p>
      <w:pPr>
        <w:jc w:val="both"/>
        <w:ind w:right="620"/>
        <w:spacing w:after="0" w:line="296" w:lineRule="auto"/>
        <w:rPr>
          <w:sz w:val="20"/>
          <w:szCs w:val="20"/>
          <w:color w:val="auto"/>
        </w:rPr>
      </w:pPr>
      <w:r>
        <w:rPr>
          <w:rFonts w:ascii="Arial" w:cs="Arial" w:eastAsia="Arial" w:hAnsi="Arial"/>
          <w:sz w:val="17"/>
          <w:szCs w:val="17"/>
          <w:color w:val="auto"/>
        </w:rPr>
        <w:t>Preparation of financial statements that follow accounting principles generally accepted in the U.S. requires us to make estimates and assumptions that affect the amounts reported in the financial statements and notes. Actual amounts could differ from these estimates.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00539B"/>
        </w:rPr>
        <w:t>Cash and Cash Equivalents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All highly liquid investments purchased with an original maturity of three months or less are classified as cash equivalents.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00539B"/>
        </w:rPr>
        <w:t>Inventories</w:t>
      </w:r>
    </w:p>
    <w:p>
      <w:pPr>
        <w:spacing w:after="0" w:line="27" w:lineRule="exact"/>
        <w:rPr>
          <w:sz w:val="20"/>
          <w:szCs w:val="20"/>
          <w:color w:val="auto"/>
        </w:rPr>
      </w:pPr>
    </w:p>
    <w:p>
      <w:pPr>
        <w:ind w:right="580"/>
        <w:spacing w:after="0" w:line="266" w:lineRule="auto"/>
        <w:rPr>
          <w:sz w:val="20"/>
          <w:szCs w:val="20"/>
          <w:color w:val="auto"/>
        </w:rPr>
      </w:pPr>
      <w:r>
        <w:rPr>
          <w:rFonts w:ascii="Arial" w:cs="Arial" w:eastAsia="Arial" w:hAnsi="Arial"/>
          <w:sz w:val="18"/>
          <w:szCs w:val="18"/>
          <w:color w:val="auto"/>
        </w:rPr>
        <w:t>Inventories are stated at the lower of cost or net realizable value. Cost is determined under the first-in, first-out costing method (FIFO), including the use of average costs which approximate FIFO.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539B"/>
        </w:rPr>
        <w:t>Property, Plant and Equipment</w:t>
      </w:r>
    </w:p>
    <w:p>
      <w:pPr>
        <w:spacing w:after="0" w:line="2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Property, plant and equipment is stated at historical cost and depreciated over its estimated useful life using the straight-line method for financial reporting and both accelerated and straight-line methods for tax reporting. The estimated useful lives range from 20 to 50 years for buildings and 3 to 15 years for machinery, equipment and other assets. Assets leased under finance leases are depreciated over the shorter of the lease term or their estimated useful lives unless it is reasonably certain that we will obtain ownership by the end of the lease term. Repairs and maintenance costs are expensed as incurred.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00539B"/>
        </w:rPr>
        <w:t>Computer Software</w:t>
      </w:r>
    </w:p>
    <w:p>
      <w:pPr>
        <w:spacing w:after="0" w:line="2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capitalize costs of software developed or obtained for internal use. Capitalized software development costs include only (1) direct costs paid to others for materials and services to develop or buy the software, (2) payroll and payroll-related costs for employees who work directly on the software development project, and (3) interest costs while developing the software. Capitalization of these costs stops, and amortization begins, when the project is substantially complete and ready for use.</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50" w:name="page51"/>
    <w:bookmarkEnd w:id="50"/>
    <w:p>
      <w:pPr>
        <w:ind w:right="100"/>
        <w:spacing w:after="0" w:line="287" w:lineRule="auto"/>
        <w:rPr>
          <w:sz w:val="20"/>
          <w:szCs w:val="20"/>
          <w:color w:val="auto"/>
        </w:rPr>
      </w:pPr>
      <w:r>
        <w:rPr>
          <w:rFonts w:ascii="Arial" w:cs="Arial" w:eastAsia="Arial" w:hAnsi="Arial"/>
          <w:sz w:val="18"/>
          <w:szCs w:val="18"/>
          <w:color w:val="auto"/>
        </w:rPr>
        <w:t>Capitalized software is classified within "Other long-term assets" in the consolidated balance sheet. Software is amortized using the straight-line method over estimated useful lives ranging from 3 to 13 years, but not exceeding the expected life of the product.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539B"/>
        </w:rPr>
        <w:t>Goodwill and Other Intangible Assets</w:t>
      </w:r>
    </w:p>
    <w:p>
      <w:pPr>
        <w:spacing w:after="0" w:line="27"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We review the carrying value of goodwill and indefinite-lived intangible assets and conduct tests of impairment on an annual basis as described below. We also test goodwill for impairment if events or circumstances indicate it is more likely than not that the fair value of a reporting unit is below its carrying amount and test indefinite-lived intangible assets for impairment if events or changes in circumstances indicate that the asset might be impaired. Separable intangible assets that have finite useful lives are amortized over those lives.</w:t>
      </w:r>
    </w:p>
    <w:p>
      <w:pPr>
        <w:spacing w:after="0" w:line="12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Determining the fair value of a reporting unit or an indefinite-lived purchased intangible asset is judgmental in nature and involves the use of significant estimates and assumptions. These estimates and assumptions include revenue growth rates and operating margins used to calculate projected future cash flows, risk-adjusted discount rates, assumed royalty rates, future economic and market conditions and determination of appropriate market comparables. We base our fair value estimates on assumptions we believe to be reasonable but that are unpredictable and inherently uncertain. Actual future results may differ from these estimates.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539B"/>
        </w:rPr>
        <w:t>Goodwill Impairment</w:t>
      </w:r>
    </w:p>
    <w:p>
      <w:pPr>
        <w:spacing w:after="0" w:line="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Our reporting units used to assess potential goodwill impairment are the same as our business segments. We estimate the fair value of a reporting unit by using a discounted cash flow model and then compare that to the carrying amount of the reporting unit, including intangible assets and goodwill. An impairment charge would be recognized to the extent that the carrying amount of the reporting unit exceeds the estimated fair value of the reporting unit.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539B"/>
        </w:rPr>
        <w:t>Indefinite-lived Intangible Asset Impairment</w:t>
      </w:r>
    </w:p>
    <w:p>
      <w:pPr>
        <w:spacing w:after="0" w:line="2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Our indefinite-lived intangible assets consist of acquired brand names and trademarks. We estimate fair value by using a relief-from-royalty method and then compare that to the carrying amount of the indefinite-lived intangible asset. If the carrying amount of the indefinite-lived intangible asset exceeds its estimated fair value, an impairment charge would be recorded to the extent the recorded indefinite-lived intangible asset exceeds the fair value.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539B"/>
        </w:rPr>
        <w:t>Long-lived Asset Impairment</w:t>
      </w:r>
    </w:p>
    <w:p>
      <w:pPr>
        <w:spacing w:after="0" w:line="2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Fixed assets and amortizable intangible assets are reviewed for impairment as events or changes in circumstances occur indicating that the carrying value of the asset may not be recoverable. Undiscounted cash flow analyses are used to determine if an impairment exists. If an impairment is determined to exist, the loss would be calculated based on the excess of the asset’s carrying value over its estimated fair value.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00539B"/>
        </w:rPr>
        <w:t>Accounts Payable - Supplier Finance Program</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order to manage our cash flow and related liquidity, we work with our suppliers to optimize our terms and conditions, which include the extension of payment terms. We offer certain suppliers access to a third-party Supply Chain Finance program (SCF) with several global financial institutions (SCF Banks). The terms of our payment obligation are not impacted by a supplier’s participation in the SCF. Under the SCF, qualifying suppliers may elect to sell their receivables from us to a SCF Bank. These participating suppliers negotiate their receivables sales arrangements directly with the respective SCF Bank. While we are not party to those agreements, the SCF Banks allow the participating suppliers to utilize our creditworthiness in establishing credit spreads and associated costs. This generally provides the suppliers with more favorable terms than they would be able to secure on their own. We have no economic interest in a supplier’s decision to sell a receivable. Once a qualifying supplier elects to participate in the SCF and reaches an agreement with a SCF Bank, the supplier elects which of our individual invoices they sell to the SCF bank. Regardless of whether an individual invoice is sold by the supplier to the SCF Bank, all of our payments to participating suppliers are paid to the SCF Bank on the invoice due date. The SCF Bank pays the supplier on the invoice due date for any invoices that were not previously sold by the supplier to the SCF Bank.</w:t>
      </w:r>
    </w:p>
    <w:p>
      <w:pPr>
        <w:spacing w:after="0" w:line="129"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Our current payment terms with our suppliers, which we deem to be commercially reasonable, generally range from zero to 180 days dependent upon their respective industry and geography. All outstanding amounts related to suppliers participating in the SCF are recorded within the line entitled "Trade accounts payable" in our consolidated balance sheets, and the associated payments are included in operating activities within our consolidated cash flow statement.</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51" w:name="page52"/>
    <w:bookmarkEnd w:id="51"/>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roll forward of our obligations relating to suppliers participating in the SCF program for the year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November 30, 2025:</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060" w:type="dxa"/>
            <w:vAlign w:val="bottom"/>
            <w:tcBorders>
              <w:top w:val="single" w:sz="8" w:color="00539B"/>
              <w:bottom w:val="single" w:sz="8" w:color="00539B"/>
            </w:tcBorders>
          </w:tcPr>
          <w:p>
            <w:pPr>
              <w:ind w:left="20"/>
              <w:spacing w:after="0"/>
              <w:rPr>
                <w:sz w:val="20"/>
                <w:szCs w:val="20"/>
                <w:color w:val="auto"/>
              </w:rPr>
            </w:pPr>
            <w:r>
              <w:rPr>
                <w:rFonts w:ascii="Arial" w:cs="Arial" w:eastAsia="Arial" w:hAnsi="Arial"/>
                <w:sz w:val="14"/>
                <w:szCs w:val="14"/>
                <w:color w:val="auto"/>
              </w:rPr>
              <w:t>(millions)</w:t>
            </w:r>
          </w:p>
        </w:tc>
        <w:tc>
          <w:tcPr>
            <w:tcW w:w="700" w:type="dxa"/>
            <w:vAlign w:val="bottom"/>
            <w:tcBorders>
              <w:top w:val="single" w:sz="8" w:color="00539B"/>
              <w:bottom w:val="single" w:sz="8" w:color="00539B"/>
            </w:tcBorders>
            <w:shd w:val="clear" w:color="auto" w:fill="E0E3F1"/>
          </w:tcPr>
          <w:p>
            <w:pPr>
              <w:spacing w:after="0"/>
              <w:rPr>
                <w:sz w:val="19"/>
                <w:szCs w:val="19"/>
                <w:color w:val="auto"/>
              </w:rPr>
            </w:pPr>
          </w:p>
        </w:tc>
        <w:tc>
          <w:tcPr>
            <w:tcW w:w="2240" w:type="dxa"/>
            <w:vAlign w:val="bottom"/>
            <w:tcBorders>
              <w:top w:val="single" w:sz="8" w:color="00539B"/>
              <w:bottom w:val="single" w:sz="8" w:color="00539B"/>
            </w:tcBorders>
            <w:shd w:val="clear" w:color="auto" w:fill="E0E3F1"/>
          </w:tcPr>
          <w:p>
            <w:pPr>
              <w:jc w:val="right"/>
              <w:ind w:right="1248"/>
              <w:spacing w:after="0"/>
              <w:rPr>
                <w:sz w:val="20"/>
                <w:szCs w:val="20"/>
                <w:color w:val="auto"/>
              </w:rPr>
            </w:pPr>
            <w:r>
              <w:rPr>
                <w:rFonts w:ascii="Arial" w:cs="Arial" w:eastAsia="Arial" w:hAnsi="Arial"/>
                <w:sz w:val="14"/>
                <w:szCs w:val="14"/>
                <w:color w:val="auto"/>
              </w:rPr>
              <w:t>2025</w:t>
            </w:r>
          </w:p>
        </w:tc>
      </w:tr>
      <w:tr>
        <w:trPr>
          <w:trHeight w:val="192"/>
        </w:trPr>
        <w:tc>
          <w:tcPr>
            <w:tcW w:w="8060" w:type="dxa"/>
            <w:vAlign w:val="bottom"/>
          </w:tcPr>
          <w:p>
            <w:pPr>
              <w:ind w:left="20"/>
              <w:spacing w:after="0"/>
              <w:rPr>
                <w:sz w:val="20"/>
                <w:szCs w:val="20"/>
                <w:color w:val="auto"/>
              </w:rPr>
            </w:pPr>
            <w:r>
              <w:rPr>
                <w:rFonts w:ascii="Arial" w:cs="Arial" w:eastAsia="Arial" w:hAnsi="Arial"/>
                <w:sz w:val="14"/>
                <w:szCs w:val="14"/>
                <w:color w:val="auto"/>
              </w:rPr>
              <w:t>Obligation at beginning of year</w:t>
            </w:r>
          </w:p>
        </w:tc>
        <w:tc>
          <w:tcPr>
            <w:tcW w:w="700" w:type="dxa"/>
            <w:vAlign w:val="bottom"/>
            <w:shd w:val="clear" w:color="auto" w:fill="E0E3F1"/>
          </w:tcPr>
          <w:p>
            <w:pPr>
              <w:jc w:val="right"/>
              <w:ind w:right="528"/>
              <w:spacing w:after="0"/>
              <w:rPr>
                <w:sz w:val="20"/>
                <w:szCs w:val="20"/>
                <w:color w:val="auto"/>
              </w:rPr>
            </w:pPr>
            <w:r>
              <w:rPr>
                <w:rFonts w:ascii="Arial" w:cs="Arial" w:eastAsia="Arial" w:hAnsi="Arial"/>
                <w:sz w:val="14"/>
                <w:szCs w:val="14"/>
                <w:color w:val="auto"/>
              </w:rPr>
              <w:t>$</w:t>
            </w:r>
          </w:p>
        </w:tc>
        <w:tc>
          <w:tcPr>
            <w:tcW w:w="2240" w:type="dxa"/>
            <w:vAlign w:val="bottom"/>
            <w:shd w:val="clear" w:color="auto" w:fill="E0E3F1"/>
          </w:tcPr>
          <w:p>
            <w:pPr>
              <w:jc w:val="right"/>
              <w:spacing w:after="0"/>
              <w:rPr>
                <w:sz w:val="20"/>
                <w:szCs w:val="20"/>
                <w:color w:val="auto"/>
              </w:rPr>
            </w:pPr>
            <w:r>
              <w:rPr>
                <w:rFonts w:ascii="Arial" w:cs="Arial" w:eastAsia="Arial" w:hAnsi="Arial"/>
                <w:sz w:val="14"/>
                <w:szCs w:val="14"/>
                <w:color w:val="auto"/>
              </w:rPr>
              <w:t>417.4</w:t>
            </w:r>
          </w:p>
        </w:tc>
      </w:tr>
      <w:tr>
        <w:trPr>
          <w:trHeight w:val="203"/>
        </w:trPr>
        <w:tc>
          <w:tcPr>
            <w:tcW w:w="8060" w:type="dxa"/>
            <w:vAlign w:val="bottom"/>
          </w:tcPr>
          <w:p>
            <w:pPr>
              <w:ind w:left="20"/>
              <w:spacing w:after="0"/>
              <w:rPr>
                <w:sz w:val="20"/>
                <w:szCs w:val="20"/>
                <w:color w:val="auto"/>
              </w:rPr>
            </w:pPr>
            <w:r>
              <w:rPr>
                <w:rFonts w:ascii="Arial" w:cs="Arial" w:eastAsia="Arial" w:hAnsi="Arial"/>
                <w:sz w:val="14"/>
                <w:szCs w:val="14"/>
                <w:color w:val="auto"/>
              </w:rPr>
              <w:t>Invoice amounts added</w:t>
            </w:r>
          </w:p>
        </w:tc>
        <w:tc>
          <w:tcPr>
            <w:tcW w:w="700" w:type="dxa"/>
            <w:vAlign w:val="bottom"/>
            <w:shd w:val="clear" w:color="auto" w:fill="E0E3F1"/>
          </w:tcPr>
          <w:p>
            <w:pPr>
              <w:spacing w:after="0"/>
              <w:rPr>
                <w:sz w:val="17"/>
                <w:szCs w:val="17"/>
                <w:color w:val="auto"/>
              </w:rPr>
            </w:pPr>
          </w:p>
        </w:tc>
        <w:tc>
          <w:tcPr>
            <w:tcW w:w="2240" w:type="dxa"/>
            <w:vAlign w:val="bottom"/>
            <w:shd w:val="clear" w:color="auto" w:fill="E0E3F1"/>
          </w:tcPr>
          <w:p>
            <w:pPr>
              <w:jc w:val="right"/>
              <w:spacing w:after="0"/>
              <w:rPr>
                <w:sz w:val="20"/>
                <w:szCs w:val="20"/>
                <w:color w:val="auto"/>
              </w:rPr>
            </w:pPr>
            <w:r>
              <w:rPr>
                <w:rFonts w:ascii="Arial" w:cs="Arial" w:eastAsia="Arial" w:hAnsi="Arial"/>
                <w:sz w:val="14"/>
                <w:szCs w:val="14"/>
                <w:color w:val="auto"/>
              </w:rPr>
              <w:t>1,124.8</w:t>
            </w:r>
          </w:p>
        </w:tc>
      </w:tr>
      <w:tr>
        <w:trPr>
          <w:trHeight w:val="203"/>
        </w:trPr>
        <w:tc>
          <w:tcPr>
            <w:tcW w:w="8060" w:type="dxa"/>
            <w:vAlign w:val="bottom"/>
          </w:tcPr>
          <w:p>
            <w:pPr>
              <w:ind w:left="20"/>
              <w:spacing w:after="0"/>
              <w:rPr>
                <w:sz w:val="20"/>
                <w:szCs w:val="20"/>
                <w:color w:val="auto"/>
              </w:rPr>
            </w:pPr>
            <w:r>
              <w:rPr>
                <w:rFonts w:ascii="Arial" w:cs="Arial" w:eastAsia="Arial" w:hAnsi="Arial"/>
                <w:sz w:val="14"/>
                <w:szCs w:val="14"/>
                <w:color w:val="auto"/>
              </w:rPr>
              <w:t>Invoice amounts paid</w:t>
            </w:r>
          </w:p>
        </w:tc>
        <w:tc>
          <w:tcPr>
            <w:tcW w:w="700" w:type="dxa"/>
            <w:vAlign w:val="bottom"/>
            <w:shd w:val="clear" w:color="auto" w:fill="E0E3F1"/>
          </w:tcPr>
          <w:p>
            <w:pPr>
              <w:spacing w:after="0"/>
              <w:rPr>
                <w:sz w:val="17"/>
                <w:szCs w:val="17"/>
                <w:color w:val="auto"/>
              </w:rPr>
            </w:pPr>
          </w:p>
        </w:tc>
        <w:tc>
          <w:tcPr>
            <w:tcW w:w="2240" w:type="dxa"/>
            <w:vAlign w:val="bottom"/>
            <w:shd w:val="clear" w:color="auto" w:fill="E0E3F1"/>
          </w:tcPr>
          <w:p>
            <w:pPr>
              <w:jc w:val="right"/>
              <w:spacing w:after="0"/>
              <w:rPr>
                <w:sz w:val="20"/>
                <w:szCs w:val="20"/>
                <w:color w:val="auto"/>
              </w:rPr>
            </w:pPr>
            <w:r>
              <w:rPr>
                <w:rFonts w:ascii="Arial" w:cs="Arial" w:eastAsia="Arial" w:hAnsi="Arial"/>
                <w:sz w:val="14"/>
                <w:szCs w:val="14"/>
                <w:color w:val="auto"/>
              </w:rPr>
              <w:t>(1,209.7)</w:t>
            </w:r>
          </w:p>
        </w:tc>
      </w:tr>
      <w:tr>
        <w:trPr>
          <w:trHeight w:val="207"/>
        </w:trPr>
        <w:tc>
          <w:tcPr>
            <w:tcW w:w="806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Foreign currency translation and other adjustments</w:t>
            </w:r>
          </w:p>
        </w:tc>
        <w:tc>
          <w:tcPr>
            <w:tcW w:w="700" w:type="dxa"/>
            <w:vAlign w:val="bottom"/>
            <w:tcBorders>
              <w:bottom w:val="single" w:sz="8" w:color="00539B"/>
            </w:tcBorders>
            <w:shd w:val="clear" w:color="auto" w:fill="E0E3F1"/>
          </w:tcPr>
          <w:p>
            <w:pPr>
              <w:spacing w:after="0"/>
              <w:rPr>
                <w:sz w:val="17"/>
                <w:szCs w:val="17"/>
                <w:color w:val="auto"/>
              </w:rPr>
            </w:pPr>
          </w:p>
        </w:tc>
        <w:tc>
          <w:tcPr>
            <w:tcW w:w="224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(0.4)</w:t>
            </w:r>
          </w:p>
        </w:tc>
      </w:tr>
      <w:tr>
        <w:trPr>
          <w:trHeight w:val="207"/>
        </w:trPr>
        <w:tc>
          <w:tcPr>
            <w:tcW w:w="806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Obligation at end of year</w:t>
            </w:r>
          </w:p>
        </w:tc>
        <w:tc>
          <w:tcPr>
            <w:tcW w:w="700" w:type="dxa"/>
            <w:vAlign w:val="bottom"/>
            <w:tcBorders>
              <w:bottom w:val="single" w:sz="8" w:color="00539B"/>
            </w:tcBorders>
            <w:shd w:val="clear" w:color="auto" w:fill="E0E3F1"/>
          </w:tcPr>
          <w:p>
            <w:pPr>
              <w:jc w:val="right"/>
              <w:ind w:right="528"/>
              <w:spacing w:after="0"/>
              <w:rPr>
                <w:sz w:val="20"/>
                <w:szCs w:val="20"/>
                <w:color w:val="auto"/>
              </w:rPr>
            </w:pPr>
            <w:r>
              <w:rPr>
                <w:rFonts w:ascii="Arial" w:cs="Arial" w:eastAsia="Arial" w:hAnsi="Arial"/>
                <w:sz w:val="14"/>
                <w:szCs w:val="14"/>
                <w:color w:val="auto"/>
              </w:rPr>
              <w:t>$</w:t>
            </w:r>
          </w:p>
        </w:tc>
        <w:tc>
          <w:tcPr>
            <w:tcW w:w="224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332.1</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00539B"/>
        </w:rPr>
        <w:t>Leases</w:t>
      </w:r>
    </w:p>
    <w:p>
      <w:pPr>
        <w:spacing w:after="0" w:line="2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determine whether a contract is or contains a lease at contract inception based on the presence of identified assets and our right to obtain substantially all the economic benefit from or to direct the use of such assets. When we determine a lease exists, we record a right-of-use (“ROU”) asset and corresponding lease liability on our consolidated balance sheet. ROU assets represent our right to use an underlying asset for the lease term. Lease liabilities represent our obligation to make lease payments arising from the lease. ROU assets are recognized at the lease commencement date at the value of the lease liability and are adjusted for any prepayments, lease incentives received, and initial direct costs incurred. Lease liabilities are recognized at the lease commencement date based on the present value of remaining lease payments over the lease term. As the discount rate implicit in the lease is not readily determinable in most of our leases, we use our incremental borrowing rate based on the information available at the lease commencement date in determining the present value of lease payments. Our lease terms include options to extend or terminate the lease when it is reasonably certain that we will exercise that option. We do not record lease contracts with a term of 12 months or less on our consolidated balance sheets.</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When our real estate lease arrangements include lease and non-lease components (for example, common area maintenance), we account for each component separately, based on their relative standalone prices. For all other asset categories, we combine lease components and non-lease components into a single lease commitment.</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recognize fixed lease expense for operating leases on a straight-line basis over the lease term. For finance leases, we recognize amortization expense over the shorter of the estimated useful life of the underlying assets or the lease term. In instances of title transfer, expense is recognized over the useful life. Interest expense on a finance lease is recognized using the effective interest method over the lease term.</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539B"/>
        </w:rPr>
        <w:t>Revenue Recognition</w:t>
      </w:r>
    </w:p>
    <w:p>
      <w:pPr>
        <w:spacing w:after="0" w:line="2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manufacture, market, and distribute spices, seasoning mixes, condiments and other flavorful products to the entire food industry— retailers, food manufacturers, and foodservice businesses. Our revenue arrangements generally include a single performance obligation relating to the fulfillment of a customer order, which in some cases is governed by a master sales agreement, for the purchase of our products. We recognize revenue at a point in time when control of the ordered products passes to the customer, which principally occurs either upon shipment or delivery to the customer or upon pick-up by the customer, depending upon terms included in the particular customer arrangement. Revenues are recorded net of trade and sales incentives and estimated product returns. Known or expected pricing or revenue adjustments, such as trade discounts, rebates and returns, are estimated at the time of sale. All taxes assessed by a governmental authority that are both imposed on and concurrent with a specific revenue-producing transaction and collected by us from a customer for sales, value added and other excise taxes are excluded from net sales. We account for product shipping and handling activities that occur before the customer has obtained control of a good as fulfillment activities (i.e., an expense) rather than as a promised service with costs for these activities recorded within Cost of goods sold. We expense any incremental costs of obtaining a contract when the contract is for a period of one year or less.</w:t>
      </w:r>
    </w:p>
    <w:p>
      <w:pPr>
        <w:spacing w:after="0" w:line="13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Amounts billed and due from our customers are classified as accounts receivable on the balance sheet and require payment on a short-term basis. Our allowance for doubtful accounts represents our estimate of probable non-payments and credit losses in our existing receivables, as determined based on a review of past due balances and other specific account data.</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ind w:right="300"/>
        <w:spacing w:after="0" w:line="277" w:lineRule="auto"/>
        <w:rPr>
          <w:sz w:val="20"/>
          <w:szCs w:val="20"/>
          <w:color w:val="auto"/>
        </w:rPr>
      </w:pPr>
      <w:r>
        <w:rPr>
          <w:rFonts w:ascii="Arial" w:cs="Arial" w:eastAsia="Arial" w:hAnsi="Arial"/>
          <w:sz w:val="18"/>
          <w:szCs w:val="18"/>
          <w:color w:val="auto"/>
        </w:rPr>
        <w:t>The following table sets forth our net sales by the Americas, Europe, Middle East and Africa (EMEA), and Asia/Pacific (APAC) geographic regions:</w:t>
      </w:r>
    </w:p>
    <w:tbl>
      <w:tblPr>
        <w:tblLayout w:type="fixed"/>
        <w:tblInd w:w="0" w:type="dxa"/>
        <w:tblCellMar>
          <w:top w:w="0" w:type="dxa"/>
          <w:left w:w="0" w:type="dxa"/>
          <w:bottom w:w="0" w:type="dxa"/>
          <w:right w:w="0" w:type="dxa"/>
        </w:tblCellMar>
      </w:tblPr>
      <w:tr>
        <w:trPr>
          <w:trHeight w:val="206"/>
        </w:trPr>
        <w:tc>
          <w:tcPr>
            <w:tcW w:w="3120" w:type="dxa"/>
            <w:vAlign w:val="bottom"/>
            <w:tcBorders>
              <w:top w:val="single" w:sz="8" w:color="00539B"/>
              <w:bottom w:val="single" w:sz="8" w:color="00539B"/>
            </w:tcBorders>
          </w:tcPr>
          <w:p>
            <w:pPr>
              <w:ind w:left="20"/>
              <w:spacing w:after="0"/>
              <w:rPr>
                <w:sz w:val="20"/>
                <w:szCs w:val="20"/>
                <w:color w:val="auto"/>
              </w:rPr>
            </w:pPr>
            <w:r>
              <w:rPr>
                <w:rFonts w:ascii="Arial" w:cs="Arial" w:eastAsia="Arial" w:hAnsi="Arial"/>
                <w:sz w:val="14"/>
                <w:szCs w:val="14"/>
                <w:color w:val="auto"/>
              </w:rPr>
              <w:t>(millions)</w:t>
            </w:r>
          </w:p>
        </w:tc>
        <w:tc>
          <w:tcPr>
            <w:tcW w:w="2760" w:type="dxa"/>
            <w:vAlign w:val="bottom"/>
            <w:tcBorders>
              <w:top w:val="single" w:sz="8" w:color="00539B"/>
              <w:bottom w:val="single" w:sz="8" w:color="00539B"/>
            </w:tcBorders>
          </w:tcPr>
          <w:p>
            <w:pPr>
              <w:spacing w:after="0"/>
              <w:rPr>
                <w:sz w:val="17"/>
                <w:szCs w:val="17"/>
                <w:color w:val="auto"/>
              </w:rPr>
            </w:pPr>
          </w:p>
        </w:tc>
        <w:tc>
          <w:tcPr>
            <w:tcW w:w="1120" w:type="dxa"/>
            <w:vAlign w:val="bottom"/>
            <w:tcBorders>
              <w:top w:val="single" w:sz="8" w:color="00539B"/>
              <w:bottom w:val="single" w:sz="8" w:color="00539B"/>
            </w:tcBorders>
          </w:tcPr>
          <w:p>
            <w:pPr>
              <w:jc w:val="right"/>
              <w:ind w:right="308"/>
              <w:spacing w:after="0"/>
              <w:rPr>
                <w:sz w:val="20"/>
                <w:szCs w:val="20"/>
                <w:color w:val="auto"/>
              </w:rPr>
            </w:pPr>
            <w:r>
              <w:rPr>
                <w:rFonts w:ascii="Arial" w:cs="Arial" w:eastAsia="Arial" w:hAnsi="Arial"/>
                <w:sz w:val="14"/>
                <w:szCs w:val="14"/>
                <w:color w:val="auto"/>
              </w:rPr>
              <w:t>Americas</w:t>
            </w:r>
          </w:p>
        </w:tc>
        <w:tc>
          <w:tcPr>
            <w:tcW w:w="320" w:type="dxa"/>
            <w:vAlign w:val="bottom"/>
            <w:tcBorders>
              <w:top w:val="single" w:sz="8" w:color="00539B"/>
              <w:bottom w:val="single" w:sz="8" w:color="00539B"/>
            </w:tcBorders>
          </w:tcPr>
          <w:p>
            <w:pPr>
              <w:spacing w:after="0"/>
              <w:rPr>
                <w:sz w:val="17"/>
                <w:szCs w:val="17"/>
                <w:color w:val="auto"/>
              </w:rPr>
            </w:pPr>
          </w:p>
        </w:tc>
        <w:tc>
          <w:tcPr>
            <w:tcW w:w="1080" w:type="dxa"/>
            <w:vAlign w:val="bottom"/>
            <w:tcBorders>
              <w:top w:val="single" w:sz="8" w:color="00539B"/>
              <w:bottom w:val="single" w:sz="8" w:color="00539B"/>
            </w:tcBorders>
          </w:tcPr>
          <w:p>
            <w:pPr>
              <w:jc w:val="right"/>
              <w:ind w:right="408"/>
              <w:spacing w:after="0"/>
              <w:rPr>
                <w:sz w:val="20"/>
                <w:szCs w:val="20"/>
                <w:color w:val="auto"/>
              </w:rPr>
            </w:pPr>
            <w:r>
              <w:rPr>
                <w:rFonts w:ascii="Arial" w:cs="Arial" w:eastAsia="Arial" w:hAnsi="Arial"/>
                <w:sz w:val="14"/>
                <w:szCs w:val="14"/>
                <w:color w:val="auto"/>
              </w:rPr>
              <w:t>EMEA</w:t>
            </w:r>
          </w:p>
        </w:tc>
        <w:tc>
          <w:tcPr>
            <w:tcW w:w="940" w:type="dxa"/>
            <w:vAlign w:val="bottom"/>
            <w:tcBorders>
              <w:top w:val="single" w:sz="8" w:color="00539B"/>
              <w:bottom w:val="single" w:sz="8" w:color="00539B"/>
            </w:tcBorders>
          </w:tcPr>
          <w:p>
            <w:pPr>
              <w:jc w:val="right"/>
              <w:spacing w:after="0"/>
              <w:rPr>
                <w:sz w:val="20"/>
                <w:szCs w:val="20"/>
                <w:color w:val="auto"/>
              </w:rPr>
            </w:pPr>
            <w:r>
              <w:rPr>
                <w:rFonts w:ascii="Arial" w:cs="Arial" w:eastAsia="Arial" w:hAnsi="Arial"/>
                <w:sz w:val="14"/>
                <w:szCs w:val="14"/>
                <w:color w:val="auto"/>
              </w:rPr>
              <w:t>APAC</w:t>
            </w:r>
          </w:p>
        </w:tc>
        <w:tc>
          <w:tcPr>
            <w:tcW w:w="440" w:type="dxa"/>
            <w:vAlign w:val="bottom"/>
            <w:tcBorders>
              <w:top w:val="single" w:sz="8" w:color="00539B"/>
              <w:bottom w:val="single" w:sz="8" w:color="00539B"/>
            </w:tcBorders>
          </w:tcPr>
          <w:p>
            <w:pPr>
              <w:spacing w:after="0"/>
              <w:rPr>
                <w:sz w:val="17"/>
                <w:szCs w:val="17"/>
                <w:color w:val="auto"/>
              </w:rPr>
            </w:pPr>
          </w:p>
        </w:tc>
        <w:tc>
          <w:tcPr>
            <w:tcW w:w="340" w:type="dxa"/>
            <w:vAlign w:val="bottom"/>
            <w:tcBorders>
              <w:top w:val="single" w:sz="8" w:color="00539B"/>
              <w:bottom w:val="single" w:sz="8" w:color="00539B"/>
            </w:tcBorders>
          </w:tcPr>
          <w:p>
            <w:pPr>
              <w:spacing w:after="0"/>
              <w:rPr>
                <w:sz w:val="17"/>
                <w:szCs w:val="17"/>
                <w:color w:val="auto"/>
              </w:rPr>
            </w:pPr>
          </w:p>
        </w:tc>
        <w:tc>
          <w:tcPr>
            <w:tcW w:w="1080" w:type="dxa"/>
            <w:vAlign w:val="bottom"/>
            <w:tcBorders>
              <w:top w:val="single" w:sz="8" w:color="00539B"/>
              <w:bottom w:val="single" w:sz="8" w:color="00539B"/>
            </w:tcBorders>
          </w:tcPr>
          <w:p>
            <w:pPr>
              <w:jc w:val="right"/>
              <w:ind w:right="488"/>
              <w:spacing w:after="0"/>
              <w:rPr>
                <w:sz w:val="20"/>
                <w:szCs w:val="20"/>
                <w:color w:val="auto"/>
              </w:rPr>
            </w:pPr>
            <w:r>
              <w:rPr>
                <w:rFonts w:ascii="Arial" w:cs="Arial" w:eastAsia="Arial" w:hAnsi="Arial"/>
                <w:sz w:val="14"/>
                <w:szCs w:val="14"/>
                <w:color w:val="auto"/>
              </w:rPr>
              <w:t>Total</w:t>
            </w:r>
          </w:p>
        </w:tc>
      </w:tr>
      <w:tr>
        <w:trPr>
          <w:trHeight w:val="200"/>
        </w:trPr>
        <w:tc>
          <w:tcPr>
            <w:tcW w:w="3120" w:type="dxa"/>
            <w:vAlign w:val="bottom"/>
            <w:shd w:val="clear" w:color="auto" w:fill="E0E3F1"/>
          </w:tcPr>
          <w:p>
            <w:pPr>
              <w:ind w:left="20"/>
              <w:spacing w:after="0"/>
              <w:rPr>
                <w:sz w:val="20"/>
                <w:szCs w:val="20"/>
                <w:color w:val="auto"/>
              </w:rPr>
            </w:pPr>
            <w:r>
              <w:rPr>
                <w:rFonts w:ascii="Arial" w:cs="Arial" w:eastAsia="Arial" w:hAnsi="Arial"/>
                <w:sz w:val="14"/>
                <w:szCs w:val="14"/>
                <w:color w:val="auto"/>
              </w:rPr>
              <w:t>2025</w:t>
            </w:r>
          </w:p>
        </w:tc>
        <w:tc>
          <w:tcPr>
            <w:tcW w:w="2760" w:type="dxa"/>
            <w:vAlign w:val="bottom"/>
            <w:shd w:val="clear" w:color="auto" w:fill="E0E3F1"/>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E0E3F1"/>
          </w:tcPr>
          <w:p>
            <w:pPr>
              <w:jc w:val="right"/>
              <w:spacing w:after="0"/>
              <w:rPr>
                <w:sz w:val="20"/>
                <w:szCs w:val="20"/>
                <w:color w:val="auto"/>
              </w:rPr>
            </w:pPr>
            <w:r>
              <w:rPr>
                <w:rFonts w:ascii="Arial" w:cs="Arial" w:eastAsia="Arial" w:hAnsi="Arial"/>
                <w:sz w:val="14"/>
                <w:szCs w:val="14"/>
                <w:color w:val="auto"/>
              </w:rPr>
              <w:t>4,867.8</w:t>
            </w:r>
          </w:p>
        </w:tc>
        <w:tc>
          <w:tcPr>
            <w:tcW w:w="320" w:type="dxa"/>
            <w:vAlign w:val="bottom"/>
            <w:shd w:val="clear" w:color="auto" w:fill="E0E3F1"/>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0E3F1"/>
          </w:tcPr>
          <w:p>
            <w:pPr>
              <w:jc w:val="right"/>
              <w:spacing w:after="0"/>
              <w:rPr>
                <w:sz w:val="20"/>
                <w:szCs w:val="20"/>
                <w:color w:val="auto"/>
              </w:rPr>
            </w:pPr>
            <w:r>
              <w:rPr>
                <w:rFonts w:ascii="Arial" w:cs="Arial" w:eastAsia="Arial" w:hAnsi="Arial"/>
                <w:sz w:val="14"/>
                <w:szCs w:val="14"/>
                <w:color w:val="auto"/>
              </w:rPr>
              <w:t>1,268.5</w:t>
            </w:r>
          </w:p>
        </w:tc>
        <w:tc>
          <w:tcPr>
            <w:tcW w:w="940" w:type="dxa"/>
            <w:vAlign w:val="bottom"/>
            <w:shd w:val="clear" w:color="auto" w:fill="E0E3F1"/>
          </w:tcPr>
          <w:p>
            <w:pPr>
              <w:jc w:val="right"/>
              <w:ind w:right="748"/>
              <w:spacing w:after="0"/>
              <w:rPr>
                <w:sz w:val="20"/>
                <w:szCs w:val="20"/>
                <w:color w:val="auto"/>
              </w:rPr>
            </w:pPr>
            <w:r>
              <w:rPr>
                <w:rFonts w:ascii="Arial" w:cs="Arial" w:eastAsia="Arial" w:hAnsi="Arial"/>
                <w:sz w:val="14"/>
                <w:szCs w:val="14"/>
                <w:color w:val="auto"/>
              </w:rPr>
              <w:t>$</w:t>
            </w:r>
          </w:p>
        </w:tc>
        <w:tc>
          <w:tcPr>
            <w:tcW w:w="440" w:type="dxa"/>
            <w:vAlign w:val="bottom"/>
            <w:shd w:val="clear" w:color="auto" w:fill="E0E3F1"/>
          </w:tcPr>
          <w:p>
            <w:pPr>
              <w:jc w:val="right"/>
              <w:spacing w:after="0"/>
              <w:rPr>
                <w:sz w:val="20"/>
                <w:szCs w:val="20"/>
                <w:color w:val="auto"/>
              </w:rPr>
            </w:pPr>
            <w:r>
              <w:rPr>
                <w:rFonts w:ascii="Arial" w:cs="Arial" w:eastAsia="Arial" w:hAnsi="Arial"/>
                <w:sz w:val="14"/>
                <w:szCs w:val="14"/>
                <w:color w:val="auto"/>
              </w:rPr>
              <w:t>704.0</w:t>
            </w:r>
          </w:p>
        </w:tc>
        <w:tc>
          <w:tcPr>
            <w:tcW w:w="340" w:type="dxa"/>
            <w:vAlign w:val="bottom"/>
            <w:shd w:val="clear" w:color="auto" w:fill="E0E3F1"/>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0E3F1"/>
          </w:tcPr>
          <w:p>
            <w:pPr>
              <w:jc w:val="right"/>
              <w:spacing w:after="0"/>
              <w:rPr>
                <w:sz w:val="20"/>
                <w:szCs w:val="20"/>
                <w:color w:val="auto"/>
              </w:rPr>
            </w:pPr>
            <w:r>
              <w:rPr>
                <w:rFonts w:ascii="Arial" w:cs="Arial" w:eastAsia="Arial" w:hAnsi="Arial"/>
                <w:sz w:val="14"/>
                <w:szCs w:val="14"/>
                <w:color w:val="auto"/>
              </w:rPr>
              <w:t>6,840.3</w:t>
            </w:r>
          </w:p>
        </w:tc>
      </w:tr>
      <w:tr>
        <w:trPr>
          <w:trHeight w:val="194"/>
        </w:trPr>
        <w:tc>
          <w:tcPr>
            <w:tcW w:w="3120" w:type="dxa"/>
            <w:vAlign w:val="bottom"/>
          </w:tcPr>
          <w:p>
            <w:pPr>
              <w:ind w:left="20"/>
              <w:spacing w:after="0"/>
              <w:rPr>
                <w:sz w:val="20"/>
                <w:szCs w:val="20"/>
                <w:color w:val="auto"/>
              </w:rPr>
            </w:pPr>
            <w:r>
              <w:rPr>
                <w:rFonts w:ascii="Arial" w:cs="Arial" w:eastAsia="Arial" w:hAnsi="Arial"/>
                <w:sz w:val="14"/>
                <w:szCs w:val="14"/>
                <w:color w:val="auto"/>
              </w:rPr>
              <w:t>2024</w:t>
            </w:r>
          </w:p>
        </w:tc>
        <w:tc>
          <w:tcPr>
            <w:tcW w:w="2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4,801.9</w:t>
            </w: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1,239.3</w:t>
            </w:r>
          </w:p>
        </w:tc>
        <w:tc>
          <w:tcPr>
            <w:tcW w:w="94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682.5</w:t>
            </w: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6,723.7</w:t>
            </w:r>
          </w:p>
        </w:tc>
      </w:tr>
      <w:tr>
        <w:trPr>
          <w:trHeight w:val="203"/>
        </w:trPr>
        <w:tc>
          <w:tcPr>
            <w:tcW w:w="3120" w:type="dxa"/>
            <w:vAlign w:val="bottom"/>
          </w:tcPr>
          <w:p>
            <w:pPr>
              <w:ind w:left="20"/>
              <w:spacing w:after="0"/>
              <w:rPr>
                <w:sz w:val="20"/>
                <w:szCs w:val="20"/>
                <w:color w:val="auto"/>
              </w:rPr>
            </w:pPr>
            <w:r>
              <w:rPr>
                <w:rFonts w:ascii="Arial" w:cs="Arial" w:eastAsia="Arial" w:hAnsi="Arial"/>
                <w:sz w:val="14"/>
                <w:szCs w:val="14"/>
                <w:color w:val="auto"/>
              </w:rPr>
              <w:t>2023</w:t>
            </w:r>
          </w:p>
        </w:tc>
        <w:tc>
          <w:tcPr>
            <w:tcW w:w="2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4,756.9</w:t>
            </w: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1,212.8</w:t>
            </w:r>
          </w:p>
        </w:tc>
        <w:tc>
          <w:tcPr>
            <w:tcW w:w="94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692.5</w:t>
            </w: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6,662.2</w:t>
            </w: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2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Our revenues primarily result from contracts or purchase orders with customers, which generally are both short-term in nature and have a single performance obligation—the delivery of our products to customers. We assess the goods and services promised in our customers’ contracts or purchase orders and identify a performance obligation for each promise to transfer a good or service (or bundle of goods or services) that is distinct. To identify the performance obligations, we consider all the goods or services promised, whether explicitly stated or implied based on customary business practices.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Judgments</w:t>
      </w:r>
    </w:p>
    <w:p>
      <w:pPr>
        <w:spacing w:after="0" w:line="2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Sales are recorded net of trade and sales incentives and estimated product returns. Known or expected pricing or revenue adjustments, such as trade discounts, rebates or returns, are estimated at the time of sale. Where applicable, future reimbursements are estimated based on a combination of historical patterns and the Company's then-current expectations regarding what was earned through these programs as of the balance sheet date. Key sales terms, such as pricing and quantities ordered, are established on a frequent basis such that most customer arrangements and related incentives have a one-year or shorter duration. Estimates that affect revenue, such as trade incentives and product returns, are monitored and adjusted each period until the incentives or product returns are realized. The adjustments recognized during the years ended November 30, 2025, 2024, and 2023 resulting from updated estimates of revenue for prior year product sales were not significant. The unsettled portion remaining in accrued liabilities for these activities was $228.8 million and $206.4 million at November 30, 2025 and 2024,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00539B"/>
        </w:rPr>
        <w:t>Shipping and Handling</w:t>
      </w:r>
    </w:p>
    <w:p>
      <w:pPr>
        <w:spacing w:after="0" w:line="27"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color w:val="auto"/>
        </w:rPr>
        <w:t>Shipping and handling costs on our products sold to customers related to activities that occur before the customer has obtained control of a good are included in cost of goods sold in the consolidated income statement.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539B"/>
        </w:rPr>
        <w:t>Brand Marketing Support</w:t>
      </w:r>
    </w:p>
    <w:p>
      <w:pPr>
        <w:spacing w:after="0" w:line="2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Total brand marketing support costs, which are included in our consolidated income statement in the line entitled "Selling, general and administrative expense," were $276.7 million, $265.0 million, and $247.1 million for 2025, 2024, and 2023, respectively. Brand marketing support costs include advertising and promotions but exclude trade funds paid to customers for such activities. All trade funds paid to customers are reflected in the consolidated income statement as a reduction of net sales. Promotion costs include public relations, shopper marketing, social marketing activities, general consumer promotion activities and depreciation of assets used in these promotional activities. Advertising costs include the development, production and communication of advertisements through television, digital, print and radio. Development and production costs are expensed in the period in which the advertisement is first run. All other costs of advertising are expensed as incurred. Advertising expense was $225.1 million, $218.8 million, and $198.1 million for 2025, 2024, and 2023,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00539B"/>
        </w:rPr>
        <w:t>Research and Development</w:t>
      </w:r>
    </w:p>
    <w:p>
      <w:pPr>
        <w:spacing w:after="0" w:line="27"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Research and development costs are expensed as incurred and are included in our consolidated income statement in the line entitled "Selling, general and administrative expense." Research and development expense was $106.1 million, $102.9 million, and $94.9 million for 2025, 2024, and 2023,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00539B"/>
        </w:rPr>
        <w:t>Income Taxes</w:t>
      </w:r>
    </w:p>
    <w:p>
      <w:pPr>
        <w:spacing w:after="0" w:line="2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Income taxes are recognized in accordance with the liability method of accounting. Deferred taxes are recognized for the estimated taxes ultimately payable or recoverable based on enacted tax law. Inherent in determining our annual tax rate are judgments regarding business plans, planning opportunities, and expectations about future outcomes. Realization of certain deferred tax assets, primarily net operating loss and other carryforwards, is dependent upon generating sufficient taxable income in the appropriate jurisdiction prior to the expiration of the carryforward periods. Changes in enacted tax rates are reflected in the tax provision as they occur.</w:t>
      </w:r>
    </w:p>
    <w:p>
      <w:pPr>
        <w:spacing w:after="0" w:line="129"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We record valuation allowances to reduce deferred tax assets to the amount that is more likely than not to be realized. When assessing the need for valuation allowances, we consider future taxable income and ongoing</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53" w:name="page54"/>
    <w:bookmarkEnd w:id="53"/>
    <w:p>
      <w:pPr>
        <w:ind w:right="480"/>
        <w:spacing w:after="0" w:line="268" w:lineRule="auto"/>
        <w:rPr>
          <w:sz w:val="20"/>
          <w:szCs w:val="20"/>
          <w:color w:val="auto"/>
        </w:rPr>
      </w:pPr>
      <w:r>
        <w:rPr>
          <w:rFonts w:ascii="Arial" w:cs="Arial" w:eastAsia="Arial" w:hAnsi="Arial"/>
          <w:sz w:val="18"/>
          <w:szCs w:val="18"/>
          <w:color w:val="auto"/>
        </w:rPr>
        <w:t>prudent and feasible tax planning strategies. Should a change in circumstances lead to a change in judgment about the realizability of deferred tax assets in future years, we would adjust related valuation allowances in the period that the change in circumstances occurs, along with a corresponding adjustment to our provision for income taxes.</w:t>
      </w:r>
    </w:p>
    <w:p>
      <w:pPr>
        <w:spacing w:after="0" w:line="11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recognize a tax position in our financial statements when it is more likely than not that the position will be sustained upon examination based on the technical merits of the position. That position is then measured at the largest amount of benefit that is greater than 50 percent likely of being realized upon ultimate settlement. The resolution of tax reserves and changes in valuation allowances could be material to our results of operations for any period but is not expected to be material to our financial position.</w:t>
      </w:r>
    </w:p>
    <w:p>
      <w:pPr>
        <w:spacing w:after="0" w:line="12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are subject to a U.S. tax requirement that certain income earned by foreign subsidiaries, referred to as Global Intangible Low-Taxed Income (GILTI), must be included in the gross income of the subsidiary’s U.S. shareholder. Accounting principles generally accepted in the U.S. provide for an accounting policy election of either recognizing deferred taxes for temporary differences expected to reverse as GILTI in future years or recognizing such taxes as a current period expense when incurred. We have elected to treat GILTI as a current period expense when incurred.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00539B"/>
        </w:rPr>
        <w:t>Stock-Based Compensation</w:t>
      </w:r>
    </w:p>
    <w:p>
      <w:pPr>
        <w:spacing w:after="0" w:line="2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We recognize stock-based compensation expense associated with options and restricted stock units (RSUs), which contain provisions that such awards fully vest upon an employee’s retirement, ratably over the shorter of the vesting period or the employees’ retirement eligibility date. Accordingly, we recognize stock-based compensation associated with options and RSUs subject to immediate retirement eligible vesting provisions on the date of grant.</w:t>
      </w:r>
    </w:p>
    <w:p>
      <w:pPr>
        <w:spacing w:after="0" w:line="128" w:lineRule="exact"/>
        <w:rPr>
          <w:sz w:val="20"/>
          <w:szCs w:val="20"/>
          <w:color w:val="auto"/>
        </w:rPr>
      </w:pPr>
    </w:p>
    <w:p>
      <w:pPr>
        <w:jc w:val="both"/>
        <w:ind w:right="340"/>
        <w:spacing w:after="0" w:line="268" w:lineRule="auto"/>
        <w:rPr>
          <w:sz w:val="20"/>
          <w:szCs w:val="20"/>
          <w:color w:val="auto"/>
        </w:rPr>
      </w:pPr>
      <w:r>
        <w:rPr>
          <w:rFonts w:ascii="Arial" w:cs="Arial" w:eastAsia="Arial" w:hAnsi="Arial"/>
          <w:sz w:val="18"/>
          <w:szCs w:val="18"/>
          <w:color w:val="auto"/>
        </w:rPr>
        <w:t>Compensation expense associated with our long-term performance plan (LTPP) is recorded in the income statement over the three-year period of the program based on the number of shares ultimately expected to be awarded using our estimate of the most likely outcome of achieving the performance objectives.</w:t>
      </w:r>
    </w:p>
    <w:p>
      <w:pPr>
        <w:spacing w:after="0" w:line="117"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We recognize stock-based compensation expense associated with price-vested stock options ratably over the vesting period as such options do not contain provisions that fully vest these awards upon an employee becoming retirement eligible.</w:t>
      </w:r>
    </w:p>
    <w:p>
      <w:pPr>
        <w:spacing w:after="0" w:line="99"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We estimate forfeitures associated with all stock-based compensation at the time of grant based on historical experience and revise this estimate in subsequent periods if actual forfeitures differ.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539B"/>
        </w:rPr>
        <w:t>Derivative Instruments</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record all derivatives on our balance sheet at fair value. The fair value of derivative instruments is recorded in our consolidated balance sheet on the lines entitled “Other current assets," "Other long-term assets," "Other accrued liabilities," or "Other long-term liabilities" depending on their fair value and maturity. Gains and losses representing either hedge ineffectiveness, hedge components excluded from the assessment of effectiveness, or hedges of translational exposure are recorded in our consolidated income statement in the lines entitled "Other income (expense), net" or "Interest expense." In our consolidated cash flow statement, settlements of cash flow and fair value hedges are classified as operating activities; settlements of all other derivative instruments, including instruments for which hedge accounting has been discontinued, are classified consistent with the nature of the instruments.</w:t>
      </w:r>
    </w:p>
    <w:p>
      <w:pPr>
        <w:spacing w:after="0" w:line="12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i w:val="1"/>
          <w:iCs w:val="1"/>
          <w:color w:val="auto"/>
        </w:rPr>
        <w:t xml:space="preserve">Cash flow hedges. </w:t>
      </w:r>
      <w:r>
        <w:rPr>
          <w:rFonts w:ascii="Arial" w:cs="Arial" w:eastAsia="Arial" w:hAnsi="Arial"/>
          <w:sz w:val="18"/>
          <w:szCs w:val="18"/>
          <w:color w:val="auto"/>
        </w:rPr>
        <w:t>Qualifying derivatives are accounted for as cash flow hedges when the hedged item is a forecasted transaction. Gains</w:t>
      </w:r>
      <w:r>
        <w:rPr>
          <w:rFonts w:ascii="Arial" w:cs="Arial" w:eastAsia="Arial" w:hAnsi="Arial"/>
          <w:sz w:val="18"/>
          <w:szCs w:val="18"/>
          <w:i w:val="1"/>
          <w:iCs w:val="1"/>
          <w:color w:val="auto"/>
        </w:rPr>
        <w:t xml:space="preserve"> </w:t>
      </w:r>
      <w:r>
        <w:rPr>
          <w:rFonts w:ascii="Arial" w:cs="Arial" w:eastAsia="Arial" w:hAnsi="Arial"/>
          <w:sz w:val="18"/>
          <w:szCs w:val="18"/>
          <w:color w:val="auto"/>
        </w:rPr>
        <w:t>and losses on these instruments are recorded in our consolidated balance sheet on the line entitled “Accumulated other comprehensive income (loss)" until the underlying transaction is recorded in earnings. When the hedged item is realized, gains or losses are reclassified from "Accumulated other comprehensive income (loss)" in our consolidated balance sheet to our consolidated income statement on the same line items as the underlying transactions.</w:t>
      </w:r>
    </w:p>
    <w:p>
      <w:pPr>
        <w:spacing w:after="0" w:line="206"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i w:val="1"/>
          <w:iCs w:val="1"/>
          <w:color w:val="auto"/>
        </w:rPr>
        <w:t xml:space="preserve">Fair value hedges. </w:t>
      </w:r>
      <w:r>
        <w:rPr>
          <w:rFonts w:ascii="Arial" w:cs="Arial" w:eastAsia="Arial" w:hAnsi="Arial"/>
          <w:sz w:val="18"/>
          <w:szCs w:val="18"/>
          <w:color w:val="auto"/>
        </w:rPr>
        <w:t>Qualifying derivatives are accounted for as fair value hedges when the hedged item is a recognized asset, liability, or firm</w:t>
      </w:r>
      <w:r>
        <w:rPr>
          <w:rFonts w:ascii="Arial" w:cs="Arial" w:eastAsia="Arial" w:hAnsi="Arial"/>
          <w:sz w:val="18"/>
          <w:szCs w:val="18"/>
          <w:i w:val="1"/>
          <w:iCs w:val="1"/>
          <w:color w:val="auto"/>
        </w:rPr>
        <w:t xml:space="preserve"> </w:t>
      </w:r>
      <w:r>
        <w:rPr>
          <w:rFonts w:ascii="Arial" w:cs="Arial" w:eastAsia="Arial" w:hAnsi="Arial"/>
          <w:sz w:val="18"/>
          <w:szCs w:val="18"/>
          <w:color w:val="auto"/>
        </w:rPr>
        <w:t>commitment. Gains and losses on these instruments are recorded in earnings, offsetting gains and losses on the hedged item.</w:t>
      </w:r>
    </w:p>
    <w:p>
      <w:pPr>
        <w:spacing w:after="0" w:line="180"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i w:val="1"/>
          <w:iCs w:val="1"/>
          <w:color w:val="auto"/>
        </w:rPr>
        <w:t xml:space="preserve">Net investment hedges. </w:t>
      </w:r>
      <w:r>
        <w:rPr>
          <w:rFonts w:ascii="Arial" w:cs="Arial" w:eastAsia="Arial" w:hAnsi="Arial"/>
          <w:sz w:val="18"/>
          <w:szCs w:val="18"/>
          <w:color w:val="auto"/>
        </w:rPr>
        <w:t>Qualifying derivative and nonderivative financial instruments are accounted for as net investment hedges when the</w:t>
      </w:r>
      <w:r>
        <w:rPr>
          <w:rFonts w:ascii="Arial" w:cs="Arial" w:eastAsia="Arial" w:hAnsi="Arial"/>
          <w:sz w:val="18"/>
          <w:szCs w:val="18"/>
          <w:i w:val="1"/>
          <w:iCs w:val="1"/>
          <w:color w:val="auto"/>
        </w:rPr>
        <w:t xml:space="preserve"> </w:t>
      </w:r>
      <w:r>
        <w:rPr>
          <w:rFonts w:ascii="Arial" w:cs="Arial" w:eastAsia="Arial" w:hAnsi="Arial"/>
          <w:sz w:val="18"/>
          <w:szCs w:val="18"/>
          <w:color w:val="auto"/>
        </w:rPr>
        <w:t>hedged item is a nonfunctional currency investment in a subsidiary. Gains and losses on these instruments are included in foreign currency translation adjustments, a component of “Accumulated other comprehensive income (loss)" in our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00539B"/>
        </w:rPr>
        <w:t>Employee Benefit and Retirement Plans</w:t>
      </w:r>
    </w:p>
    <w:p>
      <w:pPr>
        <w:spacing w:after="0" w:line="27"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We sponsor defined benefit pension plans in the U.S. and certain foreign locations. In addition, we sponsor defined contribution plans in the U.S. We contribute to defined contribution plans in locations outside the U.S., including government-sponsored retirement plans. We also currently provide postretirement medical and life insurance benefits to certain U.S. employees and retirees.</w:t>
      </w:r>
    </w:p>
    <w:p>
      <w:pPr>
        <w:spacing w:after="0" w:line="124"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We recognize the overfunded or underfunded status of our defined benefit pension plans as an asset or a liability in our balance sheet, with changes in the funded status recorded through other comprehensive income in the year in which those changes occur.</w:t>
      </w:r>
    </w:p>
    <w:p>
      <w:pPr>
        <w:spacing w:after="0" w:line="9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expected return on plan assets is determined using the expected rate of return and a calculated value of plan assets referred to as the market-related value of plan assets. Differences between assumed and actual returns are amortized to the market-related value of assets on a straight-line basis over five years.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use the corridor approach in the valuation of defined benefit pension and postretirement benefit plans. The corridor approach defers all actuarial gains and losses resulting from variances between actual results and actuarial assumptions. Those unrecognized gains and losses are amortized when the net gains and losses exceed 10% of the greater of the market-related value of plan assets or the projected benefit obligation at the beginning of the year. The amount in excess of the corridor is amortized over the average remaining life expectancy of retired plan participants, for plans whose benefits have been frozen, or the average remaining service period to retirement date of active plan participants.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539B"/>
        </w:rPr>
        <w:t>Accounting Pronouncements Adopted in 2023</w:t>
      </w:r>
    </w:p>
    <w:p>
      <w:pPr>
        <w:spacing w:after="0" w:line="2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 xml:space="preserve">In March 2020, the FASB issued ASU No. 2020-04 </w:t>
      </w:r>
      <w:r>
        <w:rPr>
          <w:rFonts w:ascii="Arial" w:cs="Arial" w:eastAsia="Arial" w:hAnsi="Arial"/>
          <w:sz w:val="18"/>
          <w:szCs w:val="18"/>
          <w:i w:val="1"/>
          <w:iCs w:val="1"/>
          <w:color w:val="auto"/>
        </w:rPr>
        <w:t>Reference Rate Reform (Topic 848): Facilitation of the Effects of Reference Rate Reform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on Financial Reporting </w:t>
      </w:r>
      <w:r>
        <w:rPr>
          <w:rFonts w:ascii="Arial" w:cs="Arial" w:eastAsia="Arial" w:hAnsi="Arial"/>
          <w:sz w:val="18"/>
          <w:szCs w:val="18"/>
          <w:color w:val="auto"/>
        </w:rPr>
        <w:t>that provides optional expedients for a limited period of time for accounting for contracts, hedging relationships,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other transactions affected by the London Interbank Offered Rate (LIBOR) or other reference rates expected to be discontinued. These optional expedients could be applied from March 2020 through December 31, 2022. In December 2022, the FASB issued ASU No. 2022-06 </w:t>
      </w:r>
      <w:r>
        <w:rPr>
          <w:rFonts w:ascii="Arial" w:cs="Arial" w:eastAsia="Arial" w:hAnsi="Arial"/>
          <w:sz w:val="18"/>
          <w:szCs w:val="18"/>
          <w:i w:val="1"/>
          <w:iCs w:val="1"/>
          <w:color w:val="auto"/>
        </w:rPr>
        <w:t xml:space="preserve">Reference Rate Reform (Topic 848): Deferral of the Sunset Date of Topic 848 </w:t>
      </w:r>
      <w:r>
        <w:rPr>
          <w:rFonts w:ascii="Arial" w:cs="Arial" w:eastAsia="Arial" w:hAnsi="Arial"/>
          <w:sz w:val="18"/>
          <w:szCs w:val="18"/>
          <w:color w:val="auto"/>
        </w:rPr>
        <w:t>which deferred the sunset date of Topic 848 from December</w:t>
      </w:r>
      <w:r>
        <w:rPr>
          <w:rFonts w:ascii="Arial" w:cs="Arial" w:eastAsia="Arial" w:hAnsi="Arial"/>
          <w:sz w:val="18"/>
          <w:szCs w:val="18"/>
          <w:i w:val="1"/>
          <w:iCs w:val="1"/>
          <w:color w:val="auto"/>
        </w:rPr>
        <w:t xml:space="preserve"> </w:t>
      </w:r>
      <w:r>
        <w:rPr>
          <w:rFonts w:ascii="Arial" w:cs="Arial" w:eastAsia="Arial" w:hAnsi="Arial"/>
          <w:sz w:val="18"/>
          <w:szCs w:val="18"/>
          <w:color w:val="auto"/>
        </w:rPr>
        <w:t>31, 2022 to December 31, 2024. The phase out of LIBOR reference rates occurred at different times and began on January 1, 2022. During 2022 and 2023, we amended our interest rate swaps expiring in November 2025 and August 2027, the cross-currency interest rate swap expiring in August 2027, and our five-year revolving credit facility expiring in July 2026 to no longer use LIBOR. Our adoption of this standard was completed during 2023. There was no material impact to our consolidated financial statements associated with adopting this new standard.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00539B"/>
        </w:rPr>
        <w:t>Accounting Pronouncements Adopted in 2023 and 2025</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In September 2022, the FASB issued ASU No. 2022-04: </w:t>
      </w:r>
      <w:r>
        <w:rPr>
          <w:rFonts w:ascii="Arial" w:cs="Arial" w:eastAsia="Arial" w:hAnsi="Arial"/>
          <w:sz w:val="18"/>
          <w:szCs w:val="18"/>
          <w:i w:val="1"/>
          <w:iCs w:val="1"/>
          <w:color w:val="auto"/>
        </w:rPr>
        <w:t>Liabilities - Supplier Finance Programs (Topic 450-50): Disclosure of Supplier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Finance Program Obligations </w:t>
      </w:r>
      <w:r>
        <w:rPr>
          <w:rFonts w:ascii="Arial" w:cs="Arial" w:eastAsia="Arial" w:hAnsi="Arial"/>
          <w:sz w:val="18"/>
          <w:szCs w:val="18"/>
          <w:color w:val="auto"/>
        </w:rPr>
        <w:t>that requires entities that use supplier finance programs in connection with the purchase of goods and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to disclose the key terms of the programs and information about obligations outstanding at the end of the reporting period, including a roll-forward of those obligations. The guidance does not affect the recognition, measurement, or financial statement presentation of supplier finance program obligations. We met the requirements to disclose the key terms of the programs and information about obligations outstanding effective November 30, 2023. The requirement to include a roll-forward of the obligations is effective for our annual period ending November 30, 2025. We include disclosure regarding the key terms of our program and a roll forward of the obligation outstanding in Note 1. The adoption of the new standard did not have a material impact on our consolidated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00539B"/>
        </w:rPr>
        <w:t>Accounting Pronouncements Adopted in 2025</w:t>
      </w:r>
    </w:p>
    <w:p>
      <w:pPr>
        <w:spacing w:after="0" w:line="2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 xml:space="preserve">In November 2023, the FASB issued ASU No. 2023-07: </w:t>
      </w:r>
      <w:r>
        <w:rPr>
          <w:rFonts w:ascii="Arial" w:cs="Arial" w:eastAsia="Arial" w:hAnsi="Arial"/>
          <w:sz w:val="18"/>
          <w:szCs w:val="18"/>
          <w:i w:val="1"/>
          <w:iCs w:val="1"/>
          <w:color w:val="auto"/>
        </w:rPr>
        <w:t>Segment Reporting (Topic 280): Improvements to Reportable Segment Disclosures</w:t>
      </w:r>
      <w:r>
        <w:rPr>
          <w:rFonts w:ascii="Arial" w:cs="Arial" w:eastAsia="Arial" w:hAnsi="Arial"/>
          <w:sz w:val="18"/>
          <w:szCs w:val="18"/>
          <w:color w:val="auto"/>
        </w:rPr>
        <w:t xml:space="preserve"> that requires entities to report incremental information about significant segment expenses included in a segment’s profit or loss measure as well as the position and title of the chief operating decision maker. The guidance also requires interim disclosures related to reportable segment profit or loss and assets that had previously only been disclosed annually. The new standard requirements are effective for our annual period ending November 30, 2025 and interim periods of our fiscal year ending November 30, 2026. We include significant segment expenses and the required disclosure about our chief operating decision maker in Note 15. The adoption of the new standard did not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00539B"/>
        </w:rPr>
        <w:t>Recently Issued Accounting Pronouncements — Pending Adoption</w:t>
      </w:r>
    </w:p>
    <w:p>
      <w:pPr>
        <w:spacing w:after="0" w:line="2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 xml:space="preserve">In December 2023, the FASB issued ASU No. 2023-09: </w:t>
      </w:r>
      <w:r>
        <w:rPr>
          <w:rFonts w:ascii="Arial" w:cs="Arial" w:eastAsia="Arial" w:hAnsi="Arial"/>
          <w:sz w:val="18"/>
          <w:szCs w:val="18"/>
          <w:i w:val="1"/>
          <w:iCs w:val="1"/>
          <w:color w:val="auto"/>
        </w:rPr>
        <w:t>Income Taxes (Topic 740): Improvements to Income Tax Disclosures</w:t>
      </w:r>
      <w:r>
        <w:rPr>
          <w:rFonts w:ascii="Arial" w:cs="Arial" w:eastAsia="Arial" w:hAnsi="Arial"/>
          <w:sz w:val="18"/>
          <w:szCs w:val="18"/>
          <w:color w:val="auto"/>
        </w:rPr>
        <w:t xml:space="preserve"> that requires entities to disclose additional information about federal, state, and foreign income taxes primarily related to the income tax rate reconciliation and income taxes paid. The new standard also eliminates certain existing disclosure requirements related to uncertain tax positions and unrecognized deferred tax liabilities. The guidance is effective for our fiscal year ending November 30, 2026. The guidance does not affect recognition or measurement in our consolidated financial statements.</w:t>
      </w:r>
    </w:p>
    <w:p>
      <w:pPr>
        <w:spacing w:after="0" w:line="1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In November 2024, the FASB issued ASU No. 2024-03: </w:t>
      </w:r>
      <w:r>
        <w:rPr>
          <w:rFonts w:ascii="Arial" w:cs="Arial" w:eastAsia="Arial" w:hAnsi="Arial"/>
          <w:sz w:val="18"/>
          <w:szCs w:val="18"/>
          <w:i w:val="1"/>
          <w:iCs w:val="1"/>
          <w:color w:val="auto"/>
        </w:rPr>
        <w:t>Income Statement – Reporting Comprehensive Income – Expense Disaggregation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Disclosures (Subtopic 220-40) </w:t>
      </w:r>
      <w:r>
        <w:rPr>
          <w:rFonts w:ascii="Arial" w:cs="Arial" w:eastAsia="Arial" w:hAnsi="Arial"/>
          <w:sz w:val="18"/>
          <w:szCs w:val="18"/>
          <w:color w:val="auto"/>
        </w:rPr>
        <w:t>that requires more detailed disclosure about certain costs and expenses presented in the income statement,</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inventory purchases, employee compensation, selling expense and depreciation expense. The guidance is effective for our annual period ending November 30, 2028 and our interim periods during the fiscal year ending November 30, 2029. The guidance does not affect recognition or measurement in our consolidated financial statements.</w:t>
      </w:r>
    </w:p>
    <w:p>
      <w:pPr>
        <w:spacing w:after="0" w:line="1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In September 2025, the FASB issued ASU No. 2025-06: </w:t>
      </w:r>
      <w:r>
        <w:rPr>
          <w:rFonts w:ascii="Arial" w:cs="Arial" w:eastAsia="Arial" w:hAnsi="Arial"/>
          <w:sz w:val="18"/>
          <w:szCs w:val="18"/>
          <w:i w:val="1"/>
          <w:iCs w:val="1"/>
          <w:color w:val="auto"/>
        </w:rPr>
        <w:t>Intangibles - Goodwill and Other - Internal-Use Software (Topic 350-40): Targeted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Improvements to the Accounting for Internal-Use Software </w:t>
      </w:r>
      <w:r>
        <w:rPr>
          <w:rFonts w:ascii="Arial" w:cs="Arial" w:eastAsia="Arial" w:hAnsi="Arial"/>
          <w:sz w:val="18"/>
          <w:szCs w:val="18"/>
          <w:color w:val="auto"/>
        </w:rPr>
        <w:t>that changes the guidance on when to begin capitalizing costs to develop internal-use software. The guidance does not change the types of costs that are capitalizable. The guidance permits prospective adoption for our fiscal year ending November 30, 2028. We are currently evaluating the impact that the new guidance will have on our consolidated financial statements.</w:t>
      </w:r>
    </w:p>
    <w:p>
      <w:pPr>
        <w:spacing w:after="0" w:line="125"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 xml:space="preserve">In November 2025, the FASB issued ASU No. 2025-09: </w:t>
      </w:r>
      <w:r>
        <w:rPr>
          <w:rFonts w:ascii="Arial" w:cs="Arial" w:eastAsia="Arial" w:hAnsi="Arial"/>
          <w:sz w:val="18"/>
          <w:szCs w:val="18"/>
          <w:i w:val="1"/>
          <w:iCs w:val="1"/>
          <w:color w:val="auto"/>
        </w:rPr>
        <w:t>Derivatives and Hedging (Topic 815), Hedge Accounting Improvements</w:t>
      </w:r>
      <w:r>
        <w:rPr>
          <w:rFonts w:ascii="Arial" w:cs="Arial" w:eastAsia="Arial" w:hAnsi="Arial"/>
          <w:sz w:val="18"/>
          <w:szCs w:val="18"/>
          <w:color w:val="auto"/>
        </w:rPr>
        <w:t xml:space="preserve"> that better aligns the hedge accounting model with risk management activities. The guidance is effective for our fiscal year ending November 30, 2028, with early adoption permitted. We are currently evaluating the impact that the new guidance will have on our consolidated financial statements and our date of adoption.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539B"/>
        </w:rPr>
        <w:t>2. SPECIAL CHARGES</w:t>
      </w:r>
    </w:p>
    <w:p>
      <w:pPr>
        <w:spacing w:after="0" w:line="104"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The following is a summary of special charges, including transaction and integration expenses, recognized for the years ended November 30 (in millions):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360" w:type="dxa"/>
            <w:vAlign w:val="bottom"/>
            <w:tcBorders>
              <w:top w:val="single" w:sz="8" w:color="00539B"/>
              <w:bottom w:val="single" w:sz="8" w:color="00539B"/>
            </w:tcBorders>
          </w:tcPr>
          <w:p>
            <w:pPr>
              <w:spacing w:after="0"/>
              <w:rPr>
                <w:sz w:val="19"/>
                <w:szCs w:val="19"/>
                <w:color w:val="auto"/>
              </w:rPr>
            </w:pPr>
          </w:p>
        </w:tc>
        <w:tc>
          <w:tcPr>
            <w:tcW w:w="940" w:type="dxa"/>
            <w:vAlign w:val="bottom"/>
            <w:tcBorders>
              <w:top w:val="single" w:sz="8" w:color="00539B"/>
              <w:bottom w:val="single" w:sz="8" w:color="00539B"/>
            </w:tcBorders>
            <w:shd w:val="clear" w:color="auto" w:fill="E0E3F1"/>
          </w:tcPr>
          <w:p>
            <w:pPr>
              <w:jc w:val="right"/>
              <w:ind w:right="28"/>
              <w:spacing w:after="0"/>
              <w:rPr>
                <w:sz w:val="20"/>
                <w:szCs w:val="20"/>
                <w:color w:val="auto"/>
              </w:rPr>
            </w:pPr>
            <w:r>
              <w:rPr>
                <w:rFonts w:ascii="Arial" w:cs="Arial" w:eastAsia="Arial" w:hAnsi="Arial"/>
                <w:sz w:val="14"/>
                <w:szCs w:val="14"/>
                <w:color w:val="auto"/>
              </w:rPr>
              <w:t>2025</w:t>
            </w:r>
          </w:p>
        </w:tc>
        <w:tc>
          <w:tcPr>
            <w:tcW w:w="440" w:type="dxa"/>
            <w:vAlign w:val="bottom"/>
            <w:tcBorders>
              <w:top w:val="single" w:sz="8" w:color="00539B"/>
              <w:bottom w:val="single" w:sz="8" w:color="00539B"/>
            </w:tcBorders>
            <w:shd w:val="clear" w:color="auto" w:fill="E0E3F1"/>
          </w:tcPr>
          <w:p>
            <w:pPr>
              <w:spacing w:after="0"/>
              <w:rPr>
                <w:sz w:val="19"/>
                <w:szCs w:val="19"/>
                <w:color w:val="auto"/>
              </w:rPr>
            </w:pPr>
          </w:p>
        </w:tc>
        <w:tc>
          <w:tcPr>
            <w:tcW w:w="980" w:type="dxa"/>
            <w:vAlign w:val="bottom"/>
            <w:tcBorders>
              <w:top w:val="single" w:sz="8" w:color="00539B"/>
              <w:bottom w:val="single" w:sz="8" w:color="00539B"/>
            </w:tcBorders>
          </w:tcPr>
          <w:p>
            <w:pPr>
              <w:jc w:val="right"/>
              <w:ind w:right="48"/>
              <w:spacing w:after="0"/>
              <w:rPr>
                <w:sz w:val="20"/>
                <w:szCs w:val="20"/>
                <w:color w:val="auto"/>
              </w:rPr>
            </w:pPr>
            <w:r>
              <w:rPr>
                <w:rFonts w:ascii="Arial" w:cs="Arial" w:eastAsia="Arial" w:hAnsi="Arial"/>
                <w:sz w:val="14"/>
                <w:szCs w:val="14"/>
                <w:color w:val="auto"/>
              </w:rPr>
              <w:t>2024</w:t>
            </w:r>
          </w:p>
        </w:tc>
        <w:tc>
          <w:tcPr>
            <w:tcW w:w="380" w:type="dxa"/>
            <w:vAlign w:val="bottom"/>
            <w:tcBorders>
              <w:top w:val="single" w:sz="8" w:color="00539B"/>
              <w:bottom w:val="single" w:sz="8" w:color="00539B"/>
            </w:tcBorders>
          </w:tcPr>
          <w:p>
            <w:pPr>
              <w:spacing w:after="0"/>
              <w:rPr>
                <w:sz w:val="19"/>
                <w:szCs w:val="19"/>
                <w:color w:val="auto"/>
              </w:rPr>
            </w:pPr>
          </w:p>
        </w:tc>
        <w:tc>
          <w:tcPr>
            <w:tcW w:w="340" w:type="dxa"/>
            <w:vAlign w:val="bottom"/>
            <w:tcBorders>
              <w:top w:val="single" w:sz="8" w:color="00539B"/>
              <w:bottom w:val="single" w:sz="8" w:color="00539B"/>
            </w:tcBorders>
          </w:tcPr>
          <w:p>
            <w:pPr>
              <w:spacing w:after="0"/>
              <w:rPr>
                <w:sz w:val="19"/>
                <w:szCs w:val="19"/>
                <w:color w:val="auto"/>
              </w:rPr>
            </w:pPr>
          </w:p>
        </w:tc>
        <w:tc>
          <w:tcPr>
            <w:tcW w:w="1080" w:type="dxa"/>
            <w:vAlign w:val="bottom"/>
            <w:tcBorders>
              <w:top w:val="single" w:sz="8" w:color="00539B"/>
              <w:bottom w:val="single" w:sz="8" w:color="00539B"/>
            </w:tcBorders>
          </w:tcPr>
          <w:p>
            <w:pPr>
              <w:jc w:val="right"/>
              <w:ind w:right="468"/>
              <w:spacing w:after="0"/>
              <w:rPr>
                <w:sz w:val="20"/>
                <w:szCs w:val="20"/>
                <w:color w:val="auto"/>
              </w:rPr>
            </w:pPr>
            <w:r>
              <w:rPr>
                <w:rFonts w:ascii="Arial" w:cs="Arial" w:eastAsia="Arial" w:hAnsi="Arial"/>
                <w:sz w:val="14"/>
                <w:szCs w:val="14"/>
                <w:color w:val="auto"/>
              </w:rPr>
              <w:t>2023</w:t>
            </w:r>
          </w:p>
        </w:tc>
      </w:tr>
      <w:tr>
        <w:trPr>
          <w:trHeight w:val="192"/>
        </w:trPr>
        <w:tc>
          <w:tcPr>
            <w:tcW w:w="5360" w:type="dxa"/>
            <w:vAlign w:val="bottom"/>
          </w:tcPr>
          <w:p>
            <w:pPr>
              <w:ind w:left="20"/>
              <w:spacing w:after="0"/>
              <w:rPr>
                <w:sz w:val="20"/>
                <w:szCs w:val="20"/>
                <w:color w:val="auto"/>
              </w:rPr>
            </w:pPr>
            <w:r>
              <w:rPr>
                <w:rFonts w:ascii="Arial" w:cs="Arial" w:eastAsia="Arial" w:hAnsi="Arial"/>
                <w:sz w:val="14"/>
                <w:szCs w:val="14"/>
                <w:color w:val="auto"/>
              </w:rPr>
              <w:t>Employee severance and related benefits</w:t>
            </w:r>
          </w:p>
        </w:tc>
        <w:tc>
          <w:tcPr>
            <w:tcW w:w="940" w:type="dxa"/>
            <w:vAlign w:val="bottom"/>
            <w:shd w:val="clear" w:color="auto" w:fill="E0E3F1"/>
          </w:tcPr>
          <w:p>
            <w:pPr>
              <w:jc w:val="right"/>
              <w:ind w:right="768"/>
              <w:spacing w:after="0"/>
              <w:rPr>
                <w:sz w:val="20"/>
                <w:szCs w:val="20"/>
                <w:color w:val="auto"/>
              </w:rPr>
            </w:pPr>
            <w:r>
              <w:rPr>
                <w:rFonts w:ascii="Arial" w:cs="Arial" w:eastAsia="Arial" w:hAnsi="Arial"/>
                <w:sz w:val="14"/>
                <w:szCs w:val="14"/>
                <w:color w:val="auto"/>
              </w:rPr>
              <w:t>$</w:t>
            </w:r>
          </w:p>
        </w:tc>
        <w:tc>
          <w:tcPr>
            <w:tcW w:w="440" w:type="dxa"/>
            <w:vAlign w:val="bottom"/>
            <w:shd w:val="clear" w:color="auto" w:fill="E0E3F1"/>
          </w:tcPr>
          <w:p>
            <w:pPr>
              <w:jc w:val="right"/>
              <w:spacing w:after="0"/>
              <w:rPr>
                <w:sz w:val="20"/>
                <w:szCs w:val="20"/>
                <w:color w:val="auto"/>
              </w:rPr>
            </w:pPr>
            <w:r>
              <w:rPr>
                <w:rFonts w:ascii="Arial" w:cs="Arial" w:eastAsia="Arial" w:hAnsi="Arial"/>
                <w:sz w:val="14"/>
                <w:szCs w:val="14"/>
                <w:color w:val="auto"/>
              </w:rPr>
              <w:t>15.9</w:t>
            </w:r>
          </w:p>
        </w:tc>
        <w:tc>
          <w:tcPr>
            <w:tcW w:w="98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2.7</w:t>
            </w: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34.4</w:t>
            </w:r>
          </w:p>
        </w:tc>
      </w:tr>
      <w:tr>
        <w:trPr>
          <w:trHeight w:val="203"/>
        </w:trPr>
        <w:tc>
          <w:tcPr>
            <w:tcW w:w="5360" w:type="dxa"/>
            <w:vAlign w:val="bottom"/>
          </w:tcPr>
          <w:p>
            <w:pPr>
              <w:ind w:left="20"/>
              <w:spacing w:after="0"/>
              <w:rPr>
                <w:sz w:val="20"/>
                <w:szCs w:val="20"/>
                <w:color w:val="auto"/>
              </w:rPr>
            </w:pPr>
            <w:r>
              <w:rPr>
                <w:rFonts w:ascii="Arial" w:cs="Arial" w:eastAsia="Arial" w:hAnsi="Arial"/>
                <w:sz w:val="14"/>
                <w:szCs w:val="14"/>
                <w:color w:val="auto"/>
              </w:rPr>
              <w:t>Other costs</w:t>
            </w:r>
          </w:p>
        </w:tc>
        <w:tc>
          <w:tcPr>
            <w:tcW w:w="940" w:type="dxa"/>
            <w:vAlign w:val="bottom"/>
            <w:shd w:val="clear" w:color="auto" w:fill="E0E3F1"/>
          </w:tcPr>
          <w:p>
            <w:pPr>
              <w:spacing w:after="0"/>
              <w:rPr>
                <w:sz w:val="17"/>
                <w:szCs w:val="17"/>
                <w:color w:val="auto"/>
              </w:rPr>
            </w:pPr>
          </w:p>
        </w:tc>
        <w:tc>
          <w:tcPr>
            <w:tcW w:w="440" w:type="dxa"/>
            <w:vAlign w:val="bottom"/>
            <w:shd w:val="clear" w:color="auto" w:fill="E0E3F1"/>
          </w:tcPr>
          <w:p>
            <w:pPr>
              <w:jc w:val="right"/>
              <w:spacing w:after="0"/>
              <w:rPr>
                <w:sz w:val="20"/>
                <w:szCs w:val="20"/>
                <w:color w:val="auto"/>
              </w:rPr>
            </w:pPr>
            <w:r>
              <w:rPr>
                <w:rFonts w:ascii="Arial" w:cs="Arial" w:eastAsia="Arial" w:hAnsi="Arial"/>
                <w:sz w:val="14"/>
                <w:szCs w:val="14"/>
                <w:color w:val="auto"/>
              </w:rPr>
              <w:t>3.3</w:t>
            </w:r>
          </w:p>
        </w:tc>
        <w:tc>
          <w:tcPr>
            <w:tcW w:w="9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6.8</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26.8</w:t>
            </w:r>
          </w:p>
        </w:tc>
      </w:tr>
      <w:tr>
        <w:trPr>
          <w:trHeight w:val="207"/>
        </w:trPr>
        <w:tc>
          <w:tcPr>
            <w:tcW w:w="536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Transaction and integration expenses</w:t>
            </w:r>
          </w:p>
        </w:tc>
        <w:tc>
          <w:tcPr>
            <w:tcW w:w="940" w:type="dxa"/>
            <w:vAlign w:val="bottom"/>
            <w:tcBorders>
              <w:bottom w:val="single" w:sz="8" w:color="00539B"/>
            </w:tcBorders>
            <w:shd w:val="clear" w:color="auto" w:fill="E0E3F1"/>
          </w:tcPr>
          <w:p>
            <w:pPr>
              <w:spacing w:after="0"/>
              <w:rPr>
                <w:sz w:val="17"/>
                <w:szCs w:val="17"/>
                <w:color w:val="auto"/>
              </w:rPr>
            </w:pPr>
          </w:p>
        </w:tc>
        <w:tc>
          <w:tcPr>
            <w:tcW w:w="44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1.9</w:t>
            </w:r>
          </w:p>
        </w:tc>
        <w:tc>
          <w:tcPr>
            <w:tcW w:w="980" w:type="dxa"/>
            <w:vAlign w:val="bottom"/>
            <w:tcBorders>
              <w:bottom w:val="single" w:sz="8" w:color="00539B"/>
            </w:tcBorders>
          </w:tcPr>
          <w:p>
            <w:pPr>
              <w:spacing w:after="0"/>
              <w:rPr>
                <w:sz w:val="17"/>
                <w:szCs w:val="17"/>
                <w:color w:val="auto"/>
              </w:rPr>
            </w:pPr>
          </w:p>
        </w:tc>
        <w:tc>
          <w:tcPr>
            <w:tcW w:w="38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00539B"/>
            </w:tcBorders>
          </w:tcPr>
          <w:p>
            <w:pPr>
              <w:spacing w:after="0"/>
              <w:rPr>
                <w:sz w:val="17"/>
                <w:szCs w:val="17"/>
                <w:color w:val="auto"/>
              </w:rPr>
            </w:pPr>
          </w:p>
        </w:tc>
        <w:tc>
          <w:tcPr>
            <w:tcW w:w="108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5360" w:type="dxa"/>
            <w:vAlign w:val="bottom"/>
          </w:tcPr>
          <w:p>
            <w:pPr>
              <w:ind w:left="180"/>
              <w:spacing w:after="0"/>
              <w:rPr>
                <w:sz w:val="20"/>
                <w:szCs w:val="20"/>
                <w:color w:val="auto"/>
              </w:rPr>
            </w:pPr>
            <w:r>
              <w:rPr>
                <w:rFonts w:ascii="Arial" w:cs="Arial" w:eastAsia="Arial" w:hAnsi="Arial"/>
                <w:sz w:val="14"/>
                <w:szCs w:val="14"/>
                <w:color w:val="auto"/>
              </w:rPr>
              <w:t>Special charges</w:t>
            </w:r>
          </w:p>
        </w:tc>
        <w:tc>
          <w:tcPr>
            <w:tcW w:w="940" w:type="dxa"/>
            <w:vAlign w:val="bottom"/>
            <w:shd w:val="clear" w:color="auto" w:fill="E0E3F1"/>
          </w:tcPr>
          <w:p>
            <w:pPr>
              <w:jc w:val="right"/>
              <w:ind w:right="768"/>
              <w:spacing w:after="0"/>
              <w:rPr>
                <w:sz w:val="20"/>
                <w:szCs w:val="20"/>
                <w:color w:val="auto"/>
              </w:rPr>
            </w:pPr>
            <w:r>
              <w:rPr>
                <w:rFonts w:ascii="Arial" w:cs="Arial" w:eastAsia="Arial" w:hAnsi="Arial"/>
                <w:sz w:val="14"/>
                <w:szCs w:val="14"/>
                <w:color w:val="auto"/>
              </w:rPr>
              <w:t>$</w:t>
            </w:r>
          </w:p>
        </w:tc>
        <w:tc>
          <w:tcPr>
            <w:tcW w:w="440" w:type="dxa"/>
            <w:vAlign w:val="bottom"/>
            <w:shd w:val="clear" w:color="auto" w:fill="E0E3F1"/>
          </w:tcPr>
          <w:p>
            <w:pPr>
              <w:jc w:val="right"/>
              <w:spacing w:after="0"/>
              <w:rPr>
                <w:sz w:val="20"/>
                <w:szCs w:val="20"/>
                <w:color w:val="auto"/>
              </w:rPr>
            </w:pPr>
            <w:r>
              <w:rPr>
                <w:rFonts w:ascii="Arial" w:cs="Arial" w:eastAsia="Arial" w:hAnsi="Arial"/>
                <w:sz w:val="14"/>
                <w:szCs w:val="14"/>
                <w:color w:val="auto"/>
              </w:rPr>
              <w:t>21.1</w:t>
            </w:r>
          </w:p>
        </w:tc>
        <w:tc>
          <w:tcPr>
            <w:tcW w:w="98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9.5</w:t>
            </w: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61.2</w:t>
            </w:r>
          </w:p>
        </w:tc>
      </w:tr>
      <w:tr>
        <w:trPr>
          <w:trHeight w:val="207"/>
        </w:trPr>
        <w:tc>
          <w:tcPr>
            <w:tcW w:w="536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Transaction and integration expenses included in cost of goods sold</w:t>
            </w:r>
          </w:p>
        </w:tc>
        <w:tc>
          <w:tcPr>
            <w:tcW w:w="940" w:type="dxa"/>
            <w:vAlign w:val="bottom"/>
            <w:tcBorders>
              <w:bottom w:val="single" w:sz="8" w:color="00539B"/>
            </w:tcBorders>
            <w:shd w:val="clear" w:color="auto" w:fill="E0E3F1"/>
          </w:tcPr>
          <w:p>
            <w:pPr>
              <w:spacing w:after="0"/>
              <w:rPr>
                <w:sz w:val="17"/>
                <w:szCs w:val="17"/>
                <w:color w:val="auto"/>
              </w:rPr>
            </w:pPr>
          </w:p>
        </w:tc>
        <w:tc>
          <w:tcPr>
            <w:tcW w:w="44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2.1</w:t>
            </w:r>
          </w:p>
        </w:tc>
        <w:tc>
          <w:tcPr>
            <w:tcW w:w="980" w:type="dxa"/>
            <w:vAlign w:val="bottom"/>
            <w:tcBorders>
              <w:bottom w:val="single" w:sz="8" w:color="00539B"/>
            </w:tcBorders>
          </w:tcPr>
          <w:p>
            <w:pPr>
              <w:spacing w:after="0"/>
              <w:rPr>
                <w:sz w:val="17"/>
                <w:szCs w:val="17"/>
                <w:color w:val="auto"/>
              </w:rPr>
            </w:pPr>
          </w:p>
        </w:tc>
        <w:tc>
          <w:tcPr>
            <w:tcW w:w="38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00539B"/>
            </w:tcBorders>
          </w:tcPr>
          <w:p>
            <w:pPr>
              <w:spacing w:after="0"/>
              <w:rPr>
                <w:sz w:val="17"/>
                <w:szCs w:val="17"/>
                <w:color w:val="auto"/>
              </w:rPr>
            </w:pPr>
          </w:p>
        </w:tc>
        <w:tc>
          <w:tcPr>
            <w:tcW w:w="108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5360" w:type="dxa"/>
            <w:vAlign w:val="bottom"/>
            <w:tcBorders>
              <w:bottom w:val="single" w:sz="8" w:color="00539B"/>
            </w:tcBorders>
          </w:tcPr>
          <w:p>
            <w:pPr>
              <w:ind w:left="220"/>
              <w:spacing w:after="0"/>
              <w:rPr>
                <w:sz w:val="20"/>
                <w:szCs w:val="20"/>
                <w:color w:val="auto"/>
              </w:rPr>
            </w:pPr>
            <w:r>
              <w:rPr>
                <w:rFonts w:ascii="Arial" w:cs="Arial" w:eastAsia="Arial" w:hAnsi="Arial"/>
                <w:sz w:val="14"/>
                <w:szCs w:val="14"/>
                <w:color w:val="auto"/>
              </w:rPr>
              <w:t>Total special charges</w:t>
            </w:r>
          </w:p>
        </w:tc>
        <w:tc>
          <w:tcPr>
            <w:tcW w:w="940" w:type="dxa"/>
            <w:vAlign w:val="bottom"/>
            <w:tcBorders>
              <w:bottom w:val="single" w:sz="8" w:color="00539B"/>
            </w:tcBorders>
            <w:shd w:val="clear" w:color="auto" w:fill="E0E3F1"/>
          </w:tcPr>
          <w:p>
            <w:pPr>
              <w:jc w:val="right"/>
              <w:ind w:right="76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23.2</w:t>
            </w:r>
          </w:p>
        </w:tc>
        <w:tc>
          <w:tcPr>
            <w:tcW w:w="980" w:type="dxa"/>
            <w:vAlign w:val="bottom"/>
            <w:tcBorders>
              <w:bottom w:val="single" w:sz="8" w:color="00539B"/>
            </w:tcBorders>
          </w:tcPr>
          <w:p>
            <w:pPr>
              <w:jc w:val="right"/>
              <w:ind w:right="80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9.5</w:t>
            </w:r>
          </w:p>
        </w:tc>
        <w:tc>
          <w:tcPr>
            <w:tcW w:w="340" w:type="dxa"/>
            <w:vAlign w:val="bottom"/>
            <w:tcBorders>
              <w:bottom w:val="single" w:sz="8" w:color="00539B"/>
            </w:tcBorders>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61.2</w:t>
            </w: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Special Charges</w:t>
      </w:r>
    </w:p>
    <w:p>
      <w:pPr>
        <w:spacing w:after="0" w:line="16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our consolidated income statement, we include a separate line item captioned “Special charges” in arriving at our consolidated operating income. Special charges consist of expenses associated with certain actions undertaken to reduce fixed costs, simplify or improve processes, and improve our competitiveness. These charges are of such significance in terms of both up-front costs and organizational/structural impact to require advance approval by our Management Committee, comprised of our senior management, including our Chairman, President and Chief Executive Officer. Expenses associated with the approved action are classified as special charges upon recognition and monitored on an ongoing basis through completion. Certain ancillary expenses related to these actions approved by our Management Committee do not qualify for accrual upon approval but are included as special charges as incurred during the course of the actions.</w:t>
      </w:r>
    </w:p>
    <w:p>
      <w:pPr>
        <w:spacing w:after="0" w:line="131"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We continue to evaluate changes to our organizational structure to reduce fixed costs, simplify or improve processes, and improve our competitiveness.</w:t>
      </w:r>
    </w:p>
    <w:p>
      <w:pPr>
        <w:spacing w:after="0" w:line="99"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During 2025, we recognized $19.2 million of special charges, consisting of $15.9 million in employee severance and related benefit costs related to global selling, general and administrative streamlining actions approved by our Management Committee and $3.3 million associated with other actions.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56" w:name="page57"/>
    <w:bookmarkEnd w:id="56"/>
    <w:p>
      <w:pPr>
        <w:ind w:right="600"/>
        <w:spacing w:after="0" w:line="318" w:lineRule="auto"/>
        <w:rPr>
          <w:sz w:val="20"/>
          <w:szCs w:val="20"/>
          <w:color w:val="auto"/>
        </w:rPr>
      </w:pPr>
      <w:r>
        <w:rPr>
          <w:rFonts w:ascii="Arial" w:cs="Arial" w:eastAsia="Arial" w:hAnsi="Arial"/>
          <w:sz w:val="17"/>
          <w:szCs w:val="17"/>
          <w:color w:val="auto"/>
        </w:rPr>
        <w:t>During 2024, we recognized $9.5 million of special charges, consisting of $4.5 million associated with our GOE program, as more fully described below, and $5.0 million associated with the transition of a manufacturing facility in EMEA, as more fully described below.</w:t>
      </w:r>
    </w:p>
    <w:p>
      <w:pPr>
        <w:spacing w:after="0" w:line="7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During 2023, we recognized $61.2 million of special charges, consisting principally of $42.8 million associated with our GOE program, as more fully described below, $8.7 million associated with the transition of a manufacturing facility in EMEA, as more fully described below, and streamlining actions of $8.8 million in the Americas region, and $0.9 million in the EMEA region.</w:t>
      </w:r>
    </w:p>
    <w:p>
      <w:pPr>
        <w:spacing w:after="0" w:line="117"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As of November 30, 2025 and 2024, reserves associated with special charges of $4.7 million and $2.7 million respectively, are included in "Other accrued liabilities" in our consolidated balance sheet.</w:t>
      </w:r>
    </w:p>
    <w:p>
      <w:pPr>
        <w:spacing w:after="0" w:line="9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2022, our Management Committee approved the Global Operating Effectiveness (GOE) program. The GOE program included a voluntary retirement plan, which included enhanced separation benefits to certain U.S. employees aged 55 years or older with at least ten years of service to the Company. This voluntary retirement plan commenced in November 2022 and participants were required to submit their notifications by December 30, 2022. The total cost of the GOE program, which was recognized as special charges in our consolidated income statement during the three year period ending November 30, 2024, was $52.9 million, primarily including employee severance and related benefit costs. Special charges recognized during the year ended November 30, 2024 included $4.2 million in severance and related benefit costs and $0.3 million of third-party expenses and other costs. Special charges recognized during the year ended November 30, 2023 included $19.7 million associated with the voluntary retirement plan, $13.4 million of employee severance and related benefit costs and $9.7 million of third-party expenses and other costs.</w:t>
      </w:r>
    </w:p>
    <w:p>
      <w:pPr>
        <w:spacing w:after="0" w:line="12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2022, our Management Committee approved an initiative to consolidate our manufacturing operations in the United Kingdom into a net-zero carbon condiments manufacturing and distribution center facility with state-of-the-art technology. These changes to our supply chain operations were implemented to improve profitability by consolidating our operations into a scalable platform while expanding our capacity. The total cost of this initiative was $41.4 million which was recognized as special charges in our consolidated income statement through 2024, including employee severance and related benefit costs, accelerated depreciation, equipment relocation costs, decommissioning and other property related lease exit costs. During 2024, we recognized a reversal of $1.5 million associated with severance and related benefit costs, based on a change in estimate, and $6.5 million in third-party expenses and other costs. During 2023, we recognized $1.6 million in accelerated depreciation and $7.1 million in third party expenses and other costs.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Transaction and Integration Expenses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On March 31, 2025, we purchased substantially all of the assets of Jurado, Inc. (Jurado), a supplier of chili mash located in Las Cruces, New</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Mexico. The purchase price for Jurado was $38.1 million, including $14.3 million associated with a customary purchase price adjustment and</w:t>
      </w:r>
    </w:p>
    <w:p>
      <w:pPr>
        <w:spacing w:after="0" w:line="234" w:lineRule="auto"/>
        <w:rPr>
          <w:sz w:val="20"/>
          <w:szCs w:val="20"/>
          <w:color w:val="auto"/>
        </w:rPr>
      </w:pPr>
      <w:r>
        <w:rPr>
          <w:rFonts w:ascii="Arial" w:cs="Arial" w:eastAsia="Arial" w:hAnsi="Arial"/>
          <w:sz w:val="18"/>
          <w:szCs w:val="18"/>
          <w:color w:val="auto"/>
        </w:rPr>
        <w:t>$4.0 million of payments to be made in $2.0 million installments on the first and second anniversary of the acquisition date. The valuation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acquired assets resulted in $32.3 million allocated to tangible assets acquired, $2.7 million allocated to other intangible assets, and</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$3.1 million allocated to goodwill, which is deductible for tax purposes. Tangible assets principally consist of $26.4 million of raw material and</w:t>
      </w:r>
    </w:p>
    <w:p>
      <w:pPr>
        <w:spacing w:after="0" w:line="234" w:lineRule="auto"/>
        <w:rPr>
          <w:sz w:val="20"/>
          <w:szCs w:val="20"/>
          <w:color w:val="auto"/>
        </w:rPr>
      </w:pPr>
      <w:r>
        <w:rPr>
          <w:rFonts w:ascii="Arial" w:cs="Arial" w:eastAsia="Arial" w:hAnsi="Arial"/>
          <w:sz w:val="18"/>
          <w:szCs w:val="18"/>
          <w:color w:val="auto"/>
        </w:rPr>
        <w:t>work-in-process inventory which were valued using a net realizable value approach, resulting in a step-up of $2.1 million that was recognized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 cost of goods sold as the related inventory was sold, and property, plant and equipment of $5.8 million. The determination of the fair value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of the acquired Jurado assets was finalized during 2025. The results of Jurado’s operations have been included in our financial statements</w:t>
      </w:r>
    </w:p>
    <w:p>
      <w:pPr>
        <w:spacing w:after="0"/>
        <w:rPr>
          <w:sz w:val="20"/>
          <w:szCs w:val="20"/>
          <w:color w:val="auto"/>
        </w:rPr>
      </w:pPr>
      <w:r>
        <w:rPr>
          <w:rFonts w:ascii="Arial" w:cs="Arial" w:eastAsia="Arial" w:hAnsi="Arial"/>
          <w:sz w:val="18"/>
          <w:szCs w:val="18"/>
          <w:color w:val="auto"/>
        </w:rPr>
        <w:t>from the date of the acquisition and are not material.</w:t>
      </w:r>
    </w:p>
    <w:p>
      <w:pPr>
        <w:spacing w:after="0" w:line="140" w:lineRule="exact"/>
        <w:rPr>
          <w:sz w:val="20"/>
          <w:szCs w:val="20"/>
          <w:color w:val="auto"/>
        </w:rPr>
      </w:pPr>
    </w:p>
    <w:p>
      <w:pPr>
        <w:ind w:right="860"/>
        <w:spacing w:after="0" w:line="287" w:lineRule="auto"/>
        <w:rPr>
          <w:sz w:val="20"/>
          <w:szCs w:val="20"/>
          <w:color w:val="auto"/>
        </w:rPr>
      </w:pPr>
      <w:r>
        <w:rPr>
          <w:rFonts w:ascii="Arial" w:cs="Arial" w:eastAsia="Arial" w:hAnsi="Arial"/>
          <w:sz w:val="18"/>
          <w:szCs w:val="18"/>
          <w:color w:val="auto"/>
        </w:rPr>
        <w:t>During 2025, we recorded $ 4.0 million of transaction and integration costs which includes the step-up of acquired Jurado inventory recognized in cost of goods sold of $2.1 million and transaction costs of $1.9 million recognized in special charges.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special charges by business segments for the years ended November 30 (in millions):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360" w:type="dxa"/>
            <w:vAlign w:val="bottom"/>
            <w:tcBorders>
              <w:top w:val="single" w:sz="8" w:color="00539B"/>
              <w:bottom w:val="single" w:sz="8" w:color="00539B"/>
            </w:tcBorders>
          </w:tcPr>
          <w:p>
            <w:pPr>
              <w:spacing w:after="0"/>
              <w:rPr>
                <w:sz w:val="19"/>
                <w:szCs w:val="19"/>
                <w:color w:val="auto"/>
              </w:rPr>
            </w:pPr>
          </w:p>
        </w:tc>
        <w:tc>
          <w:tcPr>
            <w:tcW w:w="940" w:type="dxa"/>
            <w:vAlign w:val="bottom"/>
            <w:tcBorders>
              <w:top w:val="single" w:sz="8" w:color="00539B"/>
              <w:bottom w:val="single" w:sz="8" w:color="00539B"/>
            </w:tcBorders>
            <w:shd w:val="clear" w:color="auto" w:fill="E0E3F1"/>
          </w:tcPr>
          <w:p>
            <w:pPr>
              <w:jc w:val="right"/>
              <w:ind w:right="28"/>
              <w:spacing w:after="0"/>
              <w:rPr>
                <w:sz w:val="20"/>
                <w:szCs w:val="20"/>
                <w:color w:val="auto"/>
              </w:rPr>
            </w:pPr>
            <w:r>
              <w:rPr>
                <w:rFonts w:ascii="Arial" w:cs="Arial" w:eastAsia="Arial" w:hAnsi="Arial"/>
                <w:sz w:val="14"/>
                <w:szCs w:val="14"/>
                <w:color w:val="auto"/>
              </w:rPr>
              <w:t>2025</w:t>
            </w:r>
          </w:p>
        </w:tc>
        <w:tc>
          <w:tcPr>
            <w:tcW w:w="440" w:type="dxa"/>
            <w:vAlign w:val="bottom"/>
            <w:tcBorders>
              <w:top w:val="single" w:sz="8" w:color="00539B"/>
              <w:bottom w:val="single" w:sz="8" w:color="00539B"/>
            </w:tcBorders>
            <w:shd w:val="clear" w:color="auto" w:fill="E0E3F1"/>
          </w:tcPr>
          <w:p>
            <w:pPr>
              <w:spacing w:after="0"/>
              <w:rPr>
                <w:sz w:val="19"/>
                <w:szCs w:val="19"/>
                <w:color w:val="auto"/>
              </w:rPr>
            </w:pPr>
          </w:p>
        </w:tc>
        <w:tc>
          <w:tcPr>
            <w:tcW w:w="980" w:type="dxa"/>
            <w:vAlign w:val="bottom"/>
            <w:tcBorders>
              <w:top w:val="single" w:sz="8" w:color="00539B"/>
              <w:bottom w:val="single" w:sz="8" w:color="00539B"/>
            </w:tcBorders>
          </w:tcPr>
          <w:p>
            <w:pPr>
              <w:jc w:val="right"/>
              <w:ind w:right="48"/>
              <w:spacing w:after="0"/>
              <w:rPr>
                <w:sz w:val="20"/>
                <w:szCs w:val="20"/>
                <w:color w:val="auto"/>
              </w:rPr>
            </w:pPr>
            <w:r>
              <w:rPr>
                <w:rFonts w:ascii="Arial" w:cs="Arial" w:eastAsia="Arial" w:hAnsi="Arial"/>
                <w:sz w:val="14"/>
                <w:szCs w:val="14"/>
                <w:color w:val="auto"/>
              </w:rPr>
              <w:t>2024</w:t>
            </w:r>
          </w:p>
        </w:tc>
        <w:tc>
          <w:tcPr>
            <w:tcW w:w="380" w:type="dxa"/>
            <w:vAlign w:val="bottom"/>
            <w:tcBorders>
              <w:top w:val="single" w:sz="8" w:color="00539B"/>
              <w:bottom w:val="single" w:sz="8" w:color="00539B"/>
            </w:tcBorders>
          </w:tcPr>
          <w:p>
            <w:pPr>
              <w:spacing w:after="0"/>
              <w:rPr>
                <w:sz w:val="19"/>
                <w:szCs w:val="19"/>
                <w:color w:val="auto"/>
              </w:rPr>
            </w:pPr>
          </w:p>
        </w:tc>
        <w:tc>
          <w:tcPr>
            <w:tcW w:w="340" w:type="dxa"/>
            <w:vAlign w:val="bottom"/>
            <w:tcBorders>
              <w:top w:val="single" w:sz="8" w:color="00539B"/>
              <w:bottom w:val="single" w:sz="8" w:color="00539B"/>
            </w:tcBorders>
          </w:tcPr>
          <w:p>
            <w:pPr>
              <w:spacing w:after="0"/>
              <w:rPr>
                <w:sz w:val="19"/>
                <w:szCs w:val="19"/>
                <w:color w:val="auto"/>
              </w:rPr>
            </w:pPr>
          </w:p>
        </w:tc>
        <w:tc>
          <w:tcPr>
            <w:tcW w:w="1080" w:type="dxa"/>
            <w:vAlign w:val="bottom"/>
            <w:tcBorders>
              <w:top w:val="single" w:sz="8" w:color="00539B"/>
              <w:bottom w:val="single" w:sz="8" w:color="00539B"/>
            </w:tcBorders>
          </w:tcPr>
          <w:p>
            <w:pPr>
              <w:jc w:val="right"/>
              <w:ind w:right="468"/>
              <w:spacing w:after="0"/>
              <w:rPr>
                <w:sz w:val="20"/>
                <w:szCs w:val="20"/>
                <w:color w:val="auto"/>
              </w:rPr>
            </w:pPr>
            <w:r>
              <w:rPr>
                <w:rFonts w:ascii="Arial" w:cs="Arial" w:eastAsia="Arial" w:hAnsi="Arial"/>
                <w:sz w:val="14"/>
                <w:szCs w:val="14"/>
                <w:color w:val="auto"/>
              </w:rPr>
              <w:t>2023</w:t>
            </w:r>
          </w:p>
        </w:tc>
      </w:tr>
      <w:tr>
        <w:trPr>
          <w:trHeight w:val="192"/>
        </w:trPr>
        <w:tc>
          <w:tcPr>
            <w:tcW w:w="5360" w:type="dxa"/>
            <w:vAlign w:val="bottom"/>
          </w:tcPr>
          <w:p>
            <w:pPr>
              <w:ind w:left="20"/>
              <w:spacing w:after="0"/>
              <w:rPr>
                <w:sz w:val="20"/>
                <w:szCs w:val="20"/>
                <w:color w:val="auto"/>
              </w:rPr>
            </w:pPr>
            <w:r>
              <w:rPr>
                <w:rFonts w:ascii="Arial" w:cs="Arial" w:eastAsia="Arial" w:hAnsi="Arial"/>
                <w:sz w:val="14"/>
                <w:szCs w:val="14"/>
                <w:color w:val="auto"/>
              </w:rPr>
              <w:t>Consumer segment</w:t>
            </w:r>
          </w:p>
        </w:tc>
        <w:tc>
          <w:tcPr>
            <w:tcW w:w="940" w:type="dxa"/>
            <w:vAlign w:val="bottom"/>
            <w:shd w:val="clear" w:color="auto" w:fill="E0E3F1"/>
          </w:tcPr>
          <w:p>
            <w:pPr>
              <w:jc w:val="right"/>
              <w:ind w:right="768"/>
              <w:spacing w:after="0"/>
              <w:rPr>
                <w:sz w:val="20"/>
                <w:szCs w:val="20"/>
                <w:color w:val="auto"/>
              </w:rPr>
            </w:pPr>
            <w:r>
              <w:rPr>
                <w:rFonts w:ascii="Arial" w:cs="Arial" w:eastAsia="Arial" w:hAnsi="Arial"/>
                <w:sz w:val="14"/>
                <w:szCs w:val="14"/>
                <w:color w:val="auto"/>
              </w:rPr>
              <w:t>$</w:t>
            </w:r>
          </w:p>
        </w:tc>
        <w:tc>
          <w:tcPr>
            <w:tcW w:w="440" w:type="dxa"/>
            <w:vAlign w:val="bottom"/>
            <w:shd w:val="clear" w:color="auto" w:fill="E0E3F1"/>
          </w:tcPr>
          <w:p>
            <w:pPr>
              <w:jc w:val="right"/>
              <w:spacing w:after="0"/>
              <w:rPr>
                <w:sz w:val="20"/>
                <w:szCs w:val="20"/>
                <w:color w:val="auto"/>
              </w:rPr>
            </w:pPr>
            <w:r>
              <w:rPr>
                <w:rFonts w:ascii="Arial" w:cs="Arial" w:eastAsia="Arial" w:hAnsi="Arial"/>
                <w:sz w:val="14"/>
                <w:szCs w:val="14"/>
                <w:color w:val="auto"/>
              </w:rPr>
              <w:t>13.6</w:t>
            </w:r>
          </w:p>
        </w:tc>
        <w:tc>
          <w:tcPr>
            <w:tcW w:w="98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3.4</w:t>
            </w: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35.8</w:t>
            </w:r>
          </w:p>
        </w:tc>
      </w:tr>
      <w:tr>
        <w:trPr>
          <w:trHeight w:val="207"/>
        </w:trPr>
        <w:tc>
          <w:tcPr>
            <w:tcW w:w="536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Flavor Solutions segment</w:t>
            </w:r>
          </w:p>
        </w:tc>
        <w:tc>
          <w:tcPr>
            <w:tcW w:w="940" w:type="dxa"/>
            <w:vAlign w:val="bottom"/>
            <w:tcBorders>
              <w:bottom w:val="single" w:sz="8" w:color="00539B"/>
            </w:tcBorders>
            <w:shd w:val="clear" w:color="auto" w:fill="E0E3F1"/>
          </w:tcPr>
          <w:p>
            <w:pPr>
              <w:spacing w:after="0"/>
              <w:rPr>
                <w:sz w:val="17"/>
                <w:szCs w:val="17"/>
                <w:color w:val="auto"/>
              </w:rPr>
            </w:pPr>
          </w:p>
        </w:tc>
        <w:tc>
          <w:tcPr>
            <w:tcW w:w="44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9.6</w:t>
            </w:r>
          </w:p>
        </w:tc>
        <w:tc>
          <w:tcPr>
            <w:tcW w:w="980" w:type="dxa"/>
            <w:vAlign w:val="bottom"/>
            <w:tcBorders>
              <w:bottom w:val="single" w:sz="8" w:color="00539B"/>
            </w:tcBorders>
          </w:tcPr>
          <w:p>
            <w:pPr>
              <w:spacing w:after="0"/>
              <w:rPr>
                <w:sz w:val="17"/>
                <w:szCs w:val="17"/>
                <w:color w:val="auto"/>
              </w:rPr>
            </w:pPr>
          </w:p>
        </w:tc>
        <w:tc>
          <w:tcPr>
            <w:tcW w:w="38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6.1</w:t>
            </w:r>
          </w:p>
        </w:tc>
        <w:tc>
          <w:tcPr>
            <w:tcW w:w="340" w:type="dxa"/>
            <w:vAlign w:val="bottom"/>
            <w:tcBorders>
              <w:bottom w:val="single" w:sz="8" w:color="00539B"/>
            </w:tcBorders>
          </w:tcPr>
          <w:p>
            <w:pPr>
              <w:spacing w:after="0"/>
              <w:rPr>
                <w:sz w:val="17"/>
                <w:szCs w:val="17"/>
                <w:color w:val="auto"/>
              </w:rPr>
            </w:pPr>
          </w:p>
        </w:tc>
        <w:tc>
          <w:tcPr>
            <w:tcW w:w="108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25.4</w:t>
            </w:r>
          </w:p>
        </w:tc>
      </w:tr>
      <w:tr>
        <w:trPr>
          <w:trHeight w:val="207"/>
        </w:trPr>
        <w:tc>
          <w:tcPr>
            <w:tcW w:w="5360" w:type="dxa"/>
            <w:vAlign w:val="bottom"/>
            <w:tcBorders>
              <w:bottom w:val="single" w:sz="8" w:color="00539B"/>
            </w:tcBorders>
          </w:tcPr>
          <w:p>
            <w:pPr>
              <w:ind w:left="220"/>
              <w:spacing w:after="0"/>
              <w:rPr>
                <w:sz w:val="20"/>
                <w:szCs w:val="20"/>
                <w:color w:val="auto"/>
              </w:rPr>
            </w:pPr>
            <w:r>
              <w:rPr>
                <w:rFonts w:ascii="Arial" w:cs="Arial" w:eastAsia="Arial" w:hAnsi="Arial"/>
                <w:sz w:val="14"/>
                <w:szCs w:val="14"/>
                <w:color w:val="auto"/>
              </w:rPr>
              <w:t>Total special charges</w:t>
            </w:r>
          </w:p>
        </w:tc>
        <w:tc>
          <w:tcPr>
            <w:tcW w:w="940" w:type="dxa"/>
            <w:vAlign w:val="bottom"/>
            <w:tcBorders>
              <w:bottom w:val="single" w:sz="8" w:color="00539B"/>
            </w:tcBorders>
            <w:shd w:val="clear" w:color="auto" w:fill="E0E3F1"/>
          </w:tcPr>
          <w:p>
            <w:pPr>
              <w:jc w:val="right"/>
              <w:ind w:right="76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23.2</w:t>
            </w:r>
          </w:p>
        </w:tc>
        <w:tc>
          <w:tcPr>
            <w:tcW w:w="980" w:type="dxa"/>
            <w:vAlign w:val="bottom"/>
            <w:tcBorders>
              <w:bottom w:val="single" w:sz="8" w:color="00539B"/>
            </w:tcBorders>
          </w:tcPr>
          <w:p>
            <w:pPr>
              <w:jc w:val="right"/>
              <w:ind w:right="80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9.5</w:t>
            </w:r>
          </w:p>
        </w:tc>
        <w:tc>
          <w:tcPr>
            <w:tcW w:w="340" w:type="dxa"/>
            <w:vAlign w:val="bottom"/>
            <w:tcBorders>
              <w:bottom w:val="single" w:sz="8" w:color="00539B"/>
            </w:tcBorders>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61.2</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00539B"/>
        </w:rPr>
        <w:t>3. GOODWILL AND INTANGIBLE ASSETS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displays intangible assets as of November 30:</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060" w:type="dxa"/>
            <w:vAlign w:val="bottom"/>
            <w:tcBorders>
              <w:top w:val="single" w:sz="8" w:color="00539B"/>
            </w:tcBorders>
          </w:tcPr>
          <w:p>
            <w:pPr>
              <w:spacing w:after="0"/>
              <w:rPr>
                <w:sz w:val="23"/>
                <w:szCs w:val="23"/>
                <w:color w:val="auto"/>
              </w:rPr>
            </w:pPr>
          </w:p>
        </w:tc>
        <w:tc>
          <w:tcPr>
            <w:tcW w:w="240" w:type="dxa"/>
            <w:vAlign w:val="bottom"/>
            <w:tcBorders>
              <w:top w:val="single" w:sz="8" w:color="00539B"/>
              <w:bottom w:val="single" w:sz="8" w:color="E0E3F1"/>
            </w:tcBorders>
            <w:shd w:val="clear" w:color="auto" w:fill="E0E3F1"/>
          </w:tcPr>
          <w:p>
            <w:pPr>
              <w:spacing w:after="0"/>
              <w:rPr>
                <w:sz w:val="23"/>
                <w:szCs w:val="23"/>
                <w:color w:val="auto"/>
              </w:rPr>
            </w:pPr>
          </w:p>
        </w:tc>
        <w:tc>
          <w:tcPr>
            <w:tcW w:w="1220" w:type="dxa"/>
            <w:vAlign w:val="bottom"/>
            <w:tcBorders>
              <w:top w:val="single" w:sz="8" w:color="00539B"/>
              <w:bottom w:val="single" w:sz="8" w:color="E0E3F1"/>
            </w:tcBorders>
            <w:gridSpan w:val="2"/>
            <w:shd w:val="clear" w:color="auto" w:fill="E0E3F1"/>
          </w:tcPr>
          <w:p>
            <w:pPr>
              <w:jc w:val="right"/>
              <w:spacing w:after="0"/>
              <w:rPr>
                <w:sz w:val="20"/>
                <w:szCs w:val="20"/>
                <w:color w:val="auto"/>
              </w:rPr>
            </w:pPr>
            <w:r>
              <w:rPr>
                <w:rFonts w:ascii="Arial" w:cs="Arial" w:eastAsia="Arial" w:hAnsi="Arial"/>
                <w:sz w:val="14"/>
                <w:szCs w:val="14"/>
                <w:color w:val="auto"/>
              </w:rPr>
              <w:t>2025</w:t>
            </w:r>
          </w:p>
        </w:tc>
        <w:tc>
          <w:tcPr>
            <w:tcW w:w="1100" w:type="dxa"/>
            <w:vAlign w:val="bottom"/>
            <w:tcBorders>
              <w:top w:val="single" w:sz="8" w:color="00539B"/>
              <w:bottom w:val="single" w:sz="8" w:color="E0E3F1"/>
            </w:tcBorders>
            <w:shd w:val="clear" w:color="auto" w:fill="E0E3F1"/>
          </w:tcPr>
          <w:p>
            <w:pPr>
              <w:spacing w:after="0"/>
              <w:rPr>
                <w:sz w:val="23"/>
                <w:szCs w:val="23"/>
                <w:color w:val="auto"/>
              </w:rPr>
            </w:pPr>
          </w:p>
        </w:tc>
        <w:tc>
          <w:tcPr>
            <w:tcW w:w="240" w:type="dxa"/>
            <w:vAlign w:val="bottom"/>
            <w:tcBorders>
              <w:top w:val="single" w:sz="8" w:color="00539B"/>
            </w:tcBorders>
          </w:tcPr>
          <w:p>
            <w:pPr>
              <w:spacing w:after="0"/>
              <w:rPr>
                <w:sz w:val="23"/>
                <w:szCs w:val="23"/>
                <w:color w:val="auto"/>
              </w:rPr>
            </w:pPr>
          </w:p>
        </w:tc>
        <w:tc>
          <w:tcPr>
            <w:tcW w:w="1260" w:type="dxa"/>
            <w:vAlign w:val="bottom"/>
            <w:tcBorders>
              <w:top w:val="single" w:sz="8" w:color="00539B"/>
            </w:tcBorders>
            <w:gridSpan w:val="2"/>
          </w:tcPr>
          <w:p>
            <w:pPr>
              <w:jc w:val="right"/>
              <w:spacing w:after="0"/>
              <w:rPr>
                <w:sz w:val="20"/>
                <w:szCs w:val="20"/>
                <w:color w:val="auto"/>
              </w:rPr>
            </w:pPr>
            <w:r>
              <w:rPr>
                <w:rFonts w:ascii="Arial" w:cs="Arial" w:eastAsia="Arial" w:hAnsi="Arial"/>
                <w:sz w:val="14"/>
                <w:szCs w:val="14"/>
                <w:color w:val="auto"/>
              </w:rPr>
              <w:t>2024</w:t>
            </w:r>
          </w:p>
        </w:tc>
        <w:tc>
          <w:tcPr>
            <w:tcW w:w="1100" w:type="dxa"/>
            <w:vAlign w:val="bottom"/>
            <w:tcBorders>
              <w:top w:val="single" w:sz="8" w:color="00539B"/>
            </w:tcBorders>
          </w:tcPr>
          <w:p>
            <w:pPr>
              <w:spacing w:after="0"/>
              <w:rPr>
                <w:sz w:val="23"/>
                <w:szCs w:val="23"/>
                <w:color w:val="auto"/>
              </w:rPr>
            </w:pPr>
          </w:p>
        </w:tc>
        <w:tc>
          <w:tcPr>
            <w:tcW w:w="0" w:type="dxa"/>
            <w:vAlign w:val="bottom"/>
          </w:tcPr>
          <w:p>
            <w:pPr>
              <w:spacing w:after="0"/>
              <w:rPr>
                <w:sz w:val="1"/>
                <w:szCs w:val="1"/>
                <w:color w:val="auto"/>
              </w:rPr>
            </w:pPr>
          </w:p>
        </w:tc>
      </w:tr>
      <w:tr>
        <w:trPr>
          <w:trHeight w:val="142"/>
        </w:trPr>
        <w:tc>
          <w:tcPr>
            <w:tcW w:w="6060" w:type="dxa"/>
            <w:vAlign w:val="bottom"/>
            <w:tcBorders>
              <w:top w:val="single" w:sz="8" w:color="00539B"/>
            </w:tcBorders>
          </w:tcPr>
          <w:p>
            <w:pPr>
              <w:spacing w:after="0"/>
              <w:rPr>
                <w:sz w:val="12"/>
                <w:szCs w:val="12"/>
                <w:color w:val="auto"/>
              </w:rPr>
            </w:pPr>
          </w:p>
        </w:tc>
        <w:tc>
          <w:tcPr>
            <w:tcW w:w="240" w:type="dxa"/>
            <w:vAlign w:val="bottom"/>
            <w:tcBorders>
              <w:top w:val="single" w:sz="8" w:color="00539B"/>
            </w:tcBorders>
            <w:shd w:val="clear" w:color="auto" w:fill="E0E3F1"/>
          </w:tcPr>
          <w:p>
            <w:pPr>
              <w:spacing w:after="0"/>
              <w:rPr>
                <w:sz w:val="12"/>
                <w:szCs w:val="12"/>
                <w:color w:val="auto"/>
              </w:rPr>
            </w:pPr>
          </w:p>
        </w:tc>
        <w:tc>
          <w:tcPr>
            <w:tcW w:w="1020" w:type="dxa"/>
            <w:vAlign w:val="bottom"/>
            <w:tcBorders>
              <w:top w:val="single" w:sz="8" w:color="00539B"/>
            </w:tcBorders>
            <w:shd w:val="clear" w:color="auto" w:fill="E0E3F1"/>
          </w:tcPr>
          <w:p>
            <w:pPr>
              <w:jc w:val="center"/>
              <w:ind w:right="168"/>
              <w:spacing w:after="0" w:line="142" w:lineRule="exact"/>
              <w:rPr>
                <w:sz w:val="20"/>
                <w:szCs w:val="20"/>
                <w:color w:val="auto"/>
              </w:rPr>
            </w:pPr>
            <w:r>
              <w:rPr>
                <w:rFonts w:ascii="Arial" w:cs="Arial" w:eastAsia="Arial" w:hAnsi="Arial"/>
                <w:sz w:val="14"/>
                <w:szCs w:val="14"/>
                <w:color w:val="auto"/>
              </w:rPr>
              <w:t>Gross</w:t>
            </w:r>
          </w:p>
        </w:tc>
        <w:tc>
          <w:tcPr>
            <w:tcW w:w="200" w:type="dxa"/>
            <w:vAlign w:val="bottom"/>
            <w:tcBorders>
              <w:top w:val="single" w:sz="8" w:color="00539B"/>
            </w:tcBorders>
            <w:shd w:val="clear" w:color="auto" w:fill="E0E3F1"/>
          </w:tcPr>
          <w:p>
            <w:pPr>
              <w:spacing w:after="0"/>
              <w:rPr>
                <w:sz w:val="12"/>
                <w:szCs w:val="12"/>
                <w:color w:val="auto"/>
              </w:rPr>
            </w:pPr>
          </w:p>
        </w:tc>
        <w:tc>
          <w:tcPr>
            <w:tcW w:w="1100" w:type="dxa"/>
            <w:vAlign w:val="bottom"/>
            <w:tcBorders>
              <w:top w:val="single" w:sz="8" w:color="00539B"/>
            </w:tcBorders>
            <w:vMerge w:val="restart"/>
            <w:shd w:val="clear" w:color="auto" w:fill="E0E3F1"/>
          </w:tcPr>
          <w:p>
            <w:pPr>
              <w:jc w:val="right"/>
              <w:ind w:right="163"/>
              <w:spacing w:after="0"/>
              <w:rPr>
                <w:sz w:val="20"/>
                <w:szCs w:val="20"/>
                <w:color w:val="auto"/>
              </w:rPr>
            </w:pPr>
            <w:r>
              <w:rPr>
                <w:rFonts w:ascii="Arial" w:cs="Arial" w:eastAsia="Arial" w:hAnsi="Arial"/>
                <w:sz w:val="14"/>
                <w:szCs w:val="14"/>
                <w:color w:val="auto"/>
              </w:rPr>
              <w:t>Accumulated</w:t>
            </w:r>
          </w:p>
        </w:tc>
        <w:tc>
          <w:tcPr>
            <w:tcW w:w="240" w:type="dxa"/>
            <w:vAlign w:val="bottom"/>
            <w:tcBorders>
              <w:top w:val="single" w:sz="8" w:color="00539B"/>
            </w:tcBorders>
          </w:tcPr>
          <w:p>
            <w:pPr>
              <w:spacing w:after="0"/>
              <w:rPr>
                <w:sz w:val="12"/>
                <w:szCs w:val="12"/>
                <w:color w:val="auto"/>
              </w:rPr>
            </w:pPr>
          </w:p>
        </w:tc>
        <w:tc>
          <w:tcPr>
            <w:tcW w:w="1040" w:type="dxa"/>
            <w:vAlign w:val="bottom"/>
            <w:tcBorders>
              <w:top w:val="single" w:sz="8" w:color="00539B"/>
            </w:tcBorders>
          </w:tcPr>
          <w:p>
            <w:pPr>
              <w:jc w:val="center"/>
              <w:ind w:right="148"/>
              <w:spacing w:after="0" w:line="142" w:lineRule="exact"/>
              <w:rPr>
                <w:sz w:val="20"/>
                <w:szCs w:val="20"/>
                <w:color w:val="auto"/>
              </w:rPr>
            </w:pPr>
            <w:r>
              <w:rPr>
                <w:rFonts w:ascii="Arial" w:cs="Arial" w:eastAsia="Arial" w:hAnsi="Arial"/>
                <w:sz w:val="14"/>
                <w:szCs w:val="14"/>
                <w:color w:val="auto"/>
              </w:rPr>
              <w:t>Gross</w:t>
            </w:r>
          </w:p>
        </w:tc>
        <w:tc>
          <w:tcPr>
            <w:tcW w:w="220" w:type="dxa"/>
            <w:vAlign w:val="bottom"/>
            <w:tcBorders>
              <w:top w:val="single" w:sz="8" w:color="00539B"/>
            </w:tcBorders>
          </w:tcPr>
          <w:p>
            <w:pPr>
              <w:spacing w:after="0"/>
              <w:rPr>
                <w:sz w:val="12"/>
                <w:szCs w:val="12"/>
                <w:color w:val="auto"/>
              </w:rPr>
            </w:pPr>
          </w:p>
        </w:tc>
        <w:tc>
          <w:tcPr>
            <w:tcW w:w="1100" w:type="dxa"/>
            <w:vAlign w:val="bottom"/>
            <w:tcBorders>
              <w:top w:val="single" w:sz="8" w:color="00539B"/>
            </w:tcBorders>
            <w:vMerge w:val="restart"/>
          </w:tcPr>
          <w:p>
            <w:pPr>
              <w:jc w:val="right"/>
              <w:ind w:right="163"/>
              <w:spacing w:after="0"/>
              <w:rPr>
                <w:sz w:val="20"/>
                <w:szCs w:val="20"/>
                <w:color w:val="auto"/>
              </w:rPr>
            </w:pPr>
            <w:r>
              <w:rPr>
                <w:rFonts w:ascii="Arial" w:cs="Arial" w:eastAsia="Arial" w:hAnsi="Arial"/>
                <w:sz w:val="14"/>
                <w:szCs w:val="14"/>
                <w:color w:val="auto"/>
              </w:rPr>
              <w:t>Accumulated</w:t>
            </w:r>
          </w:p>
        </w:tc>
        <w:tc>
          <w:tcPr>
            <w:tcW w:w="0" w:type="dxa"/>
            <w:vAlign w:val="bottom"/>
          </w:tcPr>
          <w:p>
            <w:pPr>
              <w:spacing w:after="0"/>
              <w:rPr>
                <w:sz w:val="1"/>
                <w:szCs w:val="1"/>
                <w:color w:val="auto"/>
              </w:rPr>
            </w:pPr>
          </w:p>
        </w:tc>
      </w:tr>
      <w:tr>
        <w:trPr>
          <w:trHeight w:val="148"/>
        </w:trPr>
        <w:tc>
          <w:tcPr>
            <w:tcW w:w="6060" w:type="dxa"/>
            <w:vAlign w:val="bottom"/>
            <w:vMerge w:val="restart"/>
          </w:tcPr>
          <w:p>
            <w:pPr>
              <w:ind w:left="20"/>
              <w:spacing w:after="0"/>
              <w:rPr>
                <w:sz w:val="20"/>
                <w:szCs w:val="20"/>
                <w:color w:val="auto"/>
              </w:rPr>
            </w:pPr>
            <w:r>
              <w:rPr>
                <w:rFonts w:ascii="Arial" w:cs="Arial" w:eastAsia="Arial" w:hAnsi="Arial"/>
                <w:sz w:val="14"/>
                <w:szCs w:val="14"/>
                <w:color w:val="auto"/>
              </w:rPr>
              <w:t>(millions)</w:t>
            </w:r>
          </w:p>
        </w:tc>
        <w:tc>
          <w:tcPr>
            <w:tcW w:w="240" w:type="dxa"/>
            <w:vAlign w:val="bottom"/>
            <w:shd w:val="clear" w:color="auto" w:fill="E0E3F1"/>
          </w:tcPr>
          <w:p>
            <w:pPr>
              <w:spacing w:after="0"/>
              <w:rPr>
                <w:sz w:val="12"/>
                <w:szCs w:val="12"/>
                <w:color w:val="auto"/>
              </w:rPr>
            </w:pPr>
          </w:p>
        </w:tc>
        <w:tc>
          <w:tcPr>
            <w:tcW w:w="1020" w:type="dxa"/>
            <w:vAlign w:val="bottom"/>
            <w:shd w:val="clear" w:color="auto" w:fill="E0E3F1"/>
          </w:tcPr>
          <w:p>
            <w:pPr>
              <w:jc w:val="center"/>
              <w:ind w:right="168"/>
              <w:spacing w:after="0" w:line="149" w:lineRule="exact"/>
              <w:rPr>
                <w:sz w:val="20"/>
                <w:szCs w:val="20"/>
                <w:color w:val="auto"/>
              </w:rPr>
            </w:pPr>
            <w:r>
              <w:rPr>
                <w:rFonts w:ascii="Arial" w:cs="Arial" w:eastAsia="Arial" w:hAnsi="Arial"/>
                <w:sz w:val="14"/>
                <w:szCs w:val="14"/>
                <w:color w:val="auto"/>
              </w:rPr>
              <w:t>carrying</w:t>
            </w:r>
          </w:p>
        </w:tc>
        <w:tc>
          <w:tcPr>
            <w:tcW w:w="200" w:type="dxa"/>
            <w:vAlign w:val="bottom"/>
            <w:shd w:val="clear" w:color="auto" w:fill="E0E3F1"/>
          </w:tcPr>
          <w:p>
            <w:pPr>
              <w:spacing w:after="0"/>
              <w:rPr>
                <w:sz w:val="12"/>
                <w:szCs w:val="12"/>
                <w:color w:val="auto"/>
              </w:rPr>
            </w:pPr>
          </w:p>
        </w:tc>
        <w:tc>
          <w:tcPr>
            <w:tcW w:w="1100" w:type="dxa"/>
            <w:vAlign w:val="bottom"/>
            <w:vMerge w:val="continue"/>
            <w:shd w:val="clear" w:color="auto" w:fill="E0E3F1"/>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center"/>
              <w:ind w:right="148"/>
              <w:spacing w:after="0" w:line="149" w:lineRule="exact"/>
              <w:rPr>
                <w:sz w:val="20"/>
                <w:szCs w:val="20"/>
                <w:color w:val="auto"/>
              </w:rPr>
            </w:pPr>
            <w:r>
              <w:rPr>
                <w:rFonts w:ascii="Arial" w:cs="Arial" w:eastAsia="Arial" w:hAnsi="Arial"/>
                <w:sz w:val="14"/>
                <w:szCs w:val="14"/>
                <w:color w:val="auto"/>
              </w:rPr>
              <w:t>carrying</w:t>
            </w:r>
          </w:p>
        </w:tc>
        <w:tc>
          <w:tcPr>
            <w:tcW w:w="2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060" w:type="dxa"/>
            <w:vAlign w:val="bottom"/>
            <w:tcBorders>
              <w:bottom w:val="single" w:sz="8" w:color="00539B"/>
            </w:tcBorders>
            <w:vMerge w:val="continue"/>
          </w:tcPr>
          <w:p>
            <w:pPr>
              <w:spacing w:after="0"/>
              <w:rPr>
                <w:sz w:val="16"/>
                <w:szCs w:val="16"/>
                <w:color w:val="auto"/>
              </w:rPr>
            </w:pPr>
          </w:p>
        </w:tc>
        <w:tc>
          <w:tcPr>
            <w:tcW w:w="240" w:type="dxa"/>
            <w:vAlign w:val="bottom"/>
            <w:tcBorders>
              <w:bottom w:val="single" w:sz="8" w:color="00539B"/>
            </w:tcBorders>
            <w:shd w:val="clear" w:color="auto" w:fill="E0E3F1"/>
          </w:tcPr>
          <w:p>
            <w:pPr>
              <w:spacing w:after="0"/>
              <w:rPr>
                <w:sz w:val="16"/>
                <w:szCs w:val="16"/>
                <w:color w:val="auto"/>
              </w:rPr>
            </w:pPr>
          </w:p>
        </w:tc>
        <w:tc>
          <w:tcPr>
            <w:tcW w:w="1020" w:type="dxa"/>
            <w:vAlign w:val="bottom"/>
            <w:tcBorders>
              <w:bottom w:val="single" w:sz="8" w:color="00539B"/>
            </w:tcBorders>
            <w:shd w:val="clear" w:color="auto" w:fill="E0E3F1"/>
          </w:tcPr>
          <w:p>
            <w:pPr>
              <w:jc w:val="center"/>
              <w:ind w:right="148"/>
              <w:spacing w:after="0"/>
              <w:rPr>
                <w:sz w:val="20"/>
                <w:szCs w:val="20"/>
                <w:color w:val="auto"/>
              </w:rPr>
            </w:pPr>
            <w:r>
              <w:rPr>
                <w:rFonts w:ascii="Arial" w:cs="Arial" w:eastAsia="Arial" w:hAnsi="Arial"/>
                <w:sz w:val="14"/>
                <w:szCs w:val="14"/>
                <w:color w:val="auto"/>
              </w:rPr>
              <w:t>amount</w:t>
            </w:r>
          </w:p>
        </w:tc>
        <w:tc>
          <w:tcPr>
            <w:tcW w:w="200" w:type="dxa"/>
            <w:vAlign w:val="bottom"/>
            <w:tcBorders>
              <w:bottom w:val="single" w:sz="8" w:color="00539B"/>
            </w:tcBorders>
            <w:shd w:val="clear" w:color="auto" w:fill="E0E3F1"/>
          </w:tcPr>
          <w:p>
            <w:pPr>
              <w:spacing w:after="0"/>
              <w:rPr>
                <w:sz w:val="16"/>
                <w:szCs w:val="16"/>
                <w:color w:val="auto"/>
              </w:rPr>
            </w:pPr>
          </w:p>
        </w:tc>
        <w:tc>
          <w:tcPr>
            <w:tcW w:w="1100" w:type="dxa"/>
            <w:vAlign w:val="bottom"/>
            <w:tcBorders>
              <w:bottom w:val="single" w:sz="8" w:color="00539B"/>
            </w:tcBorders>
            <w:shd w:val="clear" w:color="auto" w:fill="E0E3F1"/>
          </w:tcPr>
          <w:p>
            <w:pPr>
              <w:jc w:val="right"/>
              <w:ind w:right="183"/>
              <w:spacing w:after="0"/>
              <w:rPr>
                <w:sz w:val="20"/>
                <w:szCs w:val="20"/>
                <w:color w:val="auto"/>
              </w:rPr>
            </w:pPr>
            <w:r>
              <w:rPr>
                <w:rFonts w:ascii="Arial" w:cs="Arial" w:eastAsia="Arial" w:hAnsi="Arial"/>
                <w:sz w:val="14"/>
                <w:szCs w:val="14"/>
                <w:color w:val="auto"/>
              </w:rPr>
              <w:t>amortization</w:t>
            </w:r>
          </w:p>
        </w:tc>
        <w:tc>
          <w:tcPr>
            <w:tcW w:w="240" w:type="dxa"/>
            <w:vAlign w:val="bottom"/>
            <w:tcBorders>
              <w:bottom w:val="single" w:sz="8" w:color="00539B"/>
            </w:tcBorders>
          </w:tcPr>
          <w:p>
            <w:pPr>
              <w:spacing w:after="0"/>
              <w:rPr>
                <w:sz w:val="16"/>
                <w:szCs w:val="16"/>
                <w:color w:val="auto"/>
              </w:rPr>
            </w:pPr>
          </w:p>
        </w:tc>
        <w:tc>
          <w:tcPr>
            <w:tcW w:w="1040" w:type="dxa"/>
            <w:vAlign w:val="bottom"/>
            <w:tcBorders>
              <w:bottom w:val="single" w:sz="8" w:color="00539B"/>
            </w:tcBorders>
          </w:tcPr>
          <w:p>
            <w:pPr>
              <w:jc w:val="center"/>
              <w:ind w:right="168"/>
              <w:spacing w:after="0"/>
              <w:rPr>
                <w:sz w:val="20"/>
                <w:szCs w:val="20"/>
                <w:color w:val="auto"/>
              </w:rPr>
            </w:pPr>
            <w:r>
              <w:rPr>
                <w:rFonts w:ascii="Arial" w:cs="Arial" w:eastAsia="Arial" w:hAnsi="Arial"/>
                <w:sz w:val="14"/>
                <w:szCs w:val="14"/>
                <w:color w:val="auto"/>
              </w:rPr>
              <w:t>amount</w:t>
            </w:r>
          </w:p>
        </w:tc>
        <w:tc>
          <w:tcPr>
            <w:tcW w:w="220" w:type="dxa"/>
            <w:vAlign w:val="bottom"/>
            <w:tcBorders>
              <w:bottom w:val="single" w:sz="8" w:color="00539B"/>
            </w:tcBorders>
          </w:tcPr>
          <w:p>
            <w:pPr>
              <w:spacing w:after="0"/>
              <w:rPr>
                <w:sz w:val="16"/>
                <w:szCs w:val="16"/>
                <w:color w:val="auto"/>
              </w:rPr>
            </w:pPr>
          </w:p>
        </w:tc>
        <w:tc>
          <w:tcPr>
            <w:tcW w:w="1100" w:type="dxa"/>
            <w:vAlign w:val="bottom"/>
            <w:tcBorders>
              <w:bottom w:val="single" w:sz="8" w:color="00539B"/>
            </w:tcBorders>
          </w:tcPr>
          <w:p>
            <w:pPr>
              <w:jc w:val="right"/>
              <w:ind w:right="183"/>
              <w:spacing w:after="0"/>
              <w:rPr>
                <w:sz w:val="20"/>
                <w:szCs w:val="20"/>
                <w:color w:val="auto"/>
              </w:rPr>
            </w:pPr>
            <w:r>
              <w:rPr>
                <w:rFonts w:ascii="Arial" w:cs="Arial" w:eastAsia="Arial" w:hAnsi="Arial"/>
                <w:sz w:val="14"/>
                <w:szCs w:val="14"/>
                <w:color w:val="auto"/>
              </w:rPr>
              <w:t>amortization</w:t>
            </w:r>
          </w:p>
        </w:tc>
        <w:tc>
          <w:tcPr>
            <w:tcW w:w="0" w:type="dxa"/>
            <w:vAlign w:val="bottom"/>
          </w:tcPr>
          <w:p>
            <w:pPr>
              <w:spacing w:after="0"/>
              <w:rPr>
                <w:sz w:val="1"/>
                <w:szCs w:val="1"/>
                <w:color w:val="auto"/>
              </w:rPr>
            </w:pPr>
          </w:p>
        </w:tc>
      </w:tr>
      <w:tr>
        <w:trPr>
          <w:trHeight w:val="188"/>
        </w:trPr>
        <w:tc>
          <w:tcPr>
            <w:tcW w:w="6060" w:type="dxa"/>
            <w:vAlign w:val="bottom"/>
          </w:tcPr>
          <w:p>
            <w:pPr>
              <w:ind w:left="20"/>
              <w:spacing w:after="0"/>
              <w:rPr>
                <w:sz w:val="20"/>
                <w:szCs w:val="20"/>
                <w:color w:val="auto"/>
              </w:rPr>
            </w:pPr>
            <w:r>
              <w:rPr>
                <w:rFonts w:ascii="Arial" w:cs="Arial" w:eastAsia="Arial" w:hAnsi="Arial"/>
                <w:sz w:val="14"/>
                <w:szCs w:val="14"/>
                <w:color w:val="auto"/>
              </w:rPr>
              <w:t>Definite-lived intangible assets</w:t>
            </w:r>
          </w:p>
        </w:tc>
        <w:tc>
          <w:tcPr>
            <w:tcW w:w="240" w:type="dxa"/>
            <w:vAlign w:val="bottom"/>
            <w:shd w:val="clear" w:color="auto" w:fill="E0E3F1"/>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E0E3F1"/>
          </w:tcPr>
          <w:p>
            <w:pPr>
              <w:jc w:val="right"/>
              <w:spacing w:after="0"/>
              <w:rPr>
                <w:sz w:val="20"/>
                <w:szCs w:val="20"/>
                <w:color w:val="auto"/>
              </w:rPr>
            </w:pPr>
            <w:r>
              <w:rPr>
                <w:rFonts w:ascii="Arial" w:cs="Arial" w:eastAsia="Arial" w:hAnsi="Arial"/>
                <w:sz w:val="14"/>
                <w:szCs w:val="14"/>
                <w:color w:val="auto"/>
              </w:rPr>
              <w:t>546.9</w:t>
            </w:r>
          </w:p>
        </w:tc>
        <w:tc>
          <w:tcPr>
            <w:tcW w:w="200" w:type="dxa"/>
            <w:vAlign w:val="bottom"/>
            <w:shd w:val="clear" w:color="auto" w:fill="E0E3F1"/>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E0E3F1"/>
          </w:tcPr>
          <w:p>
            <w:pPr>
              <w:jc w:val="right"/>
              <w:spacing w:after="0"/>
              <w:rPr>
                <w:sz w:val="20"/>
                <w:szCs w:val="20"/>
                <w:color w:val="auto"/>
              </w:rPr>
            </w:pPr>
            <w:r>
              <w:rPr>
                <w:rFonts w:ascii="Arial" w:cs="Arial" w:eastAsia="Arial" w:hAnsi="Arial"/>
                <w:sz w:val="14"/>
                <w:szCs w:val="14"/>
                <w:color w:val="auto"/>
              </w:rPr>
              <w:t>302.6</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537.5</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3"/>
              <w:spacing w:after="0"/>
              <w:rPr>
                <w:sz w:val="20"/>
                <w:szCs w:val="20"/>
                <w:color w:val="auto"/>
              </w:rPr>
            </w:pPr>
            <w:r>
              <w:rPr>
                <w:rFonts w:ascii="Arial" w:cs="Arial" w:eastAsia="Arial" w:hAnsi="Arial"/>
                <w:sz w:val="14"/>
                <w:szCs w:val="14"/>
                <w:color w:val="auto"/>
              </w:rPr>
              <w:t>262.5</w:t>
            </w:r>
          </w:p>
        </w:tc>
        <w:tc>
          <w:tcPr>
            <w:tcW w:w="0" w:type="dxa"/>
            <w:vAlign w:val="bottom"/>
          </w:tcPr>
          <w:p>
            <w:pPr>
              <w:spacing w:after="0"/>
              <w:rPr>
                <w:sz w:val="1"/>
                <w:szCs w:val="1"/>
                <w:color w:val="auto"/>
              </w:rPr>
            </w:pPr>
          </w:p>
        </w:tc>
      </w:tr>
      <w:tr>
        <w:trPr>
          <w:trHeight w:val="203"/>
        </w:trPr>
        <w:tc>
          <w:tcPr>
            <w:tcW w:w="6060" w:type="dxa"/>
            <w:vAlign w:val="bottom"/>
          </w:tcPr>
          <w:p>
            <w:pPr>
              <w:ind w:left="20"/>
              <w:spacing w:after="0"/>
              <w:rPr>
                <w:sz w:val="20"/>
                <w:szCs w:val="20"/>
                <w:color w:val="auto"/>
              </w:rPr>
            </w:pPr>
            <w:r>
              <w:rPr>
                <w:rFonts w:ascii="Arial" w:cs="Arial" w:eastAsia="Arial" w:hAnsi="Arial"/>
                <w:sz w:val="14"/>
                <w:szCs w:val="14"/>
                <w:color w:val="auto"/>
              </w:rPr>
              <w:t>Indefinite-lived intangible assets:</w:t>
            </w:r>
          </w:p>
        </w:tc>
        <w:tc>
          <w:tcPr>
            <w:tcW w:w="240" w:type="dxa"/>
            <w:vAlign w:val="bottom"/>
            <w:shd w:val="clear" w:color="auto" w:fill="E0E3F1"/>
          </w:tcPr>
          <w:p>
            <w:pPr>
              <w:spacing w:after="0"/>
              <w:rPr>
                <w:sz w:val="17"/>
                <w:szCs w:val="17"/>
                <w:color w:val="auto"/>
              </w:rPr>
            </w:pPr>
          </w:p>
        </w:tc>
        <w:tc>
          <w:tcPr>
            <w:tcW w:w="1020" w:type="dxa"/>
            <w:vAlign w:val="bottom"/>
            <w:shd w:val="clear" w:color="auto" w:fill="E0E3F1"/>
          </w:tcPr>
          <w:p>
            <w:pPr>
              <w:spacing w:after="0"/>
              <w:rPr>
                <w:sz w:val="17"/>
                <w:szCs w:val="17"/>
                <w:color w:val="auto"/>
              </w:rPr>
            </w:pPr>
          </w:p>
        </w:tc>
        <w:tc>
          <w:tcPr>
            <w:tcW w:w="200" w:type="dxa"/>
            <w:vAlign w:val="bottom"/>
            <w:shd w:val="clear" w:color="auto" w:fill="E0E3F1"/>
          </w:tcPr>
          <w:p>
            <w:pPr>
              <w:spacing w:after="0"/>
              <w:rPr>
                <w:sz w:val="17"/>
                <w:szCs w:val="17"/>
                <w:color w:val="auto"/>
              </w:rPr>
            </w:pPr>
          </w:p>
        </w:tc>
        <w:tc>
          <w:tcPr>
            <w:tcW w:w="1100" w:type="dxa"/>
            <w:vAlign w:val="bottom"/>
            <w:shd w:val="clear" w:color="auto" w:fill="E0E3F1"/>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6060" w:type="dxa"/>
            <w:vAlign w:val="bottom"/>
          </w:tcPr>
          <w:p>
            <w:pPr>
              <w:ind w:left="360"/>
              <w:spacing w:after="0"/>
              <w:rPr>
                <w:sz w:val="20"/>
                <w:szCs w:val="20"/>
                <w:color w:val="auto"/>
              </w:rPr>
            </w:pPr>
            <w:r>
              <w:rPr>
                <w:rFonts w:ascii="Arial" w:cs="Arial" w:eastAsia="Arial" w:hAnsi="Arial"/>
                <w:sz w:val="14"/>
                <w:szCs w:val="14"/>
                <w:color w:val="auto"/>
              </w:rPr>
              <w:t>Goodwill</w:t>
            </w:r>
          </w:p>
        </w:tc>
        <w:tc>
          <w:tcPr>
            <w:tcW w:w="240" w:type="dxa"/>
            <w:vAlign w:val="bottom"/>
            <w:shd w:val="clear" w:color="auto" w:fill="E0E3F1"/>
          </w:tcPr>
          <w:p>
            <w:pPr>
              <w:spacing w:after="0"/>
              <w:rPr>
                <w:sz w:val="20"/>
                <w:szCs w:val="20"/>
                <w:color w:val="auto"/>
              </w:rPr>
            </w:pPr>
          </w:p>
        </w:tc>
        <w:tc>
          <w:tcPr>
            <w:tcW w:w="1020" w:type="dxa"/>
            <w:vAlign w:val="bottom"/>
            <w:shd w:val="clear" w:color="auto" w:fill="E0E3F1"/>
          </w:tcPr>
          <w:p>
            <w:pPr>
              <w:jc w:val="right"/>
              <w:spacing w:after="0"/>
              <w:rPr>
                <w:sz w:val="20"/>
                <w:szCs w:val="20"/>
                <w:color w:val="auto"/>
              </w:rPr>
            </w:pPr>
            <w:r>
              <w:rPr>
                <w:rFonts w:ascii="Arial" w:cs="Arial" w:eastAsia="Arial" w:hAnsi="Arial"/>
                <w:sz w:val="14"/>
                <w:szCs w:val="14"/>
                <w:color w:val="auto"/>
              </w:rPr>
              <w:t>5,301.3</w:t>
            </w:r>
          </w:p>
        </w:tc>
        <w:tc>
          <w:tcPr>
            <w:tcW w:w="200" w:type="dxa"/>
            <w:vAlign w:val="bottom"/>
            <w:shd w:val="clear" w:color="auto" w:fill="E0E3F1"/>
          </w:tcPr>
          <w:p>
            <w:pPr>
              <w:spacing w:after="0"/>
              <w:rPr>
                <w:sz w:val="20"/>
                <w:szCs w:val="20"/>
                <w:color w:val="auto"/>
              </w:rPr>
            </w:pPr>
          </w:p>
        </w:tc>
        <w:tc>
          <w:tcPr>
            <w:tcW w:w="1100" w:type="dxa"/>
            <w:vAlign w:val="bottom"/>
            <w:shd w:val="clear" w:color="auto" w:fill="E0E3F1"/>
          </w:tcPr>
          <w:p>
            <w:pPr>
              <w:jc w:val="right"/>
              <w:ind w:right="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5,227.5</w:t>
            </w:r>
          </w:p>
        </w:tc>
        <w:tc>
          <w:tcPr>
            <w:tcW w:w="220" w:type="dxa"/>
            <w:vAlign w:val="bottom"/>
          </w:tcPr>
          <w:p>
            <w:pPr>
              <w:spacing w:after="0"/>
              <w:rPr>
                <w:sz w:val="20"/>
                <w:szCs w:val="20"/>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60" w:type="dxa"/>
            <w:vAlign w:val="bottom"/>
            <w:tcBorders>
              <w:bottom w:val="single" w:sz="8" w:color="00539B"/>
            </w:tcBorders>
          </w:tcPr>
          <w:p>
            <w:pPr>
              <w:ind w:left="360"/>
              <w:spacing w:after="0"/>
              <w:rPr>
                <w:sz w:val="20"/>
                <w:szCs w:val="20"/>
                <w:color w:val="auto"/>
              </w:rPr>
            </w:pPr>
            <w:r>
              <w:rPr>
                <w:rFonts w:ascii="Arial" w:cs="Arial" w:eastAsia="Arial" w:hAnsi="Arial"/>
                <w:sz w:val="14"/>
                <w:szCs w:val="14"/>
                <w:color w:val="auto"/>
              </w:rPr>
              <w:t>Brand names and trademarks</w:t>
            </w:r>
          </w:p>
        </w:tc>
        <w:tc>
          <w:tcPr>
            <w:tcW w:w="240" w:type="dxa"/>
            <w:vAlign w:val="bottom"/>
            <w:tcBorders>
              <w:bottom w:val="single" w:sz="8" w:color="00539B"/>
            </w:tcBorders>
            <w:shd w:val="clear" w:color="auto" w:fill="E0E3F1"/>
          </w:tcPr>
          <w:p>
            <w:pPr>
              <w:spacing w:after="0"/>
              <w:rPr>
                <w:sz w:val="19"/>
                <w:szCs w:val="19"/>
                <w:color w:val="auto"/>
              </w:rPr>
            </w:pPr>
          </w:p>
        </w:tc>
        <w:tc>
          <w:tcPr>
            <w:tcW w:w="102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3,048.8</w:t>
            </w:r>
          </w:p>
        </w:tc>
        <w:tc>
          <w:tcPr>
            <w:tcW w:w="200" w:type="dxa"/>
            <w:vAlign w:val="bottom"/>
            <w:tcBorders>
              <w:bottom w:val="single" w:sz="8" w:color="00539B"/>
            </w:tcBorders>
            <w:shd w:val="clear" w:color="auto" w:fill="E0E3F1"/>
          </w:tcPr>
          <w:p>
            <w:pPr>
              <w:spacing w:after="0"/>
              <w:rPr>
                <w:sz w:val="19"/>
                <w:szCs w:val="19"/>
                <w:color w:val="auto"/>
              </w:rPr>
            </w:pPr>
          </w:p>
        </w:tc>
        <w:tc>
          <w:tcPr>
            <w:tcW w:w="1100" w:type="dxa"/>
            <w:vAlign w:val="bottom"/>
            <w:tcBorders>
              <w:bottom w:val="single" w:sz="8" w:color="00539B"/>
            </w:tcBorders>
            <w:shd w:val="clear" w:color="auto" w:fill="E0E3F1"/>
          </w:tcPr>
          <w:p>
            <w:pPr>
              <w:jc w:val="right"/>
              <w:ind w:right="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00539B"/>
            </w:tcBorders>
          </w:tcPr>
          <w:p>
            <w:pPr>
              <w:spacing w:after="0"/>
              <w:rPr>
                <w:sz w:val="19"/>
                <w:szCs w:val="19"/>
                <w:color w:val="auto"/>
              </w:rPr>
            </w:pPr>
          </w:p>
        </w:tc>
        <w:tc>
          <w:tcPr>
            <w:tcW w:w="104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3,043.9</w:t>
            </w:r>
          </w:p>
        </w:tc>
        <w:tc>
          <w:tcPr>
            <w:tcW w:w="220" w:type="dxa"/>
            <w:vAlign w:val="bottom"/>
            <w:tcBorders>
              <w:bottom w:val="single" w:sz="8" w:color="00539B"/>
            </w:tcBorders>
          </w:tcPr>
          <w:p>
            <w:pPr>
              <w:spacing w:after="0"/>
              <w:rPr>
                <w:sz w:val="19"/>
                <w:szCs w:val="19"/>
                <w:color w:val="auto"/>
              </w:rPr>
            </w:pPr>
          </w:p>
        </w:tc>
        <w:tc>
          <w:tcPr>
            <w:tcW w:w="1100" w:type="dxa"/>
            <w:vAlign w:val="bottom"/>
            <w:tcBorders>
              <w:bottom w:val="single" w:sz="8" w:color="00539B"/>
            </w:tcBorders>
          </w:tcPr>
          <w:p>
            <w:pPr>
              <w:jc w:val="right"/>
              <w:ind w:right="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00539B"/>
            </w:tcBorders>
          </w:tcPr>
          <w:p>
            <w:pPr>
              <w:spacing w:after="0"/>
              <w:rPr>
                <w:sz w:val="16"/>
                <w:szCs w:val="16"/>
                <w:color w:val="auto"/>
              </w:rPr>
            </w:pPr>
          </w:p>
        </w:tc>
        <w:tc>
          <w:tcPr>
            <w:tcW w:w="240" w:type="dxa"/>
            <w:vAlign w:val="bottom"/>
            <w:tcBorders>
              <w:bottom w:val="single" w:sz="8" w:color="00539B"/>
            </w:tcBorders>
            <w:shd w:val="clear" w:color="auto" w:fill="E0E3F1"/>
          </w:tcPr>
          <w:p>
            <w:pPr>
              <w:spacing w:after="0"/>
              <w:rPr>
                <w:sz w:val="16"/>
                <w:szCs w:val="16"/>
                <w:color w:val="auto"/>
              </w:rPr>
            </w:pPr>
          </w:p>
        </w:tc>
        <w:tc>
          <w:tcPr>
            <w:tcW w:w="102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8,350.1</w:t>
            </w:r>
          </w:p>
        </w:tc>
        <w:tc>
          <w:tcPr>
            <w:tcW w:w="200" w:type="dxa"/>
            <w:vAlign w:val="bottom"/>
            <w:tcBorders>
              <w:bottom w:val="single" w:sz="8" w:color="00539B"/>
            </w:tcBorders>
            <w:shd w:val="clear" w:color="auto" w:fill="E0E3F1"/>
          </w:tcPr>
          <w:p>
            <w:pPr>
              <w:spacing w:after="0"/>
              <w:rPr>
                <w:sz w:val="16"/>
                <w:szCs w:val="16"/>
                <w:color w:val="auto"/>
              </w:rPr>
            </w:pPr>
          </w:p>
        </w:tc>
        <w:tc>
          <w:tcPr>
            <w:tcW w:w="1100" w:type="dxa"/>
            <w:vAlign w:val="bottom"/>
            <w:tcBorders>
              <w:bottom w:val="single" w:sz="8" w:color="00539B"/>
            </w:tcBorders>
            <w:shd w:val="clear" w:color="auto" w:fill="E0E3F1"/>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00539B"/>
            </w:tcBorders>
          </w:tcPr>
          <w:p>
            <w:pPr>
              <w:spacing w:after="0"/>
              <w:rPr>
                <w:sz w:val="16"/>
                <w:szCs w:val="16"/>
                <w:color w:val="auto"/>
              </w:rPr>
            </w:pPr>
          </w:p>
        </w:tc>
        <w:tc>
          <w:tcPr>
            <w:tcW w:w="104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8,271.4</w:t>
            </w:r>
          </w:p>
        </w:tc>
        <w:tc>
          <w:tcPr>
            <w:tcW w:w="220" w:type="dxa"/>
            <w:vAlign w:val="bottom"/>
            <w:tcBorders>
              <w:bottom w:val="single" w:sz="8" w:color="00539B"/>
            </w:tcBorders>
          </w:tcPr>
          <w:p>
            <w:pPr>
              <w:spacing w:after="0"/>
              <w:rPr>
                <w:sz w:val="16"/>
                <w:szCs w:val="16"/>
                <w:color w:val="auto"/>
              </w:rPr>
            </w:pPr>
          </w:p>
        </w:tc>
        <w:tc>
          <w:tcPr>
            <w:tcW w:w="1100" w:type="dxa"/>
            <w:vAlign w:val="bottom"/>
            <w:tcBorders>
              <w:bottom w:val="single" w:sz="8" w:color="00539B"/>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7"/>
        </w:trPr>
        <w:tc>
          <w:tcPr>
            <w:tcW w:w="606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Total goodwill and intangible assets</w:t>
            </w:r>
          </w:p>
        </w:tc>
        <w:tc>
          <w:tcPr>
            <w:tcW w:w="240" w:type="dxa"/>
            <w:vAlign w:val="bottom"/>
            <w:tcBorders>
              <w:bottom w:val="single" w:sz="8" w:color="00539B"/>
            </w:tcBorders>
            <w:shd w:val="clear" w:color="auto" w:fill="E0E3F1"/>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8,897.0</w:t>
            </w:r>
          </w:p>
        </w:tc>
        <w:tc>
          <w:tcPr>
            <w:tcW w:w="200" w:type="dxa"/>
            <w:vAlign w:val="bottom"/>
            <w:tcBorders>
              <w:bottom w:val="single" w:sz="8" w:color="00539B"/>
            </w:tcBorders>
            <w:shd w:val="clear" w:color="auto" w:fill="E0E3F1"/>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302.6</w:t>
            </w:r>
          </w:p>
        </w:tc>
        <w:tc>
          <w:tcPr>
            <w:tcW w:w="240" w:type="dxa"/>
            <w:vAlign w:val="bottom"/>
            <w:tcBorders>
              <w:bottom w:val="single" w:sz="8" w:color="00539B"/>
            </w:tcBorders>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8,808.9</w:t>
            </w:r>
          </w:p>
        </w:tc>
        <w:tc>
          <w:tcPr>
            <w:tcW w:w="220" w:type="dxa"/>
            <w:vAlign w:val="bottom"/>
            <w:tcBorders>
              <w:bottom w:val="single" w:sz="8" w:color="00539B"/>
            </w:tcBorders>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00539B"/>
            </w:tcBorders>
          </w:tcPr>
          <w:p>
            <w:pPr>
              <w:jc w:val="right"/>
              <w:ind w:right="3"/>
              <w:spacing w:after="0"/>
              <w:rPr>
                <w:sz w:val="20"/>
                <w:szCs w:val="20"/>
                <w:color w:val="auto"/>
              </w:rPr>
            </w:pPr>
            <w:r>
              <w:rPr>
                <w:rFonts w:ascii="Arial" w:cs="Arial" w:eastAsia="Arial" w:hAnsi="Arial"/>
                <w:sz w:val="14"/>
                <w:szCs w:val="14"/>
                <w:color w:val="auto"/>
              </w:rPr>
              <w:t>262.5</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right="840"/>
        <w:spacing w:after="0" w:line="287" w:lineRule="auto"/>
        <w:rPr>
          <w:sz w:val="20"/>
          <w:szCs w:val="20"/>
          <w:color w:val="auto"/>
        </w:rPr>
      </w:pPr>
      <w:r>
        <w:rPr>
          <w:rFonts w:ascii="Arial" w:cs="Arial" w:eastAsia="Arial" w:hAnsi="Arial"/>
          <w:sz w:val="18"/>
          <w:szCs w:val="18"/>
          <w:color w:val="auto"/>
        </w:rPr>
        <w:t>Intangible asset amortization expense was $ 35.2 million, $35.0 million, and $ 34.9 million for 2025, 2024, and 2023, respectively. At November 30, 2025, definite-lived intangible assets had a weighted-average remaining life of approximately 8 years.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the next five years, based on intangible asset balances as of November 30, 2025, is estimated to be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260" w:type="dxa"/>
            <w:vAlign w:val="bottom"/>
            <w:tcBorders>
              <w:top w:val="single" w:sz="8" w:color="00539B"/>
            </w:tcBorders>
          </w:tcPr>
          <w:p>
            <w:pPr>
              <w:jc w:val="right"/>
              <w:ind w:right="4848"/>
              <w:spacing w:after="0"/>
              <w:rPr>
                <w:sz w:val="20"/>
                <w:szCs w:val="20"/>
                <w:color w:val="auto"/>
              </w:rPr>
            </w:pPr>
            <w:r>
              <w:rPr>
                <w:rFonts w:ascii="Arial" w:cs="Arial" w:eastAsia="Arial" w:hAnsi="Arial"/>
                <w:sz w:val="14"/>
                <w:szCs w:val="14"/>
                <w:color w:val="auto"/>
              </w:rPr>
              <w:t>2026</w:t>
            </w:r>
          </w:p>
        </w:tc>
        <w:tc>
          <w:tcPr>
            <w:tcW w:w="5300" w:type="dxa"/>
            <w:vAlign w:val="bottom"/>
            <w:tcBorders>
              <w:top w:val="single" w:sz="8" w:color="00539B"/>
            </w:tcBorders>
          </w:tcPr>
          <w:p>
            <w:pPr>
              <w:jc w:val="right"/>
              <w:ind w:right="22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00539B"/>
            </w:tcBorders>
          </w:tcPr>
          <w:p>
            <w:pPr>
              <w:jc w:val="right"/>
              <w:ind w:right="8"/>
              <w:spacing w:after="0"/>
              <w:rPr>
                <w:sz w:val="20"/>
                <w:szCs w:val="20"/>
                <w:color w:val="auto"/>
              </w:rPr>
            </w:pPr>
            <w:r>
              <w:rPr>
                <w:rFonts w:ascii="Arial" w:cs="Arial" w:eastAsia="Arial" w:hAnsi="Arial"/>
                <w:sz w:val="14"/>
                <w:szCs w:val="14"/>
                <w:color w:val="auto"/>
              </w:rPr>
              <w:t>35.7</w:t>
            </w:r>
          </w:p>
        </w:tc>
      </w:tr>
      <w:tr>
        <w:trPr>
          <w:trHeight w:val="203"/>
        </w:trPr>
        <w:tc>
          <w:tcPr>
            <w:tcW w:w="5260" w:type="dxa"/>
            <w:vAlign w:val="bottom"/>
          </w:tcPr>
          <w:p>
            <w:pPr>
              <w:jc w:val="right"/>
              <w:ind w:right="4848"/>
              <w:spacing w:after="0"/>
              <w:rPr>
                <w:sz w:val="20"/>
                <w:szCs w:val="20"/>
                <w:color w:val="auto"/>
              </w:rPr>
            </w:pPr>
            <w:r>
              <w:rPr>
                <w:rFonts w:ascii="Arial" w:cs="Arial" w:eastAsia="Arial" w:hAnsi="Arial"/>
                <w:sz w:val="14"/>
                <w:szCs w:val="14"/>
                <w:color w:val="auto"/>
              </w:rPr>
              <w:t>2027</w:t>
            </w:r>
          </w:p>
        </w:tc>
        <w:tc>
          <w:tcPr>
            <w:tcW w:w="530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33.9</w:t>
            </w:r>
          </w:p>
        </w:tc>
      </w:tr>
      <w:tr>
        <w:trPr>
          <w:trHeight w:val="203"/>
        </w:trPr>
        <w:tc>
          <w:tcPr>
            <w:tcW w:w="5260" w:type="dxa"/>
            <w:vAlign w:val="bottom"/>
          </w:tcPr>
          <w:p>
            <w:pPr>
              <w:jc w:val="right"/>
              <w:ind w:right="4848"/>
              <w:spacing w:after="0"/>
              <w:rPr>
                <w:sz w:val="20"/>
                <w:szCs w:val="20"/>
                <w:color w:val="auto"/>
              </w:rPr>
            </w:pPr>
            <w:r>
              <w:rPr>
                <w:rFonts w:ascii="Arial" w:cs="Arial" w:eastAsia="Arial" w:hAnsi="Arial"/>
                <w:sz w:val="14"/>
                <w:szCs w:val="14"/>
                <w:color w:val="auto"/>
              </w:rPr>
              <w:t>2028</w:t>
            </w:r>
          </w:p>
        </w:tc>
        <w:tc>
          <w:tcPr>
            <w:tcW w:w="530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32.7</w:t>
            </w:r>
          </w:p>
        </w:tc>
      </w:tr>
      <w:tr>
        <w:trPr>
          <w:trHeight w:val="203"/>
        </w:trPr>
        <w:tc>
          <w:tcPr>
            <w:tcW w:w="5260" w:type="dxa"/>
            <w:vAlign w:val="bottom"/>
          </w:tcPr>
          <w:p>
            <w:pPr>
              <w:jc w:val="right"/>
              <w:ind w:right="4848"/>
              <w:spacing w:after="0"/>
              <w:rPr>
                <w:sz w:val="20"/>
                <w:szCs w:val="20"/>
                <w:color w:val="auto"/>
              </w:rPr>
            </w:pPr>
            <w:r>
              <w:rPr>
                <w:rFonts w:ascii="Arial" w:cs="Arial" w:eastAsia="Arial" w:hAnsi="Arial"/>
                <w:sz w:val="14"/>
                <w:szCs w:val="14"/>
                <w:color w:val="auto"/>
              </w:rPr>
              <w:t>2029</w:t>
            </w:r>
          </w:p>
        </w:tc>
        <w:tc>
          <w:tcPr>
            <w:tcW w:w="530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28.0</w:t>
            </w:r>
          </w:p>
        </w:tc>
      </w:tr>
      <w:tr>
        <w:trPr>
          <w:trHeight w:val="203"/>
        </w:trPr>
        <w:tc>
          <w:tcPr>
            <w:tcW w:w="5260" w:type="dxa"/>
            <w:vAlign w:val="bottom"/>
          </w:tcPr>
          <w:p>
            <w:pPr>
              <w:jc w:val="right"/>
              <w:ind w:right="4848"/>
              <w:spacing w:after="0"/>
              <w:rPr>
                <w:sz w:val="20"/>
                <w:szCs w:val="20"/>
                <w:color w:val="auto"/>
              </w:rPr>
            </w:pPr>
            <w:r>
              <w:rPr>
                <w:rFonts w:ascii="Arial" w:cs="Arial" w:eastAsia="Arial" w:hAnsi="Arial"/>
                <w:sz w:val="14"/>
                <w:szCs w:val="14"/>
                <w:color w:val="auto"/>
              </w:rPr>
              <w:t>2030</w:t>
            </w:r>
          </w:p>
        </w:tc>
        <w:tc>
          <w:tcPr>
            <w:tcW w:w="530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25.9</w:t>
            </w:r>
          </w:p>
        </w:tc>
      </w:tr>
    </w:tbl>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segment for the years ended November 30 were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060" w:type="dxa"/>
            <w:vAlign w:val="bottom"/>
            <w:tcBorders>
              <w:top w:val="single" w:sz="8" w:color="00539B"/>
            </w:tcBorders>
          </w:tcPr>
          <w:p>
            <w:pPr>
              <w:spacing w:after="0"/>
              <w:rPr>
                <w:sz w:val="23"/>
                <w:szCs w:val="23"/>
                <w:color w:val="auto"/>
              </w:rPr>
            </w:pPr>
          </w:p>
        </w:tc>
        <w:tc>
          <w:tcPr>
            <w:tcW w:w="200" w:type="dxa"/>
            <w:vAlign w:val="bottom"/>
            <w:tcBorders>
              <w:top w:val="single" w:sz="8" w:color="00539B"/>
              <w:bottom w:val="single" w:sz="8" w:color="E0E3F1"/>
            </w:tcBorders>
            <w:shd w:val="clear" w:color="auto" w:fill="E0E3F1"/>
          </w:tcPr>
          <w:p>
            <w:pPr>
              <w:spacing w:after="0"/>
              <w:rPr>
                <w:sz w:val="23"/>
                <w:szCs w:val="23"/>
                <w:color w:val="auto"/>
              </w:rPr>
            </w:pPr>
          </w:p>
        </w:tc>
        <w:tc>
          <w:tcPr>
            <w:tcW w:w="2380" w:type="dxa"/>
            <w:vAlign w:val="bottom"/>
            <w:tcBorders>
              <w:top w:val="single" w:sz="8" w:color="00539B"/>
              <w:bottom w:val="single" w:sz="8" w:color="E0E3F1"/>
            </w:tcBorders>
            <w:gridSpan w:val="3"/>
            <w:shd w:val="clear" w:color="auto" w:fill="E0E3F1"/>
          </w:tcPr>
          <w:p>
            <w:pPr>
              <w:jc w:val="right"/>
              <w:ind w:right="1048"/>
              <w:spacing w:after="0"/>
              <w:rPr>
                <w:sz w:val="20"/>
                <w:szCs w:val="20"/>
                <w:color w:val="auto"/>
              </w:rPr>
            </w:pPr>
            <w:r>
              <w:rPr>
                <w:rFonts w:ascii="Arial" w:cs="Arial" w:eastAsia="Arial" w:hAnsi="Arial"/>
                <w:sz w:val="14"/>
                <w:szCs w:val="14"/>
                <w:color w:val="auto"/>
              </w:rPr>
              <w:t>2025</w:t>
            </w:r>
          </w:p>
        </w:tc>
        <w:tc>
          <w:tcPr>
            <w:tcW w:w="220" w:type="dxa"/>
            <w:vAlign w:val="bottom"/>
            <w:tcBorders>
              <w:top w:val="single" w:sz="8" w:color="00539B"/>
            </w:tcBorders>
          </w:tcPr>
          <w:p>
            <w:pPr>
              <w:spacing w:after="0"/>
              <w:rPr>
                <w:sz w:val="23"/>
                <w:szCs w:val="23"/>
                <w:color w:val="auto"/>
              </w:rPr>
            </w:pPr>
          </w:p>
        </w:tc>
        <w:tc>
          <w:tcPr>
            <w:tcW w:w="2380" w:type="dxa"/>
            <w:vAlign w:val="bottom"/>
            <w:tcBorders>
              <w:top w:val="single" w:sz="8" w:color="00539B"/>
            </w:tcBorders>
            <w:gridSpan w:val="3"/>
          </w:tcPr>
          <w:p>
            <w:pPr>
              <w:jc w:val="right"/>
              <w:ind w:right="1068"/>
              <w:spacing w:after="0"/>
              <w:rPr>
                <w:sz w:val="20"/>
                <w:szCs w:val="20"/>
                <w:color w:val="auto"/>
              </w:rPr>
            </w:pPr>
            <w:r>
              <w:rPr>
                <w:rFonts w:ascii="Arial" w:cs="Arial" w:eastAsia="Arial" w:hAnsi="Arial"/>
                <w:sz w:val="14"/>
                <w:szCs w:val="14"/>
                <w:color w:val="auto"/>
              </w:rPr>
              <w:t>2024</w:t>
            </w:r>
          </w:p>
        </w:tc>
      </w:tr>
      <w:tr>
        <w:trPr>
          <w:trHeight w:val="192"/>
        </w:trPr>
        <w:tc>
          <w:tcPr>
            <w:tcW w:w="6060" w:type="dxa"/>
            <w:vAlign w:val="bottom"/>
            <w:tcBorders>
              <w:top w:val="single" w:sz="8" w:color="00539B"/>
              <w:bottom w:val="single" w:sz="8" w:color="00539B"/>
            </w:tcBorders>
          </w:tcPr>
          <w:p>
            <w:pPr>
              <w:ind w:left="20"/>
              <w:spacing w:after="0"/>
              <w:rPr>
                <w:sz w:val="20"/>
                <w:szCs w:val="20"/>
                <w:color w:val="auto"/>
              </w:rPr>
            </w:pPr>
            <w:r>
              <w:rPr>
                <w:rFonts w:ascii="Arial" w:cs="Arial" w:eastAsia="Arial" w:hAnsi="Arial"/>
                <w:sz w:val="14"/>
                <w:szCs w:val="14"/>
                <w:color w:val="auto"/>
              </w:rPr>
              <w:t>(millions)</w:t>
            </w:r>
          </w:p>
        </w:tc>
        <w:tc>
          <w:tcPr>
            <w:tcW w:w="200" w:type="dxa"/>
            <w:vAlign w:val="bottom"/>
            <w:tcBorders>
              <w:top w:val="single" w:sz="8" w:color="00539B"/>
              <w:bottom w:val="single" w:sz="8" w:color="00539B"/>
            </w:tcBorders>
            <w:shd w:val="clear" w:color="auto" w:fill="E0E3F1"/>
          </w:tcPr>
          <w:p>
            <w:pPr>
              <w:spacing w:after="0"/>
              <w:rPr>
                <w:sz w:val="16"/>
                <w:szCs w:val="16"/>
                <w:color w:val="auto"/>
              </w:rPr>
            </w:pPr>
          </w:p>
        </w:tc>
        <w:tc>
          <w:tcPr>
            <w:tcW w:w="1060" w:type="dxa"/>
            <w:vAlign w:val="bottom"/>
            <w:tcBorders>
              <w:top w:val="single" w:sz="8" w:color="00539B"/>
              <w:bottom w:val="single" w:sz="8" w:color="00539B"/>
            </w:tcBorders>
            <w:shd w:val="clear" w:color="auto" w:fill="E0E3F1"/>
          </w:tcPr>
          <w:p>
            <w:pPr>
              <w:jc w:val="right"/>
              <w:ind w:right="208"/>
              <w:spacing w:after="0"/>
              <w:rPr>
                <w:sz w:val="20"/>
                <w:szCs w:val="20"/>
                <w:color w:val="auto"/>
              </w:rPr>
            </w:pPr>
            <w:r>
              <w:rPr>
                <w:rFonts w:ascii="Arial" w:cs="Arial" w:eastAsia="Arial" w:hAnsi="Arial"/>
                <w:sz w:val="14"/>
                <w:szCs w:val="14"/>
                <w:color w:val="auto"/>
              </w:rPr>
              <w:t>Consumer</w:t>
            </w:r>
          </w:p>
        </w:tc>
        <w:tc>
          <w:tcPr>
            <w:tcW w:w="140" w:type="dxa"/>
            <w:vAlign w:val="bottom"/>
            <w:tcBorders>
              <w:top w:val="single" w:sz="8" w:color="00539B"/>
              <w:bottom w:val="single" w:sz="8" w:color="00539B"/>
            </w:tcBorders>
            <w:shd w:val="clear" w:color="auto" w:fill="E0E3F1"/>
          </w:tcPr>
          <w:p>
            <w:pPr>
              <w:spacing w:after="0"/>
              <w:rPr>
                <w:sz w:val="16"/>
                <w:szCs w:val="16"/>
                <w:color w:val="auto"/>
              </w:rPr>
            </w:pPr>
          </w:p>
        </w:tc>
        <w:tc>
          <w:tcPr>
            <w:tcW w:w="1180" w:type="dxa"/>
            <w:vAlign w:val="bottom"/>
            <w:tcBorders>
              <w:top w:val="single" w:sz="8" w:color="00539B"/>
              <w:bottom w:val="single" w:sz="8" w:color="00539B"/>
            </w:tcBorders>
            <w:shd w:val="clear" w:color="auto" w:fill="E0E3F1"/>
          </w:tcPr>
          <w:p>
            <w:pPr>
              <w:jc w:val="right"/>
              <w:ind w:right="48"/>
              <w:spacing w:after="0"/>
              <w:rPr>
                <w:sz w:val="20"/>
                <w:szCs w:val="20"/>
                <w:color w:val="auto"/>
              </w:rPr>
            </w:pPr>
            <w:r>
              <w:rPr>
                <w:rFonts w:ascii="Arial" w:cs="Arial" w:eastAsia="Arial" w:hAnsi="Arial"/>
                <w:sz w:val="14"/>
                <w:szCs w:val="14"/>
                <w:color w:val="auto"/>
              </w:rPr>
              <w:t>Flavor Solutions</w:t>
            </w:r>
          </w:p>
        </w:tc>
        <w:tc>
          <w:tcPr>
            <w:tcW w:w="220" w:type="dxa"/>
            <w:vAlign w:val="bottom"/>
            <w:tcBorders>
              <w:top w:val="single" w:sz="8" w:color="00539B"/>
              <w:bottom w:val="single" w:sz="8" w:color="00539B"/>
            </w:tcBorders>
          </w:tcPr>
          <w:p>
            <w:pPr>
              <w:spacing w:after="0"/>
              <w:rPr>
                <w:sz w:val="16"/>
                <w:szCs w:val="16"/>
                <w:color w:val="auto"/>
              </w:rPr>
            </w:pPr>
          </w:p>
        </w:tc>
        <w:tc>
          <w:tcPr>
            <w:tcW w:w="1080" w:type="dxa"/>
            <w:vAlign w:val="bottom"/>
            <w:tcBorders>
              <w:top w:val="single" w:sz="8" w:color="00539B"/>
              <w:bottom w:val="single" w:sz="8" w:color="00539B"/>
            </w:tcBorders>
          </w:tcPr>
          <w:p>
            <w:pPr>
              <w:jc w:val="right"/>
              <w:ind w:right="248"/>
              <w:spacing w:after="0"/>
              <w:rPr>
                <w:sz w:val="20"/>
                <w:szCs w:val="20"/>
                <w:color w:val="auto"/>
              </w:rPr>
            </w:pPr>
            <w:r>
              <w:rPr>
                <w:rFonts w:ascii="Arial" w:cs="Arial" w:eastAsia="Arial" w:hAnsi="Arial"/>
                <w:sz w:val="14"/>
                <w:szCs w:val="14"/>
                <w:color w:val="auto"/>
              </w:rPr>
              <w:t>Consumer</w:t>
            </w:r>
          </w:p>
        </w:tc>
        <w:tc>
          <w:tcPr>
            <w:tcW w:w="120" w:type="dxa"/>
            <w:vAlign w:val="bottom"/>
            <w:tcBorders>
              <w:top w:val="single" w:sz="8" w:color="00539B"/>
              <w:bottom w:val="single" w:sz="8" w:color="00539B"/>
            </w:tcBorders>
          </w:tcPr>
          <w:p>
            <w:pPr>
              <w:spacing w:after="0"/>
              <w:rPr>
                <w:sz w:val="16"/>
                <w:szCs w:val="16"/>
                <w:color w:val="auto"/>
              </w:rPr>
            </w:pPr>
          </w:p>
        </w:tc>
        <w:tc>
          <w:tcPr>
            <w:tcW w:w="1180" w:type="dxa"/>
            <w:vAlign w:val="bottom"/>
            <w:tcBorders>
              <w:top w:val="single" w:sz="8" w:color="00539B"/>
              <w:bottom w:val="single" w:sz="8" w:color="00539B"/>
            </w:tcBorders>
          </w:tcPr>
          <w:p>
            <w:pPr>
              <w:jc w:val="right"/>
              <w:ind w:right="68"/>
              <w:spacing w:after="0"/>
              <w:rPr>
                <w:sz w:val="20"/>
                <w:szCs w:val="20"/>
                <w:color w:val="auto"/>
              </w:rPr>
            </w:pPr>
            <w:r>
              <w:rPr>
                <w:rFonts w:ascii="Arial" w:cs="Arial" w:eastAsia="Arial" w:hAnsi="Arial"/>
                <w:sz w:val="14"/>
                <w:szCs w:val="14"/>
                <w:color w:val="auto"/>
              </w:rPr>
              <w:t>Flavor Solutions</w:t>
            </w:r>
          </w:p>
        </w:tc>
      </w:tr>
      <w:tr>
        <w:trPr>
          <w:trHeight w:val="192"/>
        </w:trPr>
        <w:tc>
          <w:tcPr>
            <w:tcW w:w="6060" w:type="dxa"/>
            <w:vAlign w:val="bottom"/>
          </w:tcPr>
          <w:p>
            <w:pPr>
              <w:ind w:left="20"/>
              <w:spacing w:after="0"/>
              <w:rPr>
                <w:sz w:val="20"/>
                <w:szCs w:val="20"/>
                <w:color w:val="auto"/>
              </w:rPr>
            </w:pPr>
            <w:r>
              <w:rPr>
                <w:rFonts w:ascii="Arial" w:cs="Arial" w:eastAsia="Arial" w:hAnsi="Arial"/>
                <w:sz w:val="14"/>
                <w:szCs w:val="14"/>
                <w:color w:val="auto"/>
              </w:rPr>
              <w:t>Beginning of year</w:t>
            </w:r>
          </w:p>
        </w:tc>
        <w:tc>
          <w:tcPr>
            <w:tcW w:w="200" w:type="dxa"/>
            <w:vAlign w:val="bottom"/>
            <w:shd w:val="clear" w:color="auto" w:fill="E0E3F1"/>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3,583.1</w:t>
            </w:r>
          </w:p>
        </w:tc>
        <w:tc>
          <w:tcPr>
            <w:tcW w:w="140" w:type="dxa"/>
            <w:vAlign w:val="bottom"/>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E0E3F1"/>
          </w:tcPr>
          <w:p>
            <w:pPr>
              <w:jc w:val="right"/>
              <w:spacing w:after="0"/>
              <w:rPr>
                <w:sz w:val="20"/>
                <w:szCs w:val="20"/>
                <w:color w:val="auto"/>
              </w:rPr>
            </w:pPr>
            <w:r>
              <w:rPr>
                <w:rFonts w:ascii="Arial" w:cs="Arial" w:eastAsia="Arial" w:hAnsi="Arial"/>
                <w:sz w:val="14"/>
                <w:szCs w:val="14"/>
                <w:color w:val="auto"/>
              </w:rPr>
              <w:t>1,644.4</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3,609.6</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1,650.5</w:t>
            </w:r>
          </w:p>
        </w:tc>
      </w:tr>
      <w:tr>
        <w:trPr>
          <w:trHeight w:val="203"/>
        </w:trPr>
        <w:tc>
          <w:tcPr>
            <w:tcW w:w="6060" w:type="dxa"/>
            <w:vAlign w:val="bottom"/>
          </w:tcPr>
          <w:p>
            <w:pPr>
              <w:ind w:left="20"/>
              <w:spacing w:after="0"/>
              <w:rPr>
                <w:sz w:val="20"/>
                <w:szCs w:val="20"/>
                <w:color w:val="auto"/>
              </w:rPr>
            </w:pPr>
            <w:r>
              <w:rPr>
                <w:rFonts w:ascii="Arial" w:cs="Arial" w:eastAsia="Arial" w:hAnsi="Arial"/>
                <w:sz w:val="14"/>
                <w:szCs w:val="14"/>
                <w:color w:val="auto"/>
              </w:rPr>
              <w:t>Acquisition</w:t>
            </w:r>
          </w:p>
        </w:tc>
        <w:tc>
          <w:tcPr>
            <w:tcW w:w="200" w:type="dxa"/>
            <w:vAlign w:val="bottom"/>
            <w:shd w:val="clear" w:color="auto" w:fill="E0E3F1"/>
          </w:tcPr>
          <w:p>
            <w:pPr>
              <w:spacing w:after="0"/>
              <w:rPr>
                <w:sz w:val="17"/>
                <w:szCs w:val="17"/>
                <w:color w:val="auto"/>
              </w:rPr>
            </w:pPr>
          </w:p>
        </w:tc>
        <w:tc>
          <w:tcPr>
            <w:tcW w:w="10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1.6</w:t>
            </w:r>
          </w:p>
        </w:tc>
        <w:tc>
          <w:tcPr>
            <w:tcW w:w="140" w:type="dxa"/>
            <w:vAlign w:val="bottom"/>
            <w:shd w:val="clear" w:color="auto" w:fill="E0E3F1"/>
          </w:tcPr>
          <w:p>
            <w:pPr>
              <w:spacing w:after="0"/>
              <w:rPr>
                <w:sz w:val="17"/>
                <w:szCs w:val="17"/>
                <w:color w:val="auto"/>
              </w:rPr>
            </w:pPr>
          </w:p>
        </w:tc>
        <w:tc>
          <w:tcPr>
            <w:tcW w:w="1180" w:type="dxa"/>
            <w:vAlign w:val="bottom"/>
            <w:shd w:val="clear" w:color="auto" w:fill="E0E3F1"/>
          </w:tcPr>
          <w:p>
            <w:pPr>
              <w:jc w:val="right"/>
              <w:spacing w:after="0"/>
              <w:rPr>
                <w:sz w:val="20"/>
                <w:szCs w:val="20"/>
                <w:color w:val="auto"/>
              </w:rPr>
            </w:pPr>
            <w:r>
              <w:rPr>
                <w:rFonts w:ascii="Arial" w:cs="Arial" w:eastAsia="Arial" w:hAnsi="Arial"/>
                <w:sz w:val="14"/>
                <w:szCs w:val="14"/>
                <w:color w:val="auto"/>
              </w:rPr>
              <w:t>1.5</w:t>
            </w: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606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Foreign currency fluctuations</w:t>
            </w:r>
          </w:p>
        </w:tc>
        <w:tc>
          <w:tcPr>
            <w:tcW w:w="200" w:type="dxa"/>
            <w:vAlign w:val="bottom"/>
            <w:tcBorders>
              <w:bottom w:val="single" w:sz="8" w:color="00539B"/>
            </w:tcBorders>
            <w:shd w:val="clear" w:color="auto" w:fill="E0E3F1"/>
          </w:tcPr>
          <w:p>
            <w:pPr>
              <w:spacing w:after="0"/>
              <w:rPr>
                <w:sz w:val="17"/>
                <w:szCs w:val="17"/>
                <w:color w:val="auto"/>
              </w:rPr>
            </w:pPr>
          </w:p>
        </w:tc>
        <w:tc>
          <w:tcPr>
            <w:tcW w:w="106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60.9</w:t>
            </w:r>
          </w:p>
        </w:tc>
        <w:tc>
          <w:tcPr>
            <w:tcW w:w="140" w:type="dxa"/>
            <w:vAlign w:val="bottom"/>
            <w:tcBorders>
              <w:bottom w:val="single" w:sz="8" w:color="00539B"/>
            </w:tcBorders>
            <w:shd w:val="clear" w:color="auto" w:fill="E0E3F1"/>
          </w:tcPr>
          <w:p>
            <w:pPr>
              <w:spacing w:after="0"/>
              <w:rPr>
                <w:sz w:val="17"/>
                <w:szCs w:val="17"/>
                <w:color w:val="auto"/>
              </w:rPr>
            </w:pPr>
          </w:p>
        </w:tc>
        <w:tc>
          <w:tcPr>
            <w:tcW w:w="118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9.8</w:t>
            </w:r>
          </w:p>
        </w:tc>
        <w:tc>
          <w:tcPr>
            <w:tcW w:w="220" w:type="dxa"/>
            <w:vAlign w:val="bottom"/>
            <w:tcBorders>
              <w:bottom w:val="single" w:sz="8" w:color="00539B"/>
            </w:tcBorders>
          </w:tcPr>
          <w:p>
            <w:pPr>
              <w:spacing w:after="0"/>
              <w:rPr>
                <w:sz w:val="17"/>
                <w:szCs w:val="17"/>
                <w:color w:val="auto"/>
              </w:rPr>
            </w:pPr>
          </w:p>
        </w:tc>
        <w:tc>
          <w:tcPr>
            <w:tcW w:w="108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(26.5)</w:t>
            </w:r>
          </w:p>
        </w:tc>
        <w:tc>
          <w:tcPr>
            <w:tcW w:w="120" w:type="dxa"/>
            <w:vAlign w:val="bottom"/>
            <w:tcBorders>
              <w:bottom w:val="single" w:sz="8" w:color="00539B"/>
            </w:tcBorders>
          </w:tcPr>
          <w:p>
            <w:pPr>
              <w:spacing w:after="0"/>
              <w:rPr>
                <w:sz w:val="17"/>
                <w:szCs w:val="17"/>
                <w:color w:val="auto"/>
              </w:rPr>
            </w:pPr>
          </w:p>
        </w:tc>
        <w:tc>
          <w:tcPr>
            <w:tcW w:w="118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(6.1)</w:t>
            </w:r>
          </w:p>
        </w:tc>
      </w:tr>
      <w:tr>
        <w:trPr>
          <w:trHeight w:val="207"/>
        </w:trPr>
        <w:tc>
          <w:tcPr>
            <w:tcW w:w="606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End of year</w:t>
            </w:r>
          </w:p>
        </w:tc>
        <w:tc>
          <w:tcPr>
            <w:tcW w:w="200" w:type="dxa"/>
            <w:vAlign w:val="bottom"/>
            <w:tcBorders>
              <w:bottom w:val="single" w:sz="8" w:color="00539B"/>
            </w:tcBorders>
            <w:shd w:val="clear" w:color="auto" w:fill="E0E3F1"/>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3,645.6</w:t>
            </w:r>
          </w:p>
        </w:tc>
        <w:tc>
          <w:tcPr>
            <w:tcW w:w="14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1,655.7</w:t>
            </w:r>
          </w:p>
        </w:tc>
        <w:tc>
          <w:tcPr>
            <w:tcW w:w="220" w:type="dxa"/>
            <w:vAlign w:val="bottom"/>
            <w:tcBorders>
              <w:bottom w:val="single" w:sz="8" w:color="00539B"/>
            </w:tcBorders>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3,583.1</w:t>
            </w:r>
          </w:p>
        </w:tc>
        <w:tc>
          <w:tcPr>
            <w:tcW w:w="12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1,644.4</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00539B"/>
        </w:rPr>
        <w:t>4. INVESTMENTS IN AFFILIATES</w:t>
      </w:r>
    </w:p>
    <w:p>
      <w:pPr>
        <w:spacing w:after="0" w:line="9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Income from unconsolidated operations was $72.2 million, $74.2 million, and $56.4 million in 2025, 2024, and 2023, respectively. Our principal earnings from unconsolidated affiliates are from our 50% interest in McCormick de Mexico. Profit from this joint venture represented 93% of income from unconsolidated operations in 2025 and 95% in both 2024 and 2023.</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Summarized annual and year-end information from the financial statements of unconsolidated affiliates representing 100% of the businesses follows:</w:t>
      </w:r>
    </w:p>
    <w:tbl>
      <w:tblPr>
        <w:tblLayout w:type="fixed"/>
        <w:tblInd w:w="0" w:type="dxa"/>
        <w:tblCellMar>
          <w:top w:w="0" w:type="dxa"/>
          <w:left w:w="0" w:type="dxa"/>
          <w:bottom w:w="0" w:type="dxa"/>
          <w:right w:w="0" w:type="dxa"/>
        </w:tblCellMar>
      </w:tblPr>
      <w:tr>
        <w:trPr>
          <w:trHeight w:val="206"/>
        </w:trPr>
        <w:tc>
          <w:tcPr>
            <w:tcW w:w="6700" w:type="dxa"/>
            <w:vAlign w:val="bottom"/>
            <w:tcBorders>
              <w:top w:val="single" w:sz="8" w:color="00539B"/>
              <w:bottom w:val="single" w:sz="8" w:color="00539B"/>
            </w:tcBorders>
          </w:tcPr>
          <w:p>
            <w:pPr>
              <w:ind w:left="20"/>
              <w:spacing w:after="0"/>
              <w:rPr>
                <w:sz w:val="20"/>
                <w:szCs w:val="20"/>
                <w:color w:val="auto"/>
              </w:rPr>
            </w:pPr>
            <w:r>
              <w:rPr>
                <w:rFonts w:ascii="Arial" w:cs="Arial" w:eastAsia="Arial" w:hAnsi="Arial"/>
                <w:sz w:val="14"/>
                <w:szCs w:val="14"/>
                <w:color w:val="auto"/>
              </w:rPr>
              <w:t>(millions)</w:t>
            </w:r>
          </w:p>
        </w:tc>
        <w:tc>
          <w:tcPr>
            <w:tcW w:w="340" w:type="dxa"/>
            <w:vAlign w:val="bottom"/>
            <w:tcBorders>
              <w:top w:val="single" w:sz="8" w:color="00539B"/>
              <w:bottom w:val="single" w:sz="8" w:color="00539B"/>
            </w:tcBorders>
            <w:shd w:val="clear" w:color="auto" w:fill="E0E3F1"/>
          </w:tcPr>
          <w:p>
            <w:pPr>
              <w:spacing w:after="0"/>
              <w:rPr>
                <w:sz w:val="17"/>
                <w:szCs w:val="17"/>
                <w:color w:val="auto"/>
              </w:rPr>
            </w:pPr>
          </w:p>
        </w:tc>
        <w:tc>
          <w:tcPr>
            <w:tcW w:w="1160" w:type="dxa"/>
            <w:vAlign w:val="bottom"/>
            <w:tcBorders>
              <w:top w:val="single" w:sz="8" w:color="00539B"/>
              <w:bottom w:val="single" w:sz="8" w:color="00539B"/>
            </w:tcBorders>
            <w:shd w:val="clear" w:color="auto" w:fill="E0E3F1"/>
          </w:tcPr>
          <w:p>
            <w:pPr>
              <w:jc w:val="right"/>
              <w:ind w:right="508"/>
              <w:spacing w:after="0"/>
              <w:rPr>
                <w:sz w:val="20"/>
                <w:szCs w:val="20"/>
                <w:color w:val="auto"/>
              </w:rPr>
            </w:pPr>
            <w:r>
              <w:rPr>
                <w:rFonts w:ascii="Arial" w:cs="Arial" w:eastAsia="Arial" w:hAnsi="Arial"/>
                <w:sz w:val="14"/>
                <w:szCs w:val="14"/>
                <w:color w:val="auto"/>
              </w:rPr>
              <w:t>2025</w:t>
            </w:r>
          </w:p>
        </w:tc>
        <w:tc>
          <w:tcPr>
            <w:tcW w:w="340" w:type="dxa"/>
            <w:vAlign w:val="bottom"/>
            <w:tcBorders>
              <w:top w:val="single" w:sz="8" w:color="00539B"/>
              <w:bottom w:val="single" w:sz="8" w:color="00539B"/>
            </w:tcBorders>
          </w:tcPr>
          <w:p>
            <w:pPr>
              <w:spacing w:after="0"/>
              <w:rPr>
                <w:sz w:val="17"/>
                <w:szCs w:val="17"/>
                <w:color w:val="auto"/>
              </w:rPr>
            </w:pPr>
          </w:p>
        </w:tc>
        <w:tc>
          <w:tcPr>
            <w:tcW w:w="1140" w:type="dxa"/>
            <w:vAlign w:val="bottom"/>
            <w:tcBorders>
              <w:top w:val="single" w:sz="8" w:color="00539B"/>
              <w:bottom w:val="single" w:sz="8" w:color="00539B"/>
            </w:tcBorders>
          </w:tcPr>
          <w:p>
            <w:pPr>
              <w:jc w:val="right"/>
              <w:ind w:right="488"/>
              <w:spacing w:after="0"/>
              <w:rPr>
                <w:sz w:val="20"/>
                <w:szCs w:val="20"/>
                <w:color w:val="auto"/>
              </w:rPr>
            </w:pPr>
            <w:r>
              <w:rPr>
                <w:rFonts w:ascii="Arial" w:cs="Arial" w:eastAsia="Arial" w:hAnsi="Arial"/>
                <w:sz w:val="14"/>
                <w:szCs w:val="14"/>
                <w:color w:val="auto"/>
              </w:rPr>
              <w:t>2024</w:t>
            </w:r>
          </w:p>
        </w:tc>
        <w:tc>
          <w:tcPr>
            <w:tcW w:w="360" w:type="dxa"/>
            <w:vAlign w:val="bottom"/>
            <w:tcBorders>
              <w:top w:val="single" w:sz="8" w:color="00539B"/>
              <w:bottom w:val="single" w:sz="8" w:color="00539B"/>
            </w:tcBorders>
          </w:tcPr>
          <w:p>
            <w:pPr>
              <w:spacing w:after="0"/>
              <w:rPr>
                <w:sz w:val="17"/>
                <w:szCs w:val="17"/>
                <w:color w:val="auto"/>
              </w:rPr>
            </w:pPr>
          </w:p>
        </w:tc>
        <w:tc>
          <w:tcPr>
            <w:tcW w:w="1180" w:type="dxa"/>
            <w:vAlign w:val="bottom"/>
            <w:tcBorders>
              <w:top w:val="single" w:sz="8" w:color="00539B"/>
              <w:bottom w:val="single" w:sz="8" w:color="00539B"/>
            </w:tcBorders>
          </w:tcPr>
          <w:p>
            <w:pPr>
              <w:jc w:val="right"/>
              <w:ind w:right="528"/>
              <w:spacing w:after="0"/>
              <w:rPr>
                <w:sz w:val="20"/>
                <w:szCs w:val="20"/>
                <w:color w:val="auto"/>
              </w:rPr>
            </w:pPr>
            <w:r>
              <w:rPr>
                <w:rFonts w:ascii="Arial" w:cs="Arial" w:eastAsia="Arial" w:hAnsi="Arial"/>
                <w:sz w:val="14"/>
                <w:szCs w:val="14"/>
                <w:color w:val="auto"/>
              </w:rPr>
              <w:t>2023</w:t>
            </w:r>
          </w:p>
        </w:tc>
      </w:tr>
      <w:tr>
        <w:trPr>
          <w:trHeight w:val="192"/>
        </w:trPr>
        <w:tc>
          <w:tcPr>
            <w:tcW w:w="6700" w:type="dxa"/>
            <w:vAlign w:val="bottom"/>
          </w:tcPr>
          <w:p>
            <w:pPr>
              <w:ind w:left="20"/>
              <w:spacing w:after="0"/>
              <w:rPr>
                <w:sz w:val="20"/>
                <w:szCs w:val="20"/>
                <w:color w:val="auto"/>
              </w:rPr>
            </w:pPr>
            <w:r>
              <w:rPr>
                <w:rFonts w:ascii="Arial" w:cs="Arial" w:eastAsia="Arial" w:hAnsi="Arial"/>
                <w:sz w:val="14"/>
                <w:szCs w:val="14"/>
                <w:color w:val="auto"/>
              </w:rPr>
              <w:t>Net sales</w:t>
            </w:r>
          </w:p>
        </w:tc>
        <w:tc>
          <w:tcPr>
            <w:tcW w:w="340" w:type="dxa"/>
            <w:vAlign w:val="bottom"/>
            <w:shd w:val="clear" w:color="auto" w:fill="E0E3F1"/>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1,233.3</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1,281.5</w:t>
            </w:r>
          </w:p>
        </w:tc>
        <w:tc>
          <w:tcPr>
            <w:tcW w:w="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1,193.2</w:t>
            </w:r>
          </w:p>
        </w:tc>
      </w:tr>
      <w:tr>
        <w:trPr>
          <w:trHeight w:val="203"/>
        </w:trPr>
        <w:tc>
          <w:tcPr>
            <w:tcW w:w="6700" w:type="dxa"/>
            <w:vAlign w:val="bottom"/>
          </w:tcPr>
          <w:p>
            <w:pPr>
              <w:ind w:left="20"/>
              <w:spacing w:after="0"/>
              <w:rPr>
                <w:sz w:val="20"/>
                <w:szCs w:val="20"/>
                <w:color w:val="auto"/>
              </w:rPr>
            </w:pPr>
            <w:r>
              <w:rPr>
                <w:rFonts w:ascii="Arial" w:cs="Arial" w:eastAsia="Arial" w:hAnsi="Arial"/>
                <w:sz w:val="14"/>
                <w:szCs w:val="14"/>
                <w:color w:val="auto"/>
              </w:rPr>
              <w:t>Gross profit</w:t>
            </w:r>
          </w:p>
        </w:tc>
        <w:tc>
          <w:tcPr>
            <w:tcW w:w="340" w:type="dxa"/>
            <w:vAlign w:val="bottom"/>
            <w:shd w:val="clear" w:color="auto" w:fill="E0E3F1"/>
          </w:tcPr>
          <w:p>
            <w:pPr>
              <w:spacing w:after="0"/>
              <w:rPr>
                <w:sz w:val="17"/>
                <w:szCs w:val="17"/>
                <w:color w:val="auto"/>
              </w:rPr>
            </w:pPr>
          </w:p>
        </w:tc>
        <w:tc>
          <w:tcPr>
            <w:tcW w:w="11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504.9</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519.3</w:t>
            </w:r>
          </w:p>
        </w:tc>
        <w:tc>
          <w:tcPr>
            <w:tcW w:w="3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446.9</w:t>
            </w:r>
          </w:p>
        </w:tc>
      </w:tr>
      <w:tr>
        <w:trPr>
          <w:trHeight w:val="207"/>
        </w:trPr>
        <w:tc>
          <w:tcPr>
            <w:tcW w:w="670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Net income</w:t>
            </w:r>
          </w:p>
        </w:tc>
        <w:tc>
          <w:tcPr>
            <w:tcW w:w="340" w:type="dxa"/>
            <w:vAlign w:val="bottom"/>
            <w:tcBorders>
              <w:bottom w:val="single" w:sz="8" w:color="00539B"/>
            </w:tcBorders>
            <w:shd w:val="clear" w:color="auto" w:fill="E0E3F1"/>
          </w:tcPr>
          <w:p>
            <w:pPr>
              <w:spacing w:after="0"/>
              <w:rPr>
                <w:sz w:val="17"/>
                <w:szCs w:val="17"/>
                <w:color w:val="auto"/>
              </w:rPr>
            </w:pPr>
          </w:p>
        </w:tc>
        <w:tc>
          <w:tcPr>
            <w:tcW w:w="116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157.6</w:t>
            </w:r>
          </w:p>
        </w:tc>
        <w:tc>
          <w:tcPr>
            <w:tcW w:w="340" w:type="dxa"/>
            <w:vAlign w:val="bottom"/>
            <w:tcBorders>
              <w:bottom w:val="single" w:sz="8" w:color="00539B"/>
            </w:tcBorders>
          </w:tcPr>
          <w:p>
            <w:pPr>
              <w:spacing w:after="0"/>
              <w:rPr>
                <w:sz w:val="17"/>
                <w:szCs w:val="17"/>
                <w:color w:val="auto"/>
              </w:rPr>
            </w:pPr>
          </w:p>
        </w:tc>
        <w:tc>
          <w:tcPr>
            <w:tcW w:w="114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162.8</w:t>
            </w:r>
          </w:p>
        </w:tc>
        <w:tc>
          <w:tcPr>
            <w:tcW w:w="360" w:type="dxa"/>
            <w:vAlign w:val="bottom"/>
            <w:tcBorders>
              <w:bottom w:val="single" w:sz="8" w:color="00539B"/>
            </w:tcBorders>
          </w:tcPr>
          <w:p>
            <w:pPr>
              <w:spacing w:after="0"/>
              <w:rPr>
                <w:sz w:val="17"/>
                <w:szCs w:val="17"/>
                <w:color w:val="auto"/>
              </w:rPr>
            </w:pPr>
          </w:p>
        </w:tc>
        <w:tc>
          <w:tcPr>
            <w:tcW w:w="1180" w:type="dxa"/>
            <w:vAlign w:val="bottom"/>
            <w:tcBorders>
              <w:bottom w:val="single" w:sz="8" w:color="00539B"/>
            </w:tcBorders>
          </w:tcPr>
          <w:p>
            <w:pPr>
              <w:jc w:val="right"/>
              <w:ind w:right="8"/>
              <w:spacing w:after="0"/>
              <w:rPr>
                <w:sz w:val="20"/>
                <w:szCs w:val="20"/>
                <w:color w:val="auto"/>
              </w:rPr>
            </w:pPr>
            <w:r>
              <w:rPr>
                <w:rFonts w:ascii="Arial" w:cs="Arial" w:eastAsia="Arial" w:hAnsi="Arial"/>
                <w:sz w:val="14"/>
                <w:szCs w:val="14"/>
                <w:color w:val="auto"/>
              </w:rPr>
              <w:t>124.3</w:t>
            </w:r>
          </w:p>
        </w:tc>
      </w:tr>
      <w:tr>
        <w:trPr>
          <w:trHeight w:val="192"/>
        </w:trPr>
        <w:tc>
          <w:tcPr>
            <w:tcW w:w="670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340" w:type="dxa"/>
            <w:vAlign w:val="bottom"/>
            <w:shd w:val="clear" w:color="auto" w:fill="E0E3F1"/>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565.2</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497.4</w:t>
            </w:r>
          </w:p>
        </w:tc>
        <w:tc>
          <w:tcPr>
            <w:tcW w:w="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522.1</w:t>
            </w:r>
          </w:p>
        </w:tc>
      </w:tr>
      <w:tr>
        <w:trPr>
          <w:trHeight w:val="203"/>
        </w:trPr>
        <w:tc>
          <w:tcPr>
            <w:tcW w:w="6700" w:type="dxa"/>
            <w:vAlign w:val="bottom"/>
          </w:tcPr>
          <w:p>
            <w:pPr>
              <w:ind w:left="20"/>
              <w:spacing w:after="0"/>
              <w:rPr>
                <w:sz w:val="20"/>
                <w:szCs w:val="20"/>
                <w:color w:val="auto"/>
              </w:rPr>
            </w:pPr>
            <w:r>
              <w:rPr>
                <w:rFonts w:ascii="Arial" w:cs="Arial" w:eastAsia="Arial" w:hAnsi="Arial"/>
                <w:sz w:val="14"/>
                <w:szCs w:val="14"/>
                <w:color w:val="auto"/>
              </w:rPr>
              <w:t>Noncurrent assets</w:t>
            </w:r>
          </w:p>
        </w:tc>
        <w:tc>
          <w:tcPr>
            <w:tcW w:w="340" w:type="dxa"/>
            <w:vAlign w:val="bottom"/>
            <w:shd w:val="clear" w:color="auto" w:fill="E0E3F1"/>
          </w:tcPr>
          <w:p>
            <w:pPr>
              <w:spacing w:after="0"/>
              <w:rPr>
                <w:sz w:val="17"/>
                <w:szCs w:val="17"/>
                <w:color w:val="auto"/>
              </w:rPr>
            </w:pPr>
          </w:p>
        </w:tc>
        <w:tc>
          <w:tcPr>
            <w:tcW w:w="11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134.4</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112.7</w:t>
            </w:r>
          </w:p>
        </w:tc>
        <w:tc>
          <w:tcPr>
            <w:tcW w:w="3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122.4</w:t>
            </w:r>
          </w:p>
        </w:tc>
      </w:tr>
      <w:tr>
        <w:trPr>
          <w:trHeight w:val="203"/>
        </w:trPr>
        <w:tc>
          <w:tcPr>
            <w:tcW w:w="670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340" w:type="dxa"/>
            <w:vAlign w:val="bottom"/>
            <w:shd w:val="clear" w:color="auto" w:fill="E0E3F1"/>
          </w:tcPr>
          <w:p>
            <w:pPr>
              <w:spacing w:after="0"/>
              <w:rPr>
                <w:sz w:val="17"/>
                <w:szCs w:val="17"/>
                <w:color w:val="auto"/>
              </w:rPr>
            </w:pPr>
          </w:p>
        </w:tc>
        <w:tc>
          <w:tcPr>
            <w:tcW w:w="11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352.1</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304.4</w:t>
            </w:r>
          </w:p>
        </w:tc>
        <w:tc>
          <w:tcPr>
            <w:tcW w:w="3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336.5</w:t>
            </w:r>
          </w:p>
        </w:tc>
      </w:tr>
      <w:tr>
        <w:trPr>
          <w:trHeight w:val="218"/>
        </w:trPr>
        <w:tc>
          <w:tcPr>
            <w:tcW w:w="670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Noncurrent liabilities</w:t>
            </w:r>
          </w:p>
        </w:tc>
        <w:tc>
          <w:tcPr>
            <w:tcW w:w="340" w:type="dxa"/>
            <w:vAlign w:val="bottom"/>
            <w:tcBorders>
              <w:bottom w:val="single" w:sz="8" w:color="00539B"/>
            </w:tcBorders>
            <w:shd w:val="clear" w:color="auto" w:fill="E0E3F1"/>
          </w:tcPr>
          <w:p>
            <w:pPr>
              <w:spacing w:after="0"/>
              <w:rPr>
                <w:sz w:val="18"/>
                <w:szCs w:val="18"/>
                <w:color w:val="auto"/>
              </w:rPr>
            </w:pPr>
          </w:p>
        </w:tc>
        <w:tc>
          <w:tcPr>
            <w:tcW w:w="116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8.4</w:t>
            </w:r>
          </w:p>
        </w:tc>
        <w:tc>
          <w:tcPr>
            <w:tcW w:w="340" w:type="dxa"/>
            <w:vAlign w:val="bottom"/>
            <w:tcBorders>
              <w:bottom w:val="single" w:sz="8" w:color="00539B"/>
            </w:tcBorders>
          </w:tcPr>
          <w:p>
            <w:pPr>
              <w:spacing w:after="0"/>
              <w:rPr>
                <w:sz w:val="18"/>
                <w:szCs w:val="18"/>
                <w:color w:val="auto"/>
              </w:rPr>
            </w:pPr>
          </w:p>
        </w:tc>
        <w:tc>
          <w:tcPr>
            <w:tcW w:w="114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6.9</w:t>
            </w:r>
          </w:p>
        </w:tc>
        <w:tc>
          <w:tcPr>
            <w:tcW w:w="360" w:type="dxa"/>
            <w:vAlign w:val="bottom"/>
            <w:tcBorders>
              <w:bottom w:val="single" w:sz="8" w:color="00539B"/>
            </w:tcBorders>
          </w:tcPr>
          <w:p>
            <w:pPr>
              <w:spacing w:after="0"/>
              <w:rPr>
                <w:sz w:val="18"/>
                <w:szCs w:val="18"/>
                <w:color w:val="auto"/>
              </w:rPr>
            </w:pPr>
          </w:p>
        </w:tc>
        <w:tc>
          <w:tcPr>
            <w:tcW w:w="1180" w:type="dxa"/>
            <w:vAlign w:val="bottom"/>
            <w:tcBorders>
              <w:bottom w:val="single" w:sz="8" w:color="00539B"/>
            </w:tcBorders>
          </w:tcPr>
          <w:p>
            <w:pPr>
              <w:jc w:val="right"/>
              <w:ind w:right="8"/>
              <w:spacing w:after="0"/>
              <w:rPr>
                <w:sz w:val="20"/>
                <w:szCs w:val="20"/>
                <w:color w:val="auto"/>
              </w:rPr>
            </w:pPr>
            <w:r>
              <w:rPr>
                <w:rFonts w:ascii="Arial" w:cs="Arial" w:eastAsia="Arial" w:hAnsi="Arial"/>
                <w:sz w:val="14"/>
                <w:szCs w:val="14"/>
                <w:color w:val="auto"/>
              </w:rPr>
              <w:t>7.6</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Royalty income from unconsolidated affiliates was $35.6 million, $37.0 million, and $35.1 million for 2025,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58" w:name="page59"/>
    <w:bookmarkEnd w:id="58"/>
    <w:p>
      <w:pPr>
        <w:ind w:left="33" w:right="80"/>
        <w:spacing w:after="0" w:line="259" w:lineRule="auto"/>
        <w:rPr>
          <w:sz w:val="20"/>
          <w:szCs w:val="20"/>
          <w:color w:val="auto"/>
        </w:rPr>
      </w:pPr>
      <w:r>
        <w:rPr>
          <w:rFonts w:ascii="Arial" w:cs="Arial" w:eastAsia="Arial" w:hAnsi="Arial"/>
          <w:sz w:val="18"/>
          <w:szCs w:val="18"/>
          <w:color w:val="auto"/>
        </w:rPr>
        <w:t>On January 2, 2026, we acquired an additional 25% ownership interest in McCormick de Mexico from Grupo Herdez, for a purchase price of $750 million, which increases our ownership to a 75% controlling interest. We believe the acquisition creates opportunities for further growth in the Mexican market and provides a strategic platform for further expansion in Latin America. McCormick de Mexico is a prominent food company in Mexico, with a broad portfolio, including mayonnaise, spices, marmalades, mustard, hot sauce, and tea, sold under McCormick brands.</w:t>
      </w:r>
    </w:p>
    <w:p>
      <w:pPr>
        <w:spacing w:after="0" w:line="125" w:lineRule="exact"/>
        <w:rPr>
          <w:sz w:val="20"/>
          <w:szCs w:val="20"/>
          <w:color w:val="auto"/>
        </w:rPr>
      </w:pPr>
    </w:p>
    <w:p>
      <w:pPr>
        <w:ind w:left="33"/>
        <w:spacing w:after="0"/>
        <w:rPr>
          <w:sz w:val="20"/>
          <w:szCs w:val="20"/>
          <w:color w:val="auto"/>
        </w:rPr>
      </w:pPr>
      <w:r>
        <w:rPr>
          <w:rFonts w:ascii="Arial" w:cs="Arial" w:eastAsia="Arial" w:hAnsi="Arial"/>
          <w:sz w:val="18"/>
          <w:szCs w:val="18"/>
          <w:b w:val="1"/>
          <w:bCs w:val="1"/>
          <w:color w:val="00539B"/>
        </w:rPr>
        <w:t>5. FINANCING ARRANGEMENTS</w:t>
      </w:r>
    </w:p>
    <w:p>
      <w:pPr>
        <w:spacing w:after="0" w:line="104" w:lineRule="exact"/>
        <w:rPr>
          <w:sz w:val="20"/>
          <w:szCs w:val="20"/>
          <w:color w:val="auto"/>
        </w:rPr>
      </w:pPr>
    </w:p>
    <w:p>
      <w:pPr>
        <w:ind w:left="33"/>
        <w:spacing w:after="0"/>
        <w:rPr>
          <w:sz w:val="20"/>
          <w:szCs w:val="20"/>
          <w:color w:val="auto"/>
        </w:rPr>
      </w:pPr>
      <w:r>
        <w:rPr>
          <w:rFonts w:ascii="Arial" w:cs="Arial" w:eastAsia="Arial" w:hAnsi="Arial"/>
          <w:sz w:val="18"/>
          <w:szCs w:val="18"/>
          <w:color w:val="auto"/>
        </w:rPr>
        <w:t>Our outstanding debt, including finance leases, was as follows at November 30:</w:t>
      </w:r>
    </w:p>
    <w:p>
      <w:pPr>
        <w:spacing w:after="0" w:line="35" w:lineRule="exact"/>
        <w:rPr>
          <w:sz w:val="20"/>
          <w:szCs w:val="20"/>
          <w:color w:val="auto"/>
        </w:rPr>
      </w:pPr>
    </w:p>
    <w:tbl>
      <w:tblPr>
        <w:tblLayout w:type="fixed"/>
        <w:tblInd w:w="33" w:type="dxa"/>
        <w:tblCellMar>
          <w:top w:w="0" w:type="dxa"/>
          <w:left w:w="0" w:type="dxa"/>
          <w:bottom w:w="0" w:type="dxa"/>
          <w:right w:w="0" w:type="dxa"/>
        </w:tblCellMar>
      </w:tblPr>
      <w:tr>
        <w:trPr>
          <w:trHeight w:val="225"/>
        </w:trPr>
        <w:tc>
          <w:tcPr>
            <w:tcW w:w="8440" w:type="dxa"/>
            <w:vAlign w:val="bottom"/>
            <w:tcBorders>
              <w:top w:val="single" w:sz="8" w:color="00539B"/>
              <w:bottom w:val="single" w:sz="8" w:color="00539B"/>
            </w:tcBorders>
          </w:tcPr>
          <w:p>
            <w:pPr>
              <w:ind w:left="20"/>
              <w:spacing w:after="0"/>
              <w:rPr>
                <w:sz w:val="20"/>
                <w:szCs w:val="20"/>
                <w:color w:val="auto"/>
              </w:rPr>
            </w:pPr>
            <w:r>
              <w:rPr>
                <w:rFonts w:ascii="Arial" w:cs="Arial" w:eastAsia="Arial" w:hAnsi="Arial"/>
                <w:sz w:val="14"/>
                <w:szCs w:val="14"/>
                <w:color w:val="auto"/>
              </w:rPr>
              <w:t>(millions)</w:t>
            </w:r>
          </w:p>
        </w:tc>
        <w:tc>
          <w:tcPr>
            <w:tcW w:w="320" w:type="dxa"/>
            <w:vAlign w:val="bottom"/>
            <w:tcBorders>
              <w:top w:val="single" w:sz="8" w:color="00539B"/>
              <w:bottom w:val="single" w:sz="8" w:color="00539B"/>
            </w:tcBorders>
            <w:shd w:val="clear" w:color="auto" w:fill="E0E3F1"/>
          </w:tcPr>
          <w:p>
            <w:pPr>
              <w:spacing w:after="0"/>
              <w:rPr>
                <w:sz w:val="19"/>
                <w:szCs w:val="19"/>
                <w:color w:val="auto"/>
              </w:rPr>
            </w:pPr>
          </w:p>
        </w:tc>
        <w:tc>
          <w:tcPr>
            <w:tcW w:w="920" w:type="dxa"/>
            <w:vAlign w:val="bottom"/>
            <w:tcBorders>
              <w:top w:val="single" w:sz="8" w:color="00539B"/>
              <w:bottom w:val="single" w:sz="8" w:color="00539B"/>
            </w:tcBorders>
            <w:shd w:val="clear" w:color="auto" w:fill="E0E3F1"/>
          </w:tcPr>
          <w:p>
            <w:pPr>
              <w:jc w:val="right"/>
              <w:ind w:right="308"/>
              <w:spacing w:after="0"/>
              <w:rPr>
                <w:sz w:val="20"/>
                <w:szCs w:val="20"/>
                <w:color w:val="auto"/>
              </w:rPr>
            </w:pPr>
            <w:r>
              <w:rPr>
                <w:rFonts w:ascii="Arial" w:cs="Arial" w:eastAsia="Arial" w:hAnsi="Arial"/>
                <w:sz w:val="14"/>
                <w:szCs w:val="14"/>
                <w:color w:val="auto"/>
              </w:rPr>
              <w:t>2025</w:t>
            </w:r>
          </w:p>
        </w:tc>
        <w:tc>
          <w:tcPr>
            <w:tcW w:w="140" w:type="dxa"/>
            <w:vAlign w:val="bottom"/>
            <w:tcBorders>
              <w:top w:val="single" w:sz="8" w:color="00539B"/>
              <w:bottom w:val="single" w:sz="8" w:color="00539B"/>
            </w:tcBorders>
            <w:shd w:val="clear" w:color="auto" w:fill="E0E3F1"/>
          </w:tcPr>
          <w:p>
            <w:pPr>
              <w:spacing w:after="0"/>
              <w:rPr>
                <w:sz w:val="19"/>
                <w:szCs w:val="19"/>
                <w:color w:val="auto"/>
              </w:rPr>
            </w:pPr>
          </w:p>
        </w:tc>
        <w:tc>
          <w:tcPr>
            <w:tcW w:w="320" w:type="dxa"/>
            <w:vAlign w:val="bottom"/>
            <w:tcBorders>
              <w:top w:val="single" w:sz="8" w:color="00539B"/>
              <w:bottom w:val="single" w:sz="8" w:color="00539B"/>
            </w:tcBorders>
          </w:tcPr>
          <w:p>
            <w:pPr>
              <w:spacing w:after="0"/>
              <w:rPr>
                <w:sz w:val="19"/>
                <w:szCs w:val="19"/>
                <w:color w:val="auto"/>
              </w:rPr>
            </w:pPr>
          </w:p>
        </w:tc>
        <w:tc>
          <w:tcPr>
            <w:tcW w:w="1060" w:type="dxa"/>
            <w:vAlign w:val="bottom"/>
            <w:tcBorders>
              <w:top w:val="single" w:sz="8" w:color="00539B"/>
              <w:bottom w:val="single" w:sz="8" w:color="00539B"/>
            </w:tcBorders>
          </w:tcPr>
          <w:p>
            <w:pPr>
              <w:jc w:val="right"/>
              <w:ind w:right="448"/>
              <w:spacing w:after="0"/>
              <w:rPr>
                <w:sz w:val="20"/>
                <w:szCs w:val="20"/>
                <w:color w:val="auto"/>
              </w:rPr>
            </w:pPr>
            <w:r>
              <w:rPr>
                <w:rFonts w:ascii="Arial" w:cs="Arial" w:eastAsia="Arial" w:hAnsi="Arial"/>
                <w:sz w:val="14"/>
                <w:szCs w:val="14"/>
                <w:color w:val="auto"/>
              </w:rPr>
              <w:t>2024</w:t>
            </w:r>
          </w:p>
        </w:tc>
      </w:tr>
      <w:tr>
        <w:trPr>
          <w:trHeight w:val="192"/>
        </w:trPr>
        <w:tc>
          <w:tcPr>
            <w:tcW w:w="8440" w:type="dxa"/>
            <w:vAlign w:val="bottom"/>
          </w:tcPr>
          <w:p>
            <w:pPr>
              <w:ind w:left="20"/>
              <w:spacing w:after="0"/>
              <w:rPr>
                <w:sz w:val="20"/>
                <w:szCs w:val="20"/>
                <w:color w:val="auto"/>
              </w:rPr>
            </w:pPr>
            <w:r>
              <w:rPr>
                <w:rFonts w:ascii="Arial" w:cs="Arial" w:eastAsia="Arial" w:hAnsi="Arial"/>
                <w:sz w:val="14"/>
                <w:szCs w:val="14"/>
                <w:color w:val="auto"/>
              </w:rPr>
              <w:t>Short-term borrowings</w:t>
            </w:r>
          </w:p>
        </w:tc>
        <w:tc>
          <w:tcPr>
            <w:tcW w:w="320" w:type="dxa"/>
            <w:vAlign w:val="bottom"/>
            <w:shd w:val="clear" w:color="auto" w:fill="E0E3F1"/>
          </w:tcPr>
          <w:p>
            <w:pPr>
              <w:spacing w:after="0"/>
              <w:rPr>
                <w:sz w:val="16"/>
                <w:szCs w:val="16"/>
                <w:color w:val="auto"/>
              </w:rPr>
            </w:pPr>
          </w:p>
        </w:tc>
        <w:tc>
          <w:tcPr>
            <w:tcW w:w="920" w:type="dxa"/>
            <w:vAlign w:val="bottom"/>
            <w:shd w:val="clear" w:color="auto" w:fill="E0E3F1"/>
          </w:tcPr>
          <w:p>
            <w:pPr>
              <w:spacing w:after="0"/>
              <w:rPr>
                <w:sz w:val="16"/>
                <w:szCs w:val="16"/>
                <w:color w:val="auto"/>
              </w:rPr>
            </w:pPr>
          </w:p>
        </w:tc>
        <w:tc>
          <w:tcPr>
            <w:tcW w:w="140" w:type="dxa"/>
            <w:vAlign w:val="bottom"/>
            <w:shd w:val="clear" w:color="auto" w:fill="E0E3F1"/>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03"/>
        </w:trPr>
        <w:tc>
          <w:tcPr>
            <w:tcW w:w="8440" w:type="dxa"/>
            <w:vAlign w:val="bottom"/>
          </w:tcPr>
          <w:p>
            <w:pPr>
              <w:ind w:left="140"/>
              <w:spacing w:after="0"/>
              <w:rPr>
                <w:sz w:val="20"/>
                <w:szCs w:val="20"/>
                <w:color w:val="auto"/>
              </w:rPr>
            </w:pPr>
            <w:r>
              <w:rPr>
                <w:rFonts w:ascii="Arial" w:cs="Arial" w:eastAsia="Arial" w:hAnsi="Arial"/>
                <w:sz w:val="14"/>
                <w:szCs w:val="14"/>
                <w:color w:val="auto"/>
              </w:rPr>
              <w:t>Commercial paper</w:t>
            </w:r>
          </w:p>
        </w:tc>
        <w:tc>
          <w:tcPr>
            <w:tcW w:w="320" w:type="dxa"/>
            <w:vAlign w:val="bottom"/>
            <w:shd w:val="clear" w:color="auto" w:fill="E0E3F1"/>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shd w:val="clear" w:color="auto" w:fill="E0E3F1"/>
          </w:tcPr>
          <w:p>
            <w:pPr>
              <w:jc w:val="right"/>
              <w:spacing w:after="0"/>
              <w:rPr>
                <w:sz w:val="20"/>
                <w:szCs w:val="20"/>
                <w:color w:val="auto"/>
              </w:rPr>
            </w:pPr>
            <w:r>
              <w:rPr>
                <w:rFonts w:ascii="Arial" w:cs="Arial" w:eastAsia="Arial" w:hAnsi="Arial"/>
                <w:sz w:val="14"/>
                <w:szCs w:val="14"/>
                <w:color w:val="auto"/>
              </w:rPr>
              <w:t>351.8</w:t>
            </w:r>
          </w:p>
        </w:tc>
        <w:tc>
          <w:tcPr>
            <w:tcW w:w="140" w:type="dxa"/>
            <w:vAlign w:val="bottom"/>
            <w:shd w:val="clear" w:color="auto" w:fill="E0E3F1"/>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431.3</w:t>
            </w:r>
          </w:p>
        </w:tc>
      </w:tr>
      <w:tr>
        <w:trPr>
          <w:trHeight w:val="207"/>
        </w:trPr>
        <w:tc>
          <w:tcPr>
            <w:tcW w:w="8440" w:type="dxa"/>
            <w:vAlign w:val="bottom"/>
            <w:tcBorders>
              <w:bottom w:val="single" w:sz="8" w:color="00539B"/>
            </w:tcBorders>
          </w:tcPr>
          <w:p>
            <w:pPr>
              <w:ind w:left="140"/>
              <w:spacing w:after="0"/>
              <w:rPr>
                <w:sz w:val="20"/>
                <w:szCs w:val="20"/>
                <w:color w:val="auto"/>
              </w:rPr>
            </w:pPr>
            <w:r>
              <w:rPr>
                <w:rFonts w:ascii="Arial" w:cs="Arial" w:eastAsia="Arial" w:hAnsi="Arial"/>
                <w:sz w:val="14"/>
                <w:szCs w:val="14"/>
                <w:color w:val="auto"/>
              </w:rPr>
              <w:t>Other</w:t>
            </w:r>
          </w:p>
        </w:tc>
        <w:tc>
          <w:tcPr>
            <w:tcW w:w="320" w:type="dxa"/>
            <w:vAlign w:val="bottom"/>
            <w:tcBorders>
              <w:bottom w:val="single" w:sz="8" w:color="00539B"/>
            </w:tcBorders>
            <w:shd w:val="clear" w:color="auto" w:fill="E0E3F1"/>
          </w:tcPr>
          <w:p>
            <w:pPr>
              <w:spacing w:after="0"/>
              <w:rPr>
                <w:sz w:val="17"/>
                <w:szCs w:val="17"/>
                <w:color w:val="auto"/>
              </w:rPr>
            </w:pPr>
          </w:p>
        </w:tc>
        <w:tc>
          <w:tcPr>
            <w:tcW w:w="92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29.6</w:t>
            </w:r>
          </w:p>
        </w:tc>
        <w:tc>
          <w:tcPr>
            <w:tcW w:w="140" w:type="dxa"/>
            <w:vAlign w:val="bottom"/>
            <w:tcBorders>
              <w:bottom w:val="single" w:sz="8" w:color="00539B"/>
            </w:tcBorders>
            <w:shd w:val="clear" w:color="auto" w:fill="E0E3F1"/>
          </w:tcPr>
          <w:p>
            <w:pPr>
              <w:spacing w:after="0"/>
              <w:rPr>
                <w:sz w:val="17"/>
                <w:szCs w:val="17"/>
                <w:color w:val="auto"/>
              </w:rPr>
            </w:pPr>
          </w:p>
        </w:tc>
        <w:tc>
          <w:tcPr>
            <w:tcW w:w="320" w:type="dxa"/>
            <w:vAlign w:val="bottom"/>
            <w:tcBorders>
              <w:bottom w:val="single" w:sz="8" w:color="00539B"/>
            </w:tcBorders>
          </w:tcPr>
          <w:p>
            <w:pPr>
              <w:spacing w:after="0"/>
              <w:rPr>
                <w:sz w:val="17"/>
                <w:szCs w:val="17"/>
                <w:color w:val="auto"/>
              </w:rPr>
            </w:pPr>
          </w:p>
        </w:tc>
        <w:tc>
          <w:tcPr>
            <w:tcW w:w="1060" w:type="dxa"/>
            <w:vAlign w:val="bottom"/>
            <w:tcBorders>
              <w:bottom w:val="single" w:sz="8" w:color="00539B"/>
            </w:tcBorders>
          </w:tcPr>
          <w:p>
            <w:pPr>
              <w:jc w:val="right"/>
              <w:ind w:right="108"/>
              <w:spacing w:after="0"/>
              <w:rPr>
                <w:sz w:val="20"/>
                <w:szCs w:val="20"/>
                <w:color w:val="auto"/>
              </w:rPr>
            </w:pPr>
            <w:r>
              <w:rPr>
                <w:rFonts w:ascii="Arial" w:cs="Arial" w:eastAsia="Arial" w:hAnsi="Arial"/>
                <w:sz w:val="14"/>
                <w:szCs w:val="14"/>
                <w:color w:val="auto"/>
              </w:rPr>
              <w:t>51.8</w:t>
            </w:r>
          </w:p>
        </w:tc>
      </w:tr>
      <w:tr>
        <w:trPr>
          <w:trHeight w:val="196"/>
        </w:trPr>
        <w:tc>
          <w:tcPr>
            <w:tcW w:w="8440" w:type="dxa"/>
            <w:vAlign w:val="bottom"/>
            <w:tcBorders>
              <w:bottom w:val="single" w:sz="8" w:color="00539B"/>
            </w:tcBorders>
          </w:tcPr>
          <w:p>
            <w:pPr>
              <w:spacing w:after="0"/>
              <w:rPr>
                <w:sz w:val="17"/>
                <w:szCs w:val="17"/>
                <w:color w:val="auto"/>
              </w:rPr>
            </w:pPr>
          </w:p>
        </w:tc>
        <w:tc>
          <w:tcPr>
            <w:tcW w:w="320" w:type="dxa"/>
            <w:vAlign w:val="bottom"/>
            <w:tcBorders>
              <w:bottom w:val="single" w:sz="8" w:color="00539B"/>
            </w:tcBorders>
            <w:shd w:val="clear" w:color="auto" w:fill="E0E3F1"/>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381.4</w:t>
            </w:r>
          </w:p>
        </w:tc>
        <w:tc>
          <w:tcPr>
            <w:tcW w:w="140" w:type="dxa"/>
            <w:vAlign w:val="bottom"/>
            <w:tcBorders>
              <w:bottom w:val="single" w:sz="8" w:color="00539B"/>
            </w:tcBorders>
            <w:shd w:val="clear" w:color="auto" w:fill="E0E3F1"/>
          </w:tcPr>
          <w:p>
            <w:pPr>
              <w:spacing w:after="0"/>
              <w:rPr>
                <w:sz w:val="17"/>
                <w:szCs w:val="17"/>
                <w:color w:val="auto"/>
              </w:rPr>
            </w:pPr>
          </w:p>
        </w:tc>
        <w:tc>
          <w:tcPr>
            <w:tcW w:w="320" w:type="dxa"/>
            <w:vAlign w:val="bottom"/>
            <w:tcBorders>
              <w:bottom w:val="single" w:sz="8" w:color="00539B"/>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00539B"/>
            </w:tcBorders>
          </w:tcPr>
          <w:p>
            <w:pPr>
              <w:jc w:val="right"/>
              <w:ind w:right="108"/>
              <w:spacing w:after="0"/>
              <w:rPr>
                <w:sz w:val="20"/>
                <w:szCs w:val="20"/>
                <w:color w:val="auto"/>
              </w:rPr>
            </w:pPr>
            <w:r>
              <w:rPr>
                <w:rFonts w:ascii="Arial" w:cs="Arial" w:eastAsia="Arial" w:hAnsi="Arial"/>
                <w:sz w:val="14"/>
                <w:szCs w:val="14"/>
                <w:color w:val="auto"/>
              </w:rPr>
              <w:t>483.1</w:t>
            </w:r>
          </w:p>
        </w:tc>
      </w:tr>
      <w:tr>
        <w:trPr>
          <w:trHeight w:val="207"/>
        </w:trPr>
        <w:tc>
          <w:tcPr>
            <w:tcW w:w="844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Weighted-average interest rate of short-term borrowings at year-end</w:t>
            </w:r>
          </w:p>
        </w:tc>
        <w:tc>
          <w:tcPr>
            <w:tcW w:w="320" w:type="dxa"/>
            <w:vAlign w:val="bottom"/>
            <w:tcBorders>
              <w:bottom w:val="single" w:sz="8" w:color="00539B"/>
            </w:tcBorders>
            <w:shd w:val="clear" w:color="auto" w:fill="E0E3F1"/>
          </w:tcPr>
          <w:p>
            <w:pPr>
              <w:spacing w:after="0"/>
              <w:rPr>
                <w:sz w:val="18"/>
                <w:szCs w:val="18"/>
                <w:color w:val="auto"/>
              </w:rPr>
            </w:pPr>
          </w:p>
        </w:tc>
        <w:tc>
          <w:tcPr>
            <w:tcW w:w="92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4.1</w:t>
            </w:r>
          </w:p>
        </w:tc>
        <w:tc>
          <w:tcPr>
            <w:tcW w:w="14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w w:val="79"/>
              </w:rPr>
              <w:t>%</w:t>
            </w:r>
          </w:p>
        </w:tc>
        <w:tc>
          <w:tcPr>
            <w:tcW w:w="320" w:type="dxa"/>
            <w:vAlign w:val="bottom"/>
            <w:tcBorders>
              <w:bottom w:val="single" w:sz="8" w:color="00539B"/>
            </w:tcBorders>
          </w:tcPr>
          <w:p>
            <w:pPr>
              <w:spacing w:after="0"/>
              <w:rPr>
                <w:sz w:val="18"/>
                <w:szCs w:val="18"/>
                <w:color w:val="auto"/>
              </w:rPr>
            </w:pPr>
          </w:p>
        </w:tc>
        <w:tc>
          <w:tcPr>
            <w:tcW w:w="106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4.7 %</w:t>
            </w:r>
          </w:p>
        </w:tc>
      </w:tr>
      <w:tr>
        <w:trPr>
          <w:trHeight w:val="397"/>
        </w:trPr>
        <w:tc>
          <w:tcPr>
            <w:tcW w:w="8440" w:type="dxa"/>
            <w:vAlign w:val="bottom"/>
          </w:tcPr>
          <w:p>
            <w:pPr>
              <w:ind w:left="20"/>
              <w:spacing w:after="0"/>
              <w:rPr>
                <w:sz w:val="20"/>
                <w:szCs w:val="20"/>
                <w:color w:val="auto"/>
              </w:rPr>
            </w:pPr>
            <w:r>
              <w:rPr>
                <w:rFonts w:ascii="Arial" w:cs="Arial" w:eastAsia="Arial" w:hAnsi="Arial"/>
                <w:sz w:val="14"/>
                <w:szCs w:val="14"/>
                <w:color w:val="auto"/>
              </w:rPr>
              <w:t>Long-term debt</w:t>
            </w:r>
          </w:p>
        </w:tc>
        <w:tc>
          <w:tcPr>
            <w:tcW w:w="320" w:type="dxa"/>
            <w:vAlign w:val="bottom"/>
            <w:shd w:val="clear" w:color="auto" w:fill="E0E3F1"/>
          </w:tcPr>
          <w:p>
            <w:pPr>
              <w:spacing w:after="0"/>
              <w:rPr>
                <w:sz w:val="24"/>
                <w:szCs w:val="24"/>
                <w:color w:val="auto"/>
              </w:rPr>
            </w:pPr>
          </w:p>
        </w:tc>
        <w:tc>
          <w:tcPr>
            <w:tcW w:w="920" w:type="dxa"/>
            <w:vAlign w:val="bottom"/>
            <w:shd w:val="clear" w:color="auto" w:fill="E0E3F1"/>
          </w:tcPr>
          <w:p>
            <w:pPr>
              <w:spacing w:after="0"/>
              <w:rPr>
                <w:sz w:val="24"/>
                <w:szCs w:val="24"/>
                <w:color w:val="auto"/>
              </w:rPr>
            </w:pPr>
          </w:p>
        </w:tc>
        <w:tc>
          <w:tcPr>
            <w:tcW w:w="140" w:type="dxa"/>
            <w:vAlign w:val="bottom"/>
            <w:shd w:val="clear" w:color="auto" w:fill="E0E3F1"/>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8440" w:type="dxa"/>
            <w:vAlign w:val="bottom"/>
          </w:tcPr>
          <w:p>
            <w:pPr>
              <w:ind w:left="100"/>
              <w:spacing w:after="0"/>
              <w:rPr>
                <w:sz w:val="20"/>
                <w:szCs w:val="20"/>
                <w:color w:val="auto"/>
              </w:rPr>
            </w:pPr>
            <w:r>
              <w:rPr>
                <w:rFonts w:ascii="Arial" w:cs="Arial" w:eastAsia="Arial" w:hAnsi="Arial"/>
                <w:sz w:val="14"/>
                <w:szCs w:val="14"/>
                <w:color w:val="auto"/>
              </w:rPr>
              <w:t>3.25% notes due 11/15/2025</w:t>
            </w:r>
          </w:p>
        </w:tc>
        <w:tc>
          <w:tcPr>
            <w:tcW w:w="320" w:type="dxa"/>
            <w:vAlign w:val="bottom"/>
            <w:shd w:val="clear" w:color="auto" w:fill="E0E3F1"/>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E0E3F1"/>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250.0</w:t>
            </w:r>
          </w:p>
        </w:tc>
      </w:tr>
      <w:tr>
        <w:trPr>
          <w:trHeight w:val="176"/>
        </w:trPr>
        <w:tc>
          <w:tcPr>
            <w:tcW w:w="8440" w:type="dxa"/>
            <w:vAlign w:val="bottom"/>
          </w:tcPr>
          <w:p>
            <w:pPr>
              <w:ind w:left="100"/>
              <w:spacing w:after="0"/>
              <w:rPr>
                <w:sz w:val="20"/>
                <w:szCs w:val="20"/>
                <w:color w:val="auto"/>
              </w:rPr>
            </w:pPr>
            <w:r>
              <w:rPr>
                <w:rFonts w:ascii="Arial" w:cs="Arial" w:eastAsia="Arial" w:hAnsi="Arial"/>
                <w:sz w:val="14"/>
                <w:szCs w:val="14"/>
                <w:color w:val="auto"/>
              </w:rPr>
              <w:t>0.90% notes due 2/15/2026</w:t>
            </w:r>
          </w:p>
        </w:tc>
        <w:tc>
          <w:tcPr>
            <w:tcW w:w="320" w:type="dxa"/>
            <w:vAlign w:val="bottom"/>
            <w:shd w:val="clear" w:color="auto" w:fill="E0E3F1"/>
          </w:tcPr>
          <w:p>
            <w:pPr>
              <w:spacing w:after="0"/>
              <w:rPr>
                <w:sz w:val="15"/>
                <w:szCs w:val="15"/>
                <w:color w:val="auto"/>
              </w:rPr>
            </w:pPr>
          </w:p>
        </w:tc>
        <w:tc>
          <w:tcPr>
            <w:tcW w:w="920" w:type="dxa"/>
            <w:vAlign w:val="bottom"/>
            <w:shd w:val="clear" w:color="auto" w:fill="E0E3F1"/>
          </w:tcPr>
          <w:p>
            <w:pPr>
              <w:jc w:val="right"/>
              <w:spacing w:after="0"/>
              <w:rPr>
                <w:sz w:val="20"/>
                <w:szCs w:val="20"/>
                <w:color w:val="auto"/>
              </w:rPr>
            </w:pPr>
            <w:r>
              <w:rPr>
                <w:rFonts w:ascii="Arial" w:cs="Arial" w:eastAsia="Arial" w:hAnsi="Arial"/>
                <w:sz w:val="14"/>
                <w:szCs w:val="14"/>
                <w:color w:val="auto"/>
              </w:rPr>
              <w:t>500.0</w:t>
            </w:r>
          </w:p>
        </w:tc>
        <w:tc>
          <w:tcPr>
            <w:tcW w:w="140" w:type="dxa"/>
            <w:vAlign w:val="bottom"/>
            <w:shd w:val="clear" w:color="auto" w:fill="E0E3F1"/>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500.0</w:t>
            </w:r>
          </w:p>
        </w:tc>
      </w:tr>
      <w:tr>
        <w:trPr>
          <w:trHeight w:val="203"/>
        </w:trPr>
        <w:tc>
          <w:tcPr>
            <w:tcW w:w="8440" w:type="dxa"/>
            <w:vAlign w:val="bottom"/>
          </w:tcPr>
          <w:p>
            <w:pPr>
              <w:ind w:left="100"/>
              <w:spacing w:after="0" w:line="202" w:lineRule="exact"/>
              <w:rPr>
                <w:sz w:val="20"/>
                <w:szCs w:val="20"/>
                <w:color w:val="auto"/>
              </w:rPr>
            </w:pPr>
            <w:r>
              <w:rPr>
                <w:rFonts w:ascii="Arial" w:cs="Arial" w:eastAsia="Arial" w:hAnsi="Arial"/>
                <w:sz w:val="14"/>
                <w:szCs w:val="14"/>
                <w:color w:val="auto"/>
              </w:rPr>
              <w:t>3.40% notes due 8/15/2027</w:t>
            </w:r>
            <w:r>
              <w:rPr>
                <w:rFonts w:ascii="Arial" w:cs="Arial" w:eastAsia="Arial" w:hAnsi="Arial"/>
                <w:sz w:val="23"/>
                <w:szCs w:val="23"/>
                <w:color w:val="auto"/>
                <w:vertAlign w:val="superscript"/>
              </w:rPr>
              <w:t>(1)</w:t>
            </w:r>
          </w:p>
        </w:tc>
        <w:tc>
          <w:tcPr>
            <w:tcW w:w="320" w:type="dxa"/>
            <w:vAlign w:val="bottom"/>
            <w:shd w:val="clear" w:color="auto" w:fill="E0E3F1"/>
          </w:tcPr>
          <w:p>
            <w:pPr>
              <w:spacing w:after="0"/>
              <w:rPr>
                <w:sz w:val="17"/>
                <w:szCs w:val="17"/>
                <w:color w:val="auto"/>
              </w:rPr>
            </w:pPr>
          </w:p>
        </w:tc>
        <w:tc>
          <w:tcPr>
            <w:tcW w:w="920" w:type="dxa"/>
            <w:vAlign w:val="bottom"/>
            <w:shd w:val="clear" w:color="auto" w:fill="E0E3F1"/>
          </w:tcPr>
          <w:p>
            <w:pPr>
              <w:jc w:val="right"/>
              <w:spacing w:after="0"/>
              <w:rPr>
                <w:sz w:val="20"/>
                <w:szCs w:val="20"/>
                <w:color w:val="auto"/>
              </w:rPr>
            </w:pPr>
            <w:r>
              <w:rPr>
                <w:rFonts w:ascii="Arial" w:cs="Arial" w:eastAsia="Arial" w:hAnsi="Arial"/>
                <w:sz w:val="14"/>
                <w:szCs w:val="14"/>
                <w:color w:val="auto"/>
              </w:rPr>
              <w:t>750.0</w:t>
            </w:r>
          </w:p>
        </w:tc>
        <w:tc>
          <w:tcPr>
            <w:tcW w:w="140" w:type="dxa"/>
            <w:vAlign w:val="bottom"/>
            <w:shd w:val="clear" w:color="auto" w:fill="E0E3F1"/>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750.0</w:t>
            </w:r>
          </w:p>
        </w:tc>
      </w:tr>
      <w:tr>
        <w:trPr>
          <w:trHeight w:val="242"/>
        </w:trPr>
        <w:tc>
          <w:tcPr>
            <w:tcW w:w="8440" w:type="dxa"/>
            <w:vAlign w:val="bottom"/>
          </w:tcPr>
          <w:p>
            <w:pPr>
              <w:ind w:left="100"/>
              <w:spacing w:after="0" w:line="242" w:lineRule="exact"/>
              <w:rPr>
                <w:sz w:val="20"/>
                <w:szCs w:val="20"/>
                <w:color w:val="auto"/>
              </w:rPr>
            </w:pPr>
            <w:r>
              <w:rPr>
                <w:rFonts w:ascii="Arial" w:cs="Arial" w:eastAsia="Arial" w:hAnsi="Arial"/>
                <w:sz w:val="14"/>
                <w:szCs w:val="14"/>
                <w:color w:val="auto"/>
              </w:rPr>
              <w:t>2.50% notes due 4/15/2030</w:t>
            </w:r>
            <w:r>
              <w:rPr>
                <w:rFonts w:ascii="Arial" w:cs="Arial" w:eastAsia="Arial" w:hAnsi="Arial"/>
                <w:sz w:val="23"/>
                <w:szCs w:val="23"/>
                <w:color w:val="auto"/>
                <w:vertAlign w:val="superscript"/>
              </w:rPr>
              <w:t>(2)</w:t>
            </w:r>
          </w:p>
        </w:tc>
        <w:tc>
          <w:tcPr>
            <w:tcW w:w="320" w:type="dxa"/>
            <w:vAlign w:val="bottom"/>
            <w:shd w:val="clear" w:color="auto" w:fill="E0E3F1"/>
          </w:tcPr>
          <w:p>
            <w:pPr>
              <w:spacing w:after="0"/>
              <w:rPr>
                <w:sz w:val="21"/>
                <w:szCs w:val="21"/>
                <w:color w:val="auto"/>
              </w:rPr>
            </w:pPr>
          </w:p>
        </w:tc>
        <w:tc>
          <w:tcPr>
            <w:tcW w:w="920" w:type="dxa"/>
            <w:vAlign w:val="bottom"/>
            <w:shd w:val="clear" w:color="auto" w:fill="E0E3F1"/>
          </w:tcPr>
          <w:p>
            <w:pPr>
              <w:jc w:val="right"/>
              <w:spacing w:after="0"/>
              <w:rPr>
                <w:sz w:val="20"/>
                <w:szCs w:val="20"/>
                <w:color w:val="auto"/>
              </w:rPr>
            </w:pPr>
            <w:r>
              <w:rPr>
                <w:rFonts w:ascii="Arial" w:cs="Arial" w:eastAsia="Arial" w:hAnsi="Arial"/>
                <w:sz w:val="14"/>
                <w:szCs w:val="14"/>
                <w:color w:val="auto"/>
              </w:rPr>
              <w:t>500.0</w:t>
            </w:r>
          </w:p>
        </w:tc>
        <w:tc>
          <w:tcPr>
            <w:tcW w:w="140" w:type="dxa"/>
            <w:vAlign w:val="bottom"/>
            <w:shd w:val="clear" w:color="auto" w:fill="E0E3F1"/>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500.0</w:t>
            </w:r>
          </w:p>
        </w:tc>
      </w:tr>
      <w:tr>
        <w:trPr>
          <w:trHeight w:val="163"/>
        </w:trPr>
        <w:tc>
          <w:tcPr>
            <w:tcW w:w="8440" w:type="dxa"/>
            <w:vAlign w:val="bottom"/>
          </w:tcPr>
          <w:p>
            <w:pPr>
              <w:ind w:left="100"/>
              <w:spacing w:after="0"/>
              <w:rPr>
                <w:sz w:val="20"/>
                <w:szCs w:val="20"/>
                <w:color w:val="auto"/>
              </w:rPr>
            </w:pPr>
            <w:r>
              <w:rPr>
                <w:rFonts w:ascii="Arial" w:cs="Arial" w:eastAsia="Arial" w:hAnsi="Arial"/>
                <w:sz w:val="14"/>
                <w:szCs w:val="14"/>
                <w:color w:val="auto"/>
              </w:rPr>
              <w:t>1.85% notes due 2/15/2031</w:t>
            </w:r>
          </w:p>
        </w:tc>
        <w:tc>
          <w:tcPr>
            <w:tcW w:w="320" w:type="dxa"/>
            <w:vAlign w:val="bottom"/>
            <w:shd w:val="clear" w:color="auto" w:fill="E0E3F1"/>
          </w:tcPr>
          <w:p>
            <w:pPr>
              <w:spacing w:after="0"/>
              <w:rPr>
                <w:sz w:val="14"/>
                <w:szCs w:val="14"/>
                <w:color w:val="auto"/>
              </w:rPr>
            </w:pPr>
          </w:p>
        </w:tc>
        <w:tc>
          <w:tcPr>
            <w:tcW w:w="920" w:type="dxa"/>
            <w:vAlign w:val="bottom"/>
            <w:shd w:val="clear" w:color="auto" w:fill="E0E3F1"/>
          </w:tcPr>
          <w:p>
            <w:pPr>
              <w:jc w:val="right"/>
              <w:spacing w:after="0"/>
              <w:rPr>
                <w:sz w:val="20"/>
                <w:szCs w:val="20"/>
                <w:color w:val="auto"/>
              </w:rPr>
            </w:pPr>
            <w:r>
              <w:rPr>
                <w:rFonts w:ascii="Arial" w:cs="Arial" w:eastAsia="Arial" w:hAnsi="Arial"/>
                <w:sz w:val="14"/>
                <w:szCs w:val="14"/>
                <w:color w:val="auto"/>
              </w:rPr>
              <w:t>500.0</w:t>
            </w:r>
          </w:p>
        </w:tc>
        <w:tc>
          <w:tcPr>
            <w:tcW w:w="140" w:type="dxa"/>
            <w:vAlign w:val="bottom"/>
            <w:shd w:val="clear" w:color="auto" w:fill="E0E3F1"/>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500.0</w:t>
            </w:r>
          </w:p>
        </w:tc>
      </w:tr>
      <w:tr>
        <w:trPr>
          <w:trHeight w:val="203"/>
        </w:trPr>
        <w:tc>
          <w:tcPr>
            <w:tcW w:w="8440" w:type="dxa"/>
            <w:vAlign w:val="bottom"/>
          </w:tcPr>
          <w:p>
            <w:pPr>
              <w:ind w:left="100"/>
              <w:spacing w:after="0" w:line="202" w:lineRule="exact"/>
              <w:rPr>
                <w:sz w:val="20"/>
                <w:szCs w:val="20"/>
                <w:color w:val="auto"/>
              </w:rPr>
            </w:pPr>
            <w:r>
              <w:rPr>
                <w:rFonts w:ascii="Arial" w:cs="Arial" w:eastAsia="Arial" w:hAnsi="Arial"/>
                <w:sz w:val="14"/>
                <w:szCs w:val="14"/>
                <w:color w:val="auto"/>
              </w:rPr>
              <w:t>4.95% notes due 4/15/2033</w:t>
            </w:r>
            <w:r>
              <w:rPr>
                <w:rFonts w:ascii="Arial" w:cs="Arial" w:eastAsia="Arial" w:hAnsi="Arial"/>
                <w:sz w:val="23"/>
                <w:szCs w:val="23"/>
                <w:color w:val="auto"/>
                <w:vertAlign w:val="superscript"/>
              </w:rPr>
              <w:t>(3)</w:t>
            </w:r>
          </w:p>
        </w:tc>
        <w:tc>
          <w:tcPr>
            <w:tcW w:w="320" w:type="dxa"/>
            <w:vAlign w:val="bottom"/>
            <w:shd w:val="clear" w:color="auto" w:fill="E0E3F1"/>
          </w:tcPr>
          <w:p>
            <w:pPr>
              <w:spacing w:after="0"/>
              <w:rPr>
                <w:sz w:val="17"/>
                <w:szCs w:val="17"/>
                <w:color w:val="auto"/>
              </w:rPr>
            </w:pPr>
          </w:p>
        </w:tc>
        <w:tc>
          <w:tcPr>
            <w:tcW w:w="920" w:type="dxa"/>
            <w:vAlign w:val="bottom"/>
            <w:shd w:val="clear" w:color="auto" w:fill="E0E3F1"/>
          </w:tcPr>
          <w:p>
            <w:pPr>
              <w:jc w:val="right"/>
              <w:spacing w:after="0"/>
              <w:rPr>
                <w:sz w:val="20"/>
                <w:szCs w:val="20"/>
                <w:color w:val="auto"/>
              </w:rPr>
            </w:pPr>
            <w:r>
              <w:rPr>
                <w:rFonts w:ascii="Arial" w:cs="Arial" w:eastAsia="Arial" w:hAnsi="Arial"/>
                <w:sz w:val="14"/>
                <w:szCs w:val="14"/>
                <w:color w:val="auto"/>
              </w:rPr>
              <w:t>500.0</w:t>
            </w:r>
          </w:p>
        </w:tc>
        <w:tc>
          <w:tcPr>
            <w:tcW w:w="140" w:type="dxa"/>
            <w:vAlign w:val="bottom"/>
            <w:shd w:val="clear" w:color="auto" w:fill="E0E3F1"/>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500.0</w:t>
            </w:r>
          </w:p>
        </w:tc>
      </w:tr>
      <w:tr>
        <w:trPr>
          <w:trHeight w:val="242"/>
        </w:trPr>
        <w:tc>
          <w:tcPr>
            <w:tcW w:w="8440" w:type="dxa"/>
            <w:vAlign w:val="bottom"/>
          </w:tcPr>
          <w:p>
            <w:pPr>
              <w:ind w:left="100"/>
              <w:spacing w:after="0" w:line="242" w:lineRule="exact"/>
              <w:rPr>
                <w:sz w:val="20"/>
                <w:szCs w:val="20"/>
                <w:color w:val="auto"/>
              </w:rPr>
            </w:pPr>
            <w:r>
              <w:rPr>
                <w:rFonts w:ascii="Arial" w:cs="Arial" w:eastAsia="Arial" w:hAnsi="Arial"/>
                <w:sz w:val="14"/>
                <w:szCs w:val="14"/>
                <w:color w:val="auto"/>
              </w:rPr>
              <w:t>4.70% notes due 10/15/2034</w:t>
            </w:r>
            <w:r>
              <w:rPr>
                <w:rFonts w:ascii="Arial" w:cs="Arial" w:eastAsia="Arial" w:hAnsi="Arial"/>
                <w:sz w:val="23"/>
                <w:szCs w:val="23"/>
                <w:color w:val="auto"/>
                <w:vertAlign w:val="superscript"/>
              </w:rPr>
              <w:t>(4)</w:t>
            </w:r>
          </w:p>
        </w:tc>
        <w:tc>
          <w:tcPr>
            <w:tcW w:w="320" w:type="dxa"/>
            <w:vAlign w:val="bottom"/>
            <w:shd w:val="clear" w:color="auto" w:fill="E0E3F1"/>
          </w:tcPr>
          <w:p>
            <w:pPr>
              <w:spacing w:after="0"/>
              <w:rPr>
                <w:sz w:val="21"/>
                <w:szCs w:val="21"/>
                <w:color w:val="auto"/>
              </w:rPr>
            </w:pPr>
          </w:p>
        </w:tc>
        <w:tc>
          <w:tcPr>
            <w:tcW w:w="920" w:type="dxa"/>
            <w:vAlign w:val="bottom"/>
            <w:shd w:val="clear" w:color="auto" w:fill="E0E3F1"/>
          </w:tcPr>
          <w:p>
            <w:pPr>
              <w:jc w:val="right"/>
              <w:spacing w:after="0"/>
              <w:rPr>
                <w:sz w:val="20"/>
                <w:szCs w:val="20"/>
                <w:color w:val="auto"/>
              </w:rPr>
            </w:pPr>
            <w:r>
              <w:rPr>
                <w:rFonts w:ascii="Arial" w:cs="Arial" w:eastAsia="Arial" w:hAnsi="Arial"/>
                <w:sz w:val="14"/>
                <w:szCs w:val="14"/>
                <w:color w:val="auto"/>
              </w:rPr>
              <w:t>500.0</w:t>
            </w:r>
          </w:p>
        </w:tc>
        <w:tc>
          <w:tcPr>
            <w:tcW w:w="140" w:type="dxa"/>
            <w:vAlign w:val="bottom"/>
            <w:shd w:val="clear" w:color="auto" w:fill="E0E3F1"/>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500.0</w:t>
            </w:r>
          </w:p>
        </w:tc>
      </w:tr>
      <w:tr>
        <w:trPr>
          <w:trHeight w:val="190"/>
        </w:trPr>
        <w:tc>
          <w:tcPr>
            <w:tcW w:w="8440" w:type="dxa"/>
            <w:vAlign w:val="bottom"/>
          </w:tcPr>
          <w:p>
            <w:pPr>
              <w:ind w:left="100"/>
              <w:spacing w:after="0"/>
              <w:rPr>
                <w:sz w:val="20"/>
                <w:szCs w:val="20"/>
                <w:color w:val="auto"/>
              </w:rPr>
            </w:pPr>
            <w:r>
              <w:rPr>
                <w:rFonts w:ascii="Arial" w:cs="Arial" w:eastAsia="Arial" w:hAnsi="Arial"/>
                <w:sz w:val="14"/>
                <w:szCs w:val="14"/>
                <w:color w:val="auto"/>
              </w:rPr>
              <w:t>4.20% notes due 8/15/2047</w:t>
            </w:r>
          </w:p>
        </w:tc>
        <w:tc>
          <w:tcPr>
            <w:tcW w:w="320" w:type="dxa"/>
            <w:vAlign w:val="bottom"/>
            <w:shd w:val="clear" w:color="auto" w:fill="E0E3F1"/>
          </w:tcPr>
          <w:p>
            <w:pPr>
              <w:spacing w:after="0"/>
              <w:rPr>
                <w:sz w:val="16"/>
                <w:szCs w:val="16"/>
                <w:color w:val="auto"/>
              </w:rPr>
            </w:pPr>
          </w:p>
        </w:tc>
        <w:tc>
          <w:tcPr>
            <w:tcW w:w="920" w:type="dxa"/>
            <w:vAlign w:val="bottom"/>
            <w:shd w:val="clear" w:color="auto" w:fill="E0E3F1"/>
          </w:tcPr>
          <w:p>
            <w:pPr>
              <w:jc w:val="right"/>
              <w:spacing w:after="0"/>
              <w:rPr>
                <w:sz w:val="20"/>
                <w:szCs w:val="20"/>
                <w:color w:val="auto"/>
              </w:rPr>
            </w:pPr>
            <w:r>
              <w:rPr>
                <w:rFonts w:ascii="Arial" w:cs="Arial" w:eastAsia="Arial" w:hAnsi="Arial"/>
                <w:sz w:val="14"/>
                <w:szCs w:val="14"/>
                <w:color w:val="auto"/>
              </w:rPr>
              <w:t>300.0</w:t>
            </w:r>
          </w:p>
        </w:tc>
        <w:tc>
          <w:tcPr>
            <w:tcW w:w="140" w:type="dxa"/>
            <w:vAlign w:val="bottom"/>
            <w:shd w:val="clear" w:color="auto" w:fill="E0E3F1"/>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300.0</w:t>
            </w:r>
          </w:p>
        </w:tc>
      </w:tr>
      <w:tr>
        <w:trPr>
          <w:trHeight w:val="176"/>
        </w:trPr>
        <w:tc>
          <w:tcPr>
            <w:tcW w:w="8440" w:type="dxa"/>
            <w:vAlign w:val="bottom"/>
          </w:tcPr>
          <w:p>
            <w:pPr>
              <w:ind w:left="100"/>
              <w:spacing w:after="0"/>
              <w:rPr>
                <w:sz w:val="20"/>
                <w:szCs w:val="20"/>
                <w:color w:val="auto"/>
              </w:rPr>
            </w:pPr>
            <w:r>
              <w:rPr>
                <w:rFonts w:ascii="Arial" w:cs="Arial" w:eastAsia="Arial" w:hAnsi="Arial"/>
                <w:sz w:val="14"/>
                <w:szCs w:val="14"/>
                <w:color w:val="auto"/>
              </w:rPr>
              <w:t>Other, including finance leases</w:t>
            </w:r>
          </w:p>
        </w:tc>
        <w:tc>
          <w:tcPr>
            <w:tcW w:w="320" w:type="dxa"/>
            <w:vAlign w:val="bottom"/>
            <w:shd w:val="clear" w:color="auto" w:fill="E0E3F1"/>
          </w:tcPr>
          <w:p>
            <w:pPr>
              <w:spacing w:after="0"/>
              <w:rPr>
                <w:sz w:val="15"/>
                <w:szCs w:val="15"/>
                <w:color w:val="auto"/>
              </w:rPr>
            </w:pPr>
          </w:p>
        </w:tc>
        <w:tc>
          <w:tcPr>
            <w:tcW w:w="920" w:type="dxa"/>
            <w:vAlign w:val="bottom"/>
            <w:shd w:val="clear" w:color="auto" w:fill="E0E3F1"/>
          </w:tcPr>
          <w:p>
            <w:pPr>
              <w:jc w:val="right"/>
              <w:spacing w:after="0"/>
              <w:rPr>
                <w:sz w:val="20"/>
                <w:szCs w:val="20"/>
                <w:color w:val="auto"/>
              </w:rPr>
            </w:pPr>
            <w:r>
              <w:rPr>
                <w:rFonts w:ascii="Arial" w:cs="Arial" w:eastAsia="Arial" w:hAnsi="Arial"/>
                <w:sz w:val="14"/>
                <w:szCs w:val="14"/>
                <w:color w:val="auto"/>
              </w:rPr>
              <w:t>104.7</w:t>
            </w:r>
          </w:p>
        </w:tc>
        <w:tc>
          <w:tcPr>
            <w:tcW w:w="140" w:type="dxa"/>
            <w:vAlign w:val="bottom"/>
            <w:shd w:val="clear" w:color="auto" w:fill="E0E3F1"/>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119.8</w:t>
            </w:r>
          </w:p>
        </w:tc>
      </w:tr>
      <w:tr>
        <w:trPr>
          <w:trHeight w:val="237"/>
        </w:trPr>
        <w:tc>
          <w:tcPr>
            <w:tcW w:w="8440" w:type="dxa"/>
            <w:vAlign w:val="bottom"/>
            <w:tcBorders>
              <w:bottom w:val="single" w:sz="8" w:color="00539B"/>
            </w:tcBorders>
          </w:tcPr>
          <w:p>
            <w:pPr>
              <w:ind w:left="20"/>
              <w:spacing w:after="0" w:line="237" w:lineRule="exact"/>
              <w:rPr>
                <w:sz w:val="20"/>
                <w:szCs w:val="20"/>
                <w:color w:val="auto"/>
              </w:rPr>
            </w:pPr>
            <w:r>
              <w:rPr>
                <w:rFonts w:ascii="Arial" w:cs="Arial" w:eastAsia="Arial" w:hAnsi="Arial"/>
                <w:sz w:val="14"/>
                <w:szCs w:val="14"/>
                <w:color w:val="auto"/>
              </w:rPr>
              <w:t>Unamortized discounts, premiums, debt issuance costs and fair value adjustments</w:t>
            </w:r>
            <w:r>
              <w:rPr>
                <w:rFonts w:ascii="Arial" w:cs="Arial" w:eastAsia="Arial" w:hAnsi="Arial"/>
                <w:sz w:val="23"/>
                <w:szCs w:val="23"/>
                <w:color w:val="auto"/>
                <w:vertAlign w:val="superscript"/>
              </w:rPr>
              <w:t>(5)</w:t>
            </w:r>
          </w:p>
        </w:tc>
        <w:tc>
          <w:tcPr>
            <w:tcW w:w="320" w:type="dxa"/>
            <w:vAlign w:val="bottom"/>
            <w:tcBorders>
              <w:bottom w:val="single" w:sz="8" w:color="00539B"/>
            </w:tcBorders>
            <w:shd w:val="clear" w:color="auto" w:fill="E0E3F1"/>
          </w:tcPr>
          <w:p>
            <w:pPr>
              <w:spacing w:after="0"/>
              <w:rPr>
                <w:sz w:val="20"/>
                <w:szCs w:val="20"/>
                <w:color w:val="auto"/>
              </w:rPr>
            </w:pPr>
          </w:p>
        </w:tc>
        <w:tc>
          <w:tcPr>
            <w:tcW w:w="92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(39.8)</w:t>
            </w:r>
          </w:p>
        </w:tc>
        <w:tc>
          <w:tcPr>
            <w:tcW w:w="140" w:type="dxa"/>
            <w:vAlign w:val="bottom"/>
            <w:tcBorders>
              <w:bottom w:val="single" w:sz="8" w:color="00539B"/>
            </w:tcBorders>
            <w:shd w:val="clear" w:color="auto" w:fill="E0E3F1"/>
          </w:tcPr>
          <w:p>
            <w:pPr>
              <w:spacing w:after="0"/>
              <w:rPr>
                <w:sz w:val="20"/>
                <w:szCs w:val="20"/>
                <w:color w:val="auto"/>
              </w:rPr>
            </w:pPr>
          </w:p>
        </w:tc>
        <w:tc>
          <w:tcPr>
            <w:tcW w:w="320" w:type="dxa"/>
            <w:vAlign w:val="bottom"/>
            <w:tcBorders>
              <w:bottom w:val="single" w:sz="8" w:color="00539B"/>
            </w:tcBorders>
          </w:tcPr>
          <w:p>
            <w:pPr>
              <w:spacing w:after="0"/>
              <w:rPr>
                <w:sz w:val="20"/>
                <w:szCs w:val="20"/>
                <w:color w:val="auto"/>
              </w:rPr>
            </w:pPr>
          </w:p>
        </w:tc>
        <w:tc>
          <w:tcPr>
            <w:tcW w:w="1060" w:type="dxa"/>
            <w:vAlign w:val="bottom"/>
            <w:tcBorders>
              <w:bottom w:val="single" w:sz="8" w:color="00539B"/>
            </w:tcBorders>
          </w:tcPr>
          <w:p>
            <w:pPr>
              <w:jc w:val="right"/>
              <w:ind w:right="68"/>
              <w:spacing w:after="0"/>
              <w:rPr>
                <w:sz w:val="20"/>
                <w:szCs w:val="20"/>
                <w:color w:val="auto"/>
              </w:rPr>
            </w:pPr>
            <w:r>
              <w:rPr>
                <w:rFonts w:ascii="Arial" w:cs="Arial" w:eastAsia="Arial" w:hAnsi="Arial"/>
                <w:sz w:val="14"/>
                <w:szCs w:val="14"/>
                <w:color w:val="auto"/>
              </w:rPr>
              <w:t>(61.0)</w:t>
            </w:r>
          </w:p>
        </w:tc>
      </w:tr>
      <w:tr>
        <w:trPr>
          <w:trHeight w:val="188"/>
        </w:trPr>
        <w:tc>
          <w:tcPr>
            <w:tcW w:w="8440" w:type="dxa"/>
            <w:vAlign w:val="bottom"/>
          </w:tcPr>
          <w:p>
            <w:pPr>
              <w:spacing w:after="0"/>
              <w:rPr>
                <w:sz w:val="16"/>
                <w:szCs w:val="16"/>
                <w:color w:val="auto"/>
              </w:rPr>
            </w:pPr>
          </w:p>
        </w:tc>
        <w:tc>
          <w:tcPr>
            <w:tcW w:w="320" w:type="dxa"/>
            <w:vAlign w:val="bottom"/>
            <w:shd w:val="clear" w:color="auto" w:fill="E0E3F1"/>
          </w:tcPr>
          <w:p>
            <w:pPr>
              <w:spacing w:after="0"/>
              <w:rPr>
                <w:sz w:val="16"/>
                <w:szCs w:val="16"/>
                <w:color w:val="auto"/>
              </w:rPr>
            </w:pPr>
          </w:p>
        </w:tc>
        <w:tc>
          <w:tcPr>
            <w:tcW w:w="920" w:type="dxa"/>
            <w:vAlign w:val="bottom"/>
            <w:shd w:val="clear" w:color="auto" w:fill="E0E3F1"/>
          </w:tcPr>
          <w:p>
            <w:pPr>
              <w:jc w:val="right"/>
              <w:spacing w:after="0"/>
              <w:rPr>
                <w:sz w:val="20"/>
                <w:szCs w:val="20"/>
                <w:color w:val="auto"/>
              </w:rPr>
            </w:pPr>
            <w:r>
              <w:rPr>
                <w:rFonts w:ascii="Arial" w:cs="Arial" w:eastAsia="Arial" w:hAnsi="Arial"/>
                <w:sz w:val="14"/>
                <w:szCs w:val="14"/>
                <w:color w:val="auto"/>
              </w:rPr>
              <w:t>3,614.9</w:t>
            </w:r>
          </w:p>
        </w:tc>
        <w:tc>
          <w:tcPr>
            <w:tcW w:w="140" w:type="dxa"/>
            <w:vAlign w:val="bottom"/>
            <w:shd w:val="clear" w:color="auto" w:fill="E0E3F1"/>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3,858.8</w:t>
            </w:r>
          </w:p>
        </w:tc>
      </w:tr>
      <w:tr>
        <w:trPr>
          <w:trHeight w:val="207"/>
        </w:trPr>
        <w:tc>
          <w:tcPr>
            <w:tcW w:w="844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Less current portion</w:t>
            </w:r>
          </w:p>
        </w:tc>
        <w:tc>
          <w:tcPr>
            <w:tcW w:w="320" w:type="dxa"/>
            <w:vAlign w:val="bottom"/>
            <w:tcBorders>
              <w:bottom w:val="single" w:sz="8" w:color="00539B"/>
            </w:tcBorders>
            <w:shd w:val="clear" w:color="auto" w:fill="E0E3F1"/>
          </w:tcPr>
          <w:p>
            <w:pPr>
              <w:spacing w:after="0"/>
              <w:rPr>
                <w:sz w:val="17"/>
                <w:szCs w:val="17"/>
                <w:color w:val="auto"/>
              </w:rPr>
            </w:pPr>
          </w:p>
        </w:tc>
        <w:tc>
          <w:tcPr>
            <w:tcW w:w="92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509.1</w:t>
            </w:r>
          </w:p>
        </w:tc>
        <w:tc>
          <w:tcPr>
            <w:tcW w:w="140" w:type="dxa"/>
            <w:vAlign w:val="bottom"/>
            <w:tcBorders>
              <w:bottom w:val="single" w:sz="8" w:color="00539B"/>
            </w:tcBorders>
            <w:shd w:val="clear" w:color="auto" w:fill="E0E3F1"/>
          </w:tcPr>
          <w:p>
            <w:pPr>
              <w:spacing w:after="0"/>
              <w:rPr>
                <w:sz w:val="17"/>
                <w:szCs w:val="17"/>
                <w:color w:val="auto"/>
              </w:rPr>
            </w:pPr>
          </w:p>
        </w:tc>
        <w:tc>
          <w:tcPr>
            <w:tcW w:w="320" w:type="dxa"/>
            <w:vAlign w:val="bottom"/>
            <w:tcBorders>
              <w:bottom w:val="single" w:sz="8" w:color="00539B"/>
            </w:tcBorders>
          </w:tcPr>
          <w:p>
            <w:pPr>
              <w:spacing w:after="0"/>
              <w:rPr>
                <w:sz w:val="17"/>
                <w:szCs w:val="17"/>
                <w:color w:val="auto"/>
              </w:rPr>
            </w:pPr>
          </w:p>
        </w:tc>
        <w:tc>
          <w:tcPr>
            <w:tcW w:w="1060" w:type="dxa"/>
            <w:vAlign w:val="bottom"/>
            <w:tcBorders>
              <w:bottom w:val="single" w:sz="8" w:color="00539B"/>
            </w:tcBorders>
          </w:tcPr>
          <w:p>
            <w:pPr>
              <w:jc w:val="right"/>
              <w:ind w:right="108"/>
              <w:spacing w:after="0"/>
              <w:rPr>
                <w:sz w:val="20"/>
                <w:szCs w:val="20"/>
                <w:color w:val="auto"/>
              </w:rPr>
            </w:pPr>
            <w:r>
              <w:rPr>
                <w:rFonts w:ascii="Arial" w:cs="Arial" w:eastAsia="Arial" w:hAnsi="Arial"/>
                <w:sz w:val="14"/>
                <w:szCs w:val="14"/>
                <w:color w:val="auto"/>
              </w:rPr>
              <w:t>265.2</w:t>
            </w:r>
          </w:p>
        </w:tc>
      </w:tr>
      <w:tr>
        <w:trPr>
          <w:trHeight w:val="207"/>
        </w:trPr>
        <w:tc>
          <w:tcPr>
            <w:tcW w:w="8440" w:type="dxa"/>
            <w:vAlign w:val="bottom"/>
            <w:tcBorders>
              <w:bottom w:val="single" w:sz="8" w:color="00539B"/>
            </w:tcBorders>
          </w:tcPr>
          <w:p>
            <w:pPr>
              <w:spacing w:after="0"/>
              <w:rPr>
                <w:sz w:val="18"/>
                <w:szCs w:val="18"/>
                <w:color w:val="auto"/>
              </w:rPr>
            </w:pPr>
          </w:p>
        </w:tc>
        <w:tc>
          <w:tcPr>
            <w:tcW w:w="320" w:type="dxa"/>
            <w:vAlign w:val="bottom"/>
            <w:tcBorders>
              <w:bottom w:val="single" w:sz="8" w:color="00539B"/>
            </w:tcBorders>
            <w:shd w:val="clear" w:color="auto" w:fill="E0E3F1"/>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3,105.8</w:t>
            </w:r>
          </w:p>
        </w:tc>
        <w:tc>
          <w:tcPr>
            <w:tcW w:w="140" w:type="dxa"/>
            <w:vAlign w:val="bottom"/>
            <w:tcBorders>
              <w:bottom w:val="single" w:sz="8" w:color="00539B"/>
            </w:tcBorders>
            <w:shd w:val="clear" w:color="auto" w:fill="E0E3F1"/>
          </w:tcPr>
          <w:p>
            <w:pPr>
              <w:spacing w:after="0"/>
              <w:rPr>
                <w:sz w:val="18"/>
                <w:szCs w:val="18"/>
                <w:color w:val="auto"/>
              </w:rPr>
            </w:pPr>
          </w:p>
        </w:tc>
        <w:tc>
          <w:tcPr>
            <w:tcW w:w="320" w:type="dxa"/>
            <w:vAlign w:val="bottom"/>
            <w:tcBorders>
              <w:bottom w:val="single" w:sz="8" w:color="00539B"/>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00539B"/>
            </w:tcBorders>
          </w:tcPr>
          <w:p>
            <w:pPr>
              <w:jc w:val="right"/>
              <w:ind w:right="108"/>
              <w:spacing w:after="0"/>
              <w:rPr>
                <w:sz w:val="20"/>
                <w:szCs w:val="20"/>
                <w:color w:val="auto"/>
              </w:rPr>
            </w:pPr>
            <w:r>
              <w:rPr>
                <w:rFonts w:ascii="Arial" w:cs="Arial" w:eastAsia="Arial" w:hAnsi="Arial"/>
                <w:sz w:val="14"/>
                <w:szCs w:val="14"/>
                <w:color w:val="auto"/>
              </w:rPr>
              <w:t>3,593.6</w:t>
            </w:r>
          </w:p>
        </w:tc>
      </w:tr>
    </w:tbl>
    <w:p>
      <w:pPr>
        <w:spacing w:after="0" w:line="315" w:lineRule="exact"/>
        <w:rPr>
          <w:sz w:val="20"/>
          <w:szCs w:val="20"/>
          <w:color w:val="auto"/>
        </w:rPr>
      </w:pPr>
    </w:p>
    <w:p>
      <w:pPr>
        <w:ind w:left="333" w:right="40" w:hanging="333"/>
        <w:spacing w:after="0" w:line="268" w:lineRule="auto"/>
        <w:tabs>
          <w:tab w:leader="none" w:pos="319"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Interest rate swaps, settled upon the issuance of these notes, effectively set the interest rate on the $750 million notes at a weighted-average fixed rate of 3.44%. Separately, the fixed interest rate on $250 million of the 3.40% notes due in 2027 is effectively converted to a variable rate by interest rate swaps through 2027. Net interest payments are based on USD SOFR plus 0.907% (previously U.S. three-month LIBOR plus 0.685%) with an effective rate of 4.98% as of November 30, 2025.</w:t>
      </w:r>
    </w:p>
    <w:p>
      <w:pPr>
        <w:spacing w:after="0" w:line="1" w:lineRule="exact"/>
        <w:rPr>
          <w:rFonts w:ascii="Arial" w:cs="Arial" w:eastAsia="Arial" w:hAnsi="Arial"/>
          <w:sz w:val="14"/>
          <w:szCs w:val="14"/>
          <w:color w:val="auto"/>
        </w:rPr>
      </w:pPr>
    </w:p>
    <w:p>
      <w:pPr>
        <w:ind w:left="333" w:right="40" w:hanging="333"/>
        <w:spacing w:after="0" w:line="254" w:lineRule="auto"/>
        <w:tabs>
          <w:tab w:leader="none" w:pos="319"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Interest rate swaps, settled upon the issuance of these notes, effectively set the interest rate on the $500 million notes at a weighted-average fixed rate of 2.62%. Separately, the fixed interest rate on $250 million of the 2.50% notes due in 2030 is effectively converted to a variable rate by interest rate swaps through 2030. Net interest payments are based on USD SOFR plus 0.684% with an effective rate of 4.53% as of November 30, 2025.</w:t>
      </w:r>
    </w:p>
    <w:p>
      <w:pPr>
        <w:spacing w:after="0" w:line="1" w:lineRule="exact"/>
        <w:rPr>
          <w:rFonts w:ascii="Arial" w:cs="Arial" w:eastAsia="Arial" w:hAnsi="Arial"/>
          <w:sz w:val="14"/>
          <w:szCs w:val="14"/>
          <w:color w:val="auto"/>
        </w:rPr>
      </w:pPr>
    </w:p>
    <w:p>
      <w:pPr>
        <w:ind w:left="313" w:hanging="313"/>
        <w:spacing w:after="0"/>
        <w:tabs>
          <w:tab w:leader="none" w:pos="313" w:val="left"/>
        </w:tabs>
        <w:numPr>
          <w:ilvl w:val="0"/>
          <w:numId w:val="13"/>
        </w:numPr>
        <w:rPr>
          <w:rFonts w:ascii="Arial" w:cs="Arial" w:eastAsia="Arial" w:hAnsi="Arial"/>
          <w:sz w:val="14"/>
          <w:szCs w:val="14"/>
          <w:color w:val="auto"/>
        </w:rPr>
      </w:pPr>
      <w:r>
        <w:rPr>
          <w:rFonts w:ascii="Arial" w:cs="Arial" w:eastAsia="Arial" w:hAnsi="Arial"/>
          <w:sz w:val="14"/>
          <w:szCs w:val="14"/>
          <w:color w:val="auto"/>
        </w:rPr>
        <w:t>Treasury lock agreements, settled upon issuance of these notes, effectively set the interest rate on these $500 million notes at a weighted-average fixed rate of 5.00%.</w:t>
      </w:r>
    </w:p>
    <w:p>
      <w:pPr>
        <w:spacing w:after="0" w:line="14" w:lineRule="exact"/>
        <w:rPr>
          <w:rFonts w:ascii="Arial" w:cs="Arial" w:eastAsia="Arial" w:hAnsi="Arial"/>
          <w:sz w:val="14"/>
          <w:szCs w:val="14"/>
          <w:color w:val="auto"/>
        </w:rPr>
      </w:pPr>
    </w:p>
    <w:p>
      <w:pPr>
        <w:ind w:left="313" w:hanging="313"/>
        <w:spacing w:after="0"/>
        <w:tabs>
          <w:tab w:leader="none" w:pos="313" w:val="left"/>
        </w:tabs>
        <w:numPr>
          <w:ilvl w:val="0"/>
          <w:numId w:val="13"/>
        </w:numPr>
        <w:rPr>
          <w:rFonts w:ascii="Arial" w:cs="Arial" w:eastAsia="Arial" w:hAnsi="Arial"/>
          <w:sz w:val="14"/>
          <w:szCs w:val="14"/>
          <w:color w:val="auto"/>
        </w:rPr>
      </w:pPr>
      <w:r>
        <w:rPr>
          <w:rFonts w:ascii="Arial" w:cs="Arial" w:eastAsia="Arial" w:hAnsi="Arial"/>
          <w:sz w:val="14"/>
          <w:szCs w:val="14"/>
          <w:color w:val="auto"/>
        </w:rPr>
        <w:t>Treasury lock agreements, settled upon issuance of these notes, effectively set the interest rate on these $500 million notes at a weighted-average fixed rate of 4.68%.</w:t>
      </w:r>
    </w:p>
    <w:p>
      <w:pPr>
        <w:spacing w:after="0" w:line="14" w:lineRule="exact"/>
        <w:rPr>
          <w:rFonts w:ascii="Arial" w:cs="Arial" w:eastAsia="Arial" w:hAnsi="Arial"/>
          <w:sz w:val="14"/>
          <w:szCs w:val="14"/>
          <w:color w:val="auto"/>
        </w:rPr>
      </w:pPr>
    </w:p>
    <w:p>
      <w:pPr>
        <w:ind w:left="333" w:hanging="333"/>
        <w:spacing w:after="0" w:line="264" w:lineRule="auto"/>
        <w:tabs>
          <w:tab w:leader="none" w:pos="319"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unamortized discounts, premiums, and debt issuance costs of $(21.1) million and $(26.0) million as of November 30, 2025 and 2024, respectively. Includes fair value adjustment associated with interest rate swaps designated as fair value hedges of $(18.7) million and $(35.0) million as of November 30, 2025 and 2024, respectively.</w:t>
      </w:r>
    </w:p>
    <w:p>
      <w:pPr>
        <w:spacing w:after="0" w:line="200" w:lineRule="exact"/>
        <w:rPr>
          <w:sz w:val="20"/>
          <w:szCs w:val="20"/>
          <w:color w:val="auto"/>
        </w:rPr>
      </w:pPr>
    </w:p>
    <w:p>
      <w:pPr>
        <w:spacing w:after="0" w:line="314" w:lineRule="exact"/>
        <w:rPr>
          <w:sz w:val="20"/>
          <w:szCs w:val="20"/>
          <w:color w:val="auto"/>
        </w:rPr>
      </w:pPr>
    </w:p>
    <w:p>
      <w:pPr>
        <w:jc w:val="center"/>
        <w:ind w:right="-72"/>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53"/>
          </w:cols>
          <w:pgMar w:left="287" w:top="890" w:right="35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Maturities of long-term debt, including finance leases, during the fiscal years subsequent to November 30, 2025 are as follows (in millions):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40" w:type="dxa"/>
            <w:vAlign w:val="bottom"/>
            <w:tcBorders>
              <w:top w:val="single" w:sz="8" w:color="00539B"/>
            </w:tcBorders>
          </w:tcPr>
          <w:p>
            <w:pPr>
              <w:ind w:left="20"/>
              <w:spacing w:after="0"/>
              <w:rPr>
                <w:sz w:val="20"/>
                <w:szCs w:val="20"/>
                <w:color w:val="auto"/>
              </w:rPr>
            </w:pPr>
            <w:r>
              <w:rPr>
                <w:rFonts w:ascii="Arial" w:cs="Arial" w:eastAsia="Arial" w:hAnsi="Arial"/>
                <w:sz w:val="14"/>
                <w:szCs w:val="14"/>
                <w:color w:val="auto"/>
              </w:rPr>
              <w:t>2026</w:t>
            </w:r>
          </w:p>
        </w:tc>
        <w:tc>
          <w:tcPr>
            <w:tcW w:w="5020" w:type="dxa"/>
            <w:vAlign w:val="bottom"/>
            <w:tcBorders>
              <w:top w:val="single" w:sz="8" w:color="00539B"/>
            </w:tcBorders>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00539B"/>
            </w:tcBorders>
          </w:tcPr>
          <w:p>
            <w:pPr>
              <w:jc w:val="right"/>
              <w:ind w:right="8"/>
              <w:spacing w:after="0"/>
              <w:rPr>
                <w:sz w:val="20"/>
                <w:szCs w:val="20"/>
                <w:color w:val="auto"/>
              </w:rPr>
            </w:pPr>
            <w:r>
              <w:rPr>
                <w:rFonts w:ascii="Arial" w:cs="Arial" w:eastAsia="Arial" w:hAnsi="Arial"/>
                <w:sz w:val="14"/>
                <w:szCs w:val="14"/>
                <w:color w:val="auto"/>
              </w:rPr>
              <w:t>509.1</w:t>
            </w:r>
          </w:p>
        </w:tc>
      </w:tr>
      <w:tr>
        <w:trPr>
          <w:trHeight w:val="203"/>
        </w:trPr>
        <w:tc>
          <w:tcPr>
            <w:tcW w:w="5440" w:type="dxa"/>
            <w:vAlign w:val="bottom"/>
          </w:tcPr>
          <w:p>
            <w:pPr>
              <w:ind w:left="20"/>
              <w:spacing w:after="0"/>
              <w:rPr>
                <w:sz w:val="20"/>
                <w:szCs w:val="20"/>
                <w:color w:val="auto"/>
              </w:rPr>
            </w:pPr>
            <w:r>
              <w:rPr>
                <w:rFonts w:ascii="Arial" w:cs="Arial" w:eastAsia="Arial" w:hAnsi="Arial"/>
                <w:sz w:val="14"/>
                <w:szCs w:val="14"/>
                <w:color w:val="auto"/>
              </w:rPr>
              <w:t>2027</w:t>
            </w:r>
          </w:p>
        </w:tc>
        <w:tc>
          <w:tcPr>
            <w:tcW w:w="502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759.8</w:t>
            </w:r>
          </w:p>
        </w:tc>
      </w:tr>
      <w:tr>
        <w:trPr>
          <w:trHeight w:val="203"/>
        </w:trPr>
        <w:tc>
          <w:tcPr>
            <w:tcW w:w="5440" w:type="dxa"/>
            <w:vAlign w:val="bottom"/>
          </w:tcPr>
          <w:p>
            <w:pPr>
              <w:ind w:left="20"/>
              <w:spacing w:after="0"/>
              <w:rPr>
                <w:sz w:val="20"/>
                <w:szCs w:val="20"/>
                <w:color w:val="auto"/>
              </w:rPr>
            </w:pPr>
            <w:r>
              <w:rPr>
                <w:rFonts w:ascii="Arial" w:cs="Arial" w:eastAsia="Arial" w:hAnsi="Arial"/>
                <w:sz w:val="14"/>
                <w:szCs w:val="14"/>
                <w:color w:val="auto"/>
              </w:rPr>
              <w:t>2028</w:t>
            </w:r>
          </w:p>
        </w:tc>
        <w:tc>
          <w:tcPr>
            <w:tcW w:w="502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10.4</w:t>
            </w:r>
          </w:p>
        </w:tc>
      </w:tr>
      <w:tr>
        <w:trPr>
          <w:trHeight w:val="203"/>
        </w:trPr>
        <w:tc>
          <w:tcPr>
            <w:tcW w:w="5440" w:type="dxa"/>
            <w:vAlign w:val="bottom"/>
          </w:tcPr>
          <w:p>
            <w:pPr>
              <w:ind w:left="20"/>
              <w:spacing w:after="0"/>
              <w:rPr>
                <w:sz w:val="20"/>
                <w:szCs w:val="20"/>
                <w:color w:val="auto"/>
              </w:rPr>
            </w:pPr>
            <w:r>
              <w:rPr>
                <w:rFonts w:ascii="Arial" w:cs="Arial" w:eastAsia="Arial" w:hAnsi="Arial"/>
                <w:sz w:val="14"/>
                <w:szCs w:val="14"/>
                <w:color w:val="auto"/>
              </w:rPr>
              <w:t>2029</w:t>
            </w:r>
          </w:p>
        </w:tc>
        <w:tc>
          <w:tcPr>
            <w:tcW w:w="502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20.7</w:t>
            </w:r>
          </w:p>
        </w:tc>
      </w:tr>
      <w:tr>
        <w:trPr>
          <w:trHeight w:val="203"/>
        </w:trPr>
        <w:tc>
          <w:tcPr>
            <w:tcW w:w="5440" w:type="dxa"/>
            <w:vAlign w:val="bottom"/>
          </w:tcPr>
          <w:p>
            <w:pPr>
              <w:ind w:left="20"/>
              <w:spacing w:after="0"/>
              <w:rPr>
                <w:sz w:val="20"/>
                <w:szCs w:val="20"/>
                <w:color w:val="auto"/>
              </w:rPr>
            </w:pPr>
            <w:r>
              <w:rPr>
                <w:rFonts w:ascii="Arial" w:cs="Arial" w:eastAsia="Arial" w:hAnsi="Arial"/>
                <w:sz w:val="14"/>
                <w:szCs w:val="14"/>
                <w:color w:val="auto"/>
              </w:rPr>
              <w:t>2030</w:t>
            </w:r>
          </w:p>
        </w:tc>
        <w:tc>
          <w:tcPr>
            <w:tcW w:w="502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511.6</w:t>
            </w:r>
          </w:p>
        </w:tc>
      </w:tr>
      <w:tr>
        <w:trPr>
          <w:trHeight w:val="218"/>
        </w:trPr>
        <w:tc>
          <w:tcPr>
            <w:tcW w:w="544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Thereafter</w:t>
            </w:r>
          </w:p>
        </w:tc>
        <w:tc>
          <w:tcPr>
            <w:tcW w:w="5020" w:type="dxa"/>
            <w:vAlign w:val="bottom"/>
            <w:tcBorders>
              <w:bottom w:val="single" w:sz="8" w:color="00539B"/>
            </w:tcBorders>
          </w:tcPr>
          <w:p>
            <w:pPr>
              <w:spacing w:after="0"/>
              <w:rPr>
                <w:sz w:val="18"/>
                <w:szCs w:val="18"/>
                <w:color w:val="auto"/>
              </w:rPr>
            </w:pPr>
          </w:p>
        </w:tc>
        <w:tc>
          <w:tcPr>
            <w:tcW w:w="760" w:type="dxa"/>
            <w:vAlign w:val="bottom"/>
            <w:tcBorders>
              <w:bottom w:val="single" w:sz="8" w:color="00539B"/>
            </w:tcBorders>
          </w:tcPr>
          <w:p>
            <w:pPr>
              <w:jc w:val="right"/>
              <w:ind w:right="8"/>
              <w:spacing w:after="0"/>
              <w:rPr>
                <w:sz w:val="20"/>
                <w:szCs w:val="20"/>
                <w:color w:val="auto"/>
              </w:rPr>
            </w:pPr>
            <w:r>
              <w:rPr>
                <w:rFonts w:ascii="Arial" w:cs="Arial" w:eastAsia="Arial" w:hAnsi="Arial"/>
                <w:sz w:val="14"/>
                <w:szCs w:val="14"/>
                <w:color w:val="auto"/>
              </w:rPr>
              <w:t>1,843.1</w:t>
            </w:r>
          </w:p>
        </w:tc>
      </w:tr>
    </w:tbl>
    <w:p>
      <w:pPr>
        <w:spacing w:after="0" w:line="238"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In October 2024, we issued $ 500 million aggregate principal amount of 4.70% unsecured senior notes due 2034. Interest is payable semi-annually in April and October each year, beginning on April 15, 2025. As part of the issuance of new debt, we entered and settled treasury locks in a notional amount of $150 million to manage our interest rate risk associated with the issuance of the unsecured senior notes. We designated the treasury lock arrangements as cash flow hedges with the realized gain of $0.9 million to be amortized to interest expense over the life of the underlying debt.</w:t>
      </w:r>
    </w:p>
    <w:p>
      <w:pPr>
        <w:spacing w:after="0" w:line="123"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We have available credit facilities with domestic and foreign banks for various purposes. Some of these lines are committed lines and others are uncommitted lines and could be withdrawn at various times.</w:t>
      </w:r>
    </w:p>
    <w:p>
      <w:pPr>
        <w:spacing w:after="0" w:line="9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May 2025, we entered into a five-year $2.0 billion revolving credit facility which will expire in May 2030. The current pricing for the five-year credit facility, on a fully drawn basis, is Term Secured Overnight Financing Rate (SOFR) plus 1.125%. The pricing of the revolving credit facility is based on a credit rating grid that contains a fully drawn maximum pricing of the credit facility equal to Term SOFR plus 1.50%. Upon entering into the May 2025 five-year $2.0 billion revolving credit facility, we simultaneously cancelled our existing five-year $ 1.5 billion revolving credit facility which was set to expire in June 2026 and the 364-day $500 million revolving credit facility which was set to expire in August 2025. We previously maintained a 364-day $500 million revolving credit facility that was entered into in June 2023 and expired in June 2024. In the second quarter of 2023, we amended our five-year revolving credit facility expiring in June 2026 to no longer use LIBOR. The pricing for the five-year credit facility, on a fully drawn basis, was Term SOFR plus 1.25% (previously LIBOR plus 1.25%). The pricing of that credit facility was based on a credit rating grid that contains a fully drawn maximum pricing of the credit facility equal to Term SOFR plus 1.75% (previously LIBOR plus 1.75%). The pricing for the 364-day credit facility, on a fully drawn basis, was Term SOFR plus 1.23%. The pricing of that 364-day credit facility was also based on a credit rating grid that contained a fully drawn maximum pricing of Term SOFR plus 1.60%. These credit facilities require a fee, and commitment fees were $2.2 million, $2.3 million and $2.4 million for 2025, 2024, and 2023, respectively.</w:t>
      </w:r>
    </w:p>
    <w:p>
      <w:pPr>
        <w:spacing w:after="0" w:line="13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revolving credit facilities support our commercial paper program and, after $351.8 million was used to support issued commercial paper, we have $1,648.2 million of capacity at November 30, 2025. The provisions of our revolving credit facilities restrict subsidiary indebtedness and require us to maintain a minimum interest coverage ratio. As of November 30, 2025, our capacity under our revolving credit facility was not affected by these covenants. We do not expect that these covenants would limit our access to our revolving credit facility for the foreseeable future.</w:t>
      </w:r>
    </w:p>
    <w:p>
      <w:pPr>
        <w:spacing w:after="0" w:line="125"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In addition, we have several uncommitted lines totaling $346.9 million, which have a total unused capacity at November 30, 2025 of $346.9 million. These lines, by their nature, can be withdrawn based on the lenders’ discretion.</w:t>
      </w:r>
    </w:p>
    <w:p>
      <w:pPr>
        <w:spacing w:after="0" w:line="72"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color w:val="auto"/>
        </w:rPr>
        <w:t>In January 2026, we entered into a 364-day $500 million revolving credit facility, which will expire in January 2027. The current pricing for the 364-day credit facility, on a fully drawn basis, is Term SOFR plus 1.125%. The pricing of the credit facility is based on a credit rating grid that contains a fully drawn maximum pricing of the credit facility equal to Term SOFR plus 1.50%.</w:t>
      </w:r>
    </w:p>
    <w:p>
      <w:pPr>
        <w:spacing w:after="0" w:line="196" w:lineRule="exact"/>
        <w:rPr>
          <w:sz w:val="20"/>
          <w:szCs w:val="20"/>
          <w:color w:val="auto"/>
        </w:rPr>
      </w:pPr>
    </w:p>
    <w:p>
      <w:pPr>
        <w:ind w:right="400"/>
        <w:spacing w:after="0" w:line="273" w:lineRule="auto"/>
        <w:rPr>
          <w:sz w:val="20"/>
          <w:szCs w:val="20"/>
          <w:color w:val="auto"/>
        </w:rPr>
      </w:pPr>
      <w:r>
        <w:rPr>
          <w:rFonts w:ascii="Arial" w:cs="Arial" w:eastAsia="Arial" w:hAnsi="Arial"/>
          <w:sz w:val="17"/>
          <w:szCs w:val="17"/>
          <w:color w:val="auto"/>
        </w:rPr>
        <w:t>We maintain a nonrecourse accounts receivable sale program whereby certain eligible U.S. receivables are sold to third party financial institution in exchange for cash. The program provides us with an additional means for managing liquidity. We account for the transfer of</w:t>
      </w:r>
    </w:p>
    <w:p>
      <w:pPr>
        <w:spacing w:after="0" w:line="1"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receivables as a sale at the point control is transferred and remove the sold receivables from our consolidated balance sheet. The proceeds from the sales of receivables are included in cash from operating activities in the consolidated cash flow statement. The outstanding amount</w:t>
      </w:r>
    </w:p>
    <w:p>
      <w:pPr>
        <w:spacing w:after="0" w:line="1"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of receivables sold under this program were approximately $ 430.0 million and $106.9 million as of November 30, 2025 and 2024, respectively. As collecting agent on the sold receivables, we had $45.4 million and $9.6 million of cash collected that was not yet remitted to the third party financial institution as of November 30, 2025 and 2024, respectively. This obligation is reported within other accrued liabilities on the consolidated balance sheet and within</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2" w:right="359" w:bottom="1440" w:gutter="0" w:footer="0" w:header="0"/>
        </w:sectPr>
      </w:pPr>
    </w:p>
    <w:bookmarkStart w:id="60" w:name="page61"/>
    <w:bookmarkEnd w:id="60"/>
    <w:p>
      <w:pPr>
        <w:ind w:right="520"/>
        <w:spacing w:after="0" w:line="271" w:lineRule="auto"/>
        <w:rPr>
          <w:sz w:val="20"/>
          <w:szCs w:val="20"/>
          <w:color w:val="auto"/>
        </w:rPr>
      </w:pPr>
      <w:r>
        <w:rPr>
          <w:rFonts w:ascii="Arial" w:cs="Arial" w:eastAsia="Arial" w:hAnsi="Arial"/>
          <w:sz w:val="18"/>
          <w:szCs w:val="18"/>
          <w:color w:val="auto"/>
        </w:rPr>
        <w:t>cash flows from financing activities on the consolidated cash flow statement. The incremental costs of factoring receivables under this arrangement were insignificant in 2025, 2024, and 2023.</w:t>
      </w:r>
    </w:p>
    <w:p>
      <w:pPr>
        <w:spacing w:after="0" w:line="113"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As of November 30, 2025 and 2024, we had outstanding letters of credit of $64.2 million and $61.5 million, respectively. These letters of credit typically act as a guarantee of payment to certain third parties in accordance with specified terms and conditions. At November 30, 2025, we had no other outstanding guarantees. The unused portion of our letter of credit facility was $13.8 million at November 30, 2025.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539B"/>
        </w:rPr>
        <w:t>6. LEASES</w:t>
      </w:r>
    </w:p>
    <w:p>
      <w:pPr>
        <w:spacing w:after="0" w:line="90"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Our lease portfolio primarily consists of (i) certain real estate, including those related to a number of administrative, distribution and manufacturing locations; (ii) certain machinery and equipment, including forklifts; and (iii) automobiles, delivery trucks and other vehicles. A</w:t>
      </w:r>
    </w:p>
    <w:p>
      <w:pPr>
        <w:spacing w:after="0" w:line="1" w:lineRule="exact"/>
        <w:rPr>
          <w:sz w:val="20"/>
          <w:szCs w:val="20"/>
          <w:color w:val="auto"/>
        </w:rPr>
      </w:pPr>
    </w:p>
    <w:p>
      <w:pPr>
        <w:jc w:val="both"/>
        <w:ind w:right="160"/>
        <w:spacing w:after="0" w:line="242" w:lineRule="auto"/>
        <w:rPr>
          <w:sz w:val="20"/>
          <w:szCs w:val="20"/>
          <w:color w:val="auto"/>
        </w:rPr>
      </w:pPr>
      <w:r>
        <w:rPr>
          <w:rFonts w:ascii="Arial" w:cs="Arial" w:eastAsia="Arial" w:hAnsi="Arial"/>
          <w:sz w:val="18"/>
          <w:szCs w:val="18"/>
          <w:color w:val="auto"/>
        </w:rPr>
        <w:t>limited number of our lease agreements include rental payments that are adjusted periodically based on a market rate or index. Our lease agreements generally do not contain residual value guarantees or material restrictive covenants, with the exception of the non-cancellable synthetic lease discussed below.</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presents the components of our lease expense for the years ended November 30 (in millions):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60" w:type="dxa"/>
            <w:vAlign w:val="bottom"/>
            <w:tcBorders>
              <w:top w:val="single" w:sz="8" w:color="00539B"/>
              <w:bottom w:val="single" w:sz="8" w:color="00539B"/>
            </w:tcBorders>
          </w:tcPr>
          <w:p>
            <w:pPr>
              <w:spacing w:after="0"/>
              <w:rPr>
                <w:sz w:val="18"/>
                <w:szCs w:val="18"/>
                <w:color w:val="auto"/>
              </w:rPr>
            </w:pPr>
          </w:p>
        </w:tc>
        <w:tc>
          <w:tcPr>
            <w:tcW w:w="1540" w:type="dxa"/>
            <w:vAlign w:val="bottom"/>
            <w:tcBorders>
              <w:top w:val="single" w:sz="8" w:color="00539B"/>
              <w:bottom w:val="single" w:sz="8" w:color="00539B"/>
            </w:tcBorders>
            <w:shd w:val="clear" w:color="auto" w:fill="E0E3F1"/>
          </w:tcPr>
          <w:p>
            <w:pPr>
              <w:jc w:val="right"/>
              <w:ind w:right="228"/>
              <w:spacing w:after="0"/>
              <w:rPr>
                <w:sz w:val="20"/>
                <w:szCs w:val="20"/>
                <w:color w:val="auto"/>
              </w:rPr>
            </w:pPr>
            <w:r>
              <w:rPr>
                <w:rFonts w:ascii="Arial" w:cs="Arial" w:eastAsia="Arial" w:hAnsi="Arial"/>
                <w:sz w:val="14"/>
                <w:szCs w:val="14"/>
                <w:color w:val="auto"/>
              </w:rPr>
              <w:t>2025</w:t>
            </w:r>
          </w:p>
        </w:tc>
        <w:tc>
          <w:tcPr>
            <w:tcW w:w="640" w:type="dxa"/>
            <w:vAlign w:val="bottom"/>
            <w:tcBorders>
              <w:top w:val="single" w:sz="8" w:color="00539B"/>
              <w:bottom w:val="single" w:sz="8" w:color="00539B"/>
            </w:tcBorders>
            <w:shd w:val="clear" w:color="auto" w:fill="E0E3F1"/>
          </w:tcPr>
          <w:p>
            <w:pPr>
              <w:spacing w:after="0"/>
              <w:rPr>
                <w:sz w:val="18"/>
                <w:szCs w:val="18"/>
                <w:color w:val="auto"/>
              </w:rPr>
            </w:pPr>
          </w:p>
        </w:tc>
        <w:tc>
          <w:tcPr>
            <w:tcW w:w="520" w:type="dxa"/>
            <w:vAlign w:val="bottom"/>
            <w:tcBorders>
              <w:top w:val="single" w:sz="8" w:color="00539B"/>
              <w:bottom w:val="single" w:sz="8" w:color="00539B"/>
            </w:tcBorders>
          </w:tcPr>
          <w:p>
            <w:pPr>
              <w:spacing w:after="0"/>
              <w:rPr>
                <w:sz w:val="18"/>
                <w:szCs w:val="18"/>
                <w:color w:val="auto"/>
              </w:rPr>
            </w:pPr>
          </w:p>
        </w:tc>
        <w:tc>
          <w:tcPr>
            <w:tcW w:w="1660" w:type="dxa"/>
            <w:vAlign w:val="bottom"/>
            <w:tcBorders>
              <w:top w:val="single" w:sz="8" w:color="00539B"/>
              <w:bottom w:val="single" w:sz="8" w:color="00539B"/>
            </w:tcBorders>
          </w:tcPr>
          <w:p>
            <w:pPr>
              <w:jc w:val="right"/>
              <w:ind w:right="848"/>
              <w:spacing w:after="0"/>
              <w:rPr>
                <w:sz w:val="20"/>
                <w:szCs w:val="20"/>
                <w:color w:val="auto"/>
              </w:rPr>
            </w:pPr>
            <w:r>
              <w:rPr>
                <w:rFonts w:ascii="Arial" w:cs="Arial" w:eastAsia="Arial" w:hAnsi="Arial"/>
                <w:sz w:val="14"/>
                <w:szCs w:val="14"/>
                <w:color w:val="auto"/>
              </w:rPr>
              <w:t>2024</w:t>
            </w:r>
          </w:p>
        </w:tc>
        <w:tc>
          <w:tcPr>
            <w:tcW w:w="560" w:type="dxa"/>
            <w:vAlign w:val="bottom"/>
            <w:tcBorders>
              <w:top w:val="single" w:sz="8" w:color="00539B"/>
              <w:bottom w:val="single" w:sz="8" w:color="00539B"/>
            </w:tcBorders>
          </w:tcPr>
          <w:p>
            <w:pPr>
              <w:spacing w:after="0"/>
              <w:rPr>
                <w:sz w:val="18"/>
                <w:szCs w:val="18"/>
                <w:color w:val="auto"/>
              </w:rPr>
            </w:pPr>
          </w:p>
        </w:tc>
        <w:tc>
          <w:tcPr>
            <w:tcW w:w="1700" w:type="dxa"/>
            <w:vAlign w:val="bottom"/>
            <w:tcBorders>
              <w:top w:val="single" w:sz="8" w:color="00539B"/>
              <w:bottom w:val="single" w:sz="8" w:color="00539B"/>
            </w:tcBorders>
          </w:tcPr>
          <w:p>
            <w:pPr>
              <w:jc w:val="right"/>
              <w:ind w:right="888"/>
              <w:spacing w:after="0"/>
              <w:rPr>
                <w:sz w:val="20"/>
                <w:szCs w:val="20"/>
                <w:color w:val="auto"/>
              </w:rPr>
            </w:pPr>
            <w:r>
              <w:rPr>
                <w:rFonts w:ascii="Arial" w:cs="Arial" w:eastAsia="Arial" w:hAnsi="Arial"/>
                <w:sz w:val="14"/>
                <w:szCs w:val="14"/>
                <w:color w:val="auto"/>
              </w:rPr>
              <w:t>2023</w:t>
            </w:r>
          </w:p>
        </w:tc>
      </w:tr>
      <w:tr>
        <w:trPr>
          <w:trHeight w:val="192"/>
        </w:trPr>
        <w:tc>
          <w:tcPr>
            <w:tcW w:w="3460" w:type="dxa"/>
            <w:vAlign w:val="bottom"/>
          </w:tcPr>
          <w:p>
            <w:pPr>
              <w:ind w:left="20"/>
              <w:spacing w:after="0"/>
              <w:rPr>
                <w:sz w:val="20"/>
                <w:szCs w:val="20"/>
                <w:color w:val="auto"/>
              </w:rPr>
            </w:pPr>
            <w:r>
              <w:rPr>
                <w:rFonts w:ascii="Arial" w:cs="Arial" w:eastAsia="Arial" w:hAnsi="Arial"/>
                <w:sz w:val="14"/>
                <w:szCs w:val="14"/>
                <w:color w:val="auto"/>
              </w:rPr>
              <w:t>Operating lease cost</w:t>
            </w:r>
          </w:p>
        </w:tc>
        <w:tc>
          <w:tcPr>
            <w:tcW w:w="1540" w:type="dxa"/>
            <w:vAlign w:val="bottom"/>
            <w:shd w:val="clear" w:color="auto" w:fill="E0E3F1"/>
          </w:tcPr>
          <w:p>
            <w:pPr>
              <w:jc w:val="right"/>
              <w:ind w:right="1388"/>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E0E3F1"/>
          </w:tcPr>
          <w:p>
            <w:pPr>
              <w:jc w:val="right"/>
              <w:spacing w:after="0"/>
              <w:rPr>
                <w:sz w:val="20"/>
                <w:szCs w:val="20"/>
                <w:color w:val="auto"/>
              </w:rPr>
            </w:pPr>
            <w:r>
              <w:rPr>
                <w:rFonts w:ascii="Arial" w:cs="Arial" w:eastAsia="Arial" w:hAnsi="Arial"/>
                <w:sz w:val="14"/>
                <w:szCs w:val="14"/>
                <w:color w:val="auto"/>
              </w:rPr>
              <w:t>77.0</w:t>
            </w: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75.7</w:t>
            </w:r>
          </w:p>
        </w:tc>
        <w:tc>
          <w:tcPr>
            <w:tcW w:w="56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74.6</w:t>
            </w:r>
          </w:p>
        </w:tc>
      </w:tr>
      <w:tr>
        <w:trPr>
          <w:trHeight w:val="203"/>
        </w:trPr>
        <w:tc>
          <w:tcPr>
            <w:tcW w:w="3460" w:type="dxa"/>
            <w:vAlign w:val="bottom"/>
          </w:tcPr>
          <w:p>
            <w:pPr>
              <w:ind w:left="20"/>
              <w:spacing w:after="0"/>
              <w:rPr>
                <w:sz w:val="20"/>
                <w:szCs w:val="20"/>
                <w:color w:val="auto"/>
              </w:rPr>
            </w:pPr>
            <w:r>
              <w:rPr>
                <w:rFonts w:ascii="Arial" w:cs="Arial" w:eastAsia="Arial" w:hAnsi="Arial"/>
                <w:sz w:val="14"/>
                <w:szCs w:val="14"/>
                <w:color w:val="auto"/>
              </w:rPr>
              <w:t>Finance lease cost:</w:t>
            </w:r>
          </w:p>
        </w:tc>
        <w:tc>
          <w:tcPr>
            <w:tcW w:w="1540" w:type="dxa"/>
            <w:vAlign w:val="bottom"/>
            <w:shd w:val="clear" w:color="auto" w:fill="E0E3F1"/>
          </w:tcPr>
          <w:p>
            <w:pPr>
              <w:spacing w:after="0"/>
              <w:rPr>
                <w:sz w:val="17"/>
                <w:szCs w:val="17"/>
                <w:color w:val="auto"/>
              </w:rPr>
            </w:pPr>
          </w:p>
        </w:tc>
        <w:tc>
          <w:tcPr>
            <w:tcW w:w="640" w:type="dxa"/>
            <w:vAlign w:val="bottom"/>
            <w:shd w:val="clear" w:color="auto" w:fill="E0E3F1"/>
          </w:tcPr>
          <w:p>
            <w:pPr>
              <w:spacing w:after="0"/>
              <w:rPr>
                <w:sz w:val="17"/>
                <w:szCs w:val="17"/>
                <w:color w:val="auto"/>
              </w:rPr>
            </w:pPr>
          </w:p>
        </w:tc>
        <w:tc>
          <w:tcPr>
            <w:tcW w:w="5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3460" w:type="dxa"/>
            <w:vAlign w:val="bottom"/>
          </w:tcPr>
          <w:p>
            <w:pPr>
              <w:ind w:left="240"/>
              <w:spacing w:after="0"/>
              <w:rPr>
                <w:sz w:val="20"/>
                <w:szCs w:val="20"/>
                <w:color w:val="auto"/>
              </w:rPr>
            </w:pPr>
            <w:r>
              <w:rPr>
                <w:rFonts w:ascii="Arial" w:cs="Arial" w:eastAsia="Arial" w:hAnsi="Arial"/>
                <w:sz w:val="14"/>
                <w:szCs w:val="14"/>
                <w:color w:val="auto"/>
              </w:rPr>
              <w:t>Amortization of ROU assets</w:t>
            </w:r>
          </w:p>
        </w:tc>
        <w:tc>
          <w:tcPr>
            <w:tcW w:w="1540" w:type="dxa"/>
            <w:vAlign w:val="bottom"/>
            <w:shd w:val="clear" w:color="auto" w:fill="E0E3F1"/>
          </w:tcPr>
          <w:p>
            <w:pPr>
              <w:spacing w:after="0"/>
              <w:rPr>
                <w:sz w:val="17"/>
                <w:szCs w:val="17"/>
                <w:color w:val="auto"/>
              </w:rPr>
            </w:pPr>
          </w:p>
        </w:tc>
        <w:tc>
          <w:tcPr>
            <w:tcW w:w="640" w:type="dxa"/>
            <w:vAlign w:val="bottom"/>
            <w:shd w:val="clear" w:color="auto" w:fill="E0E3F1"/>
          </w:tcPr>
          <w:p>
            <w:pPr>
              <w:jc w:val="right"/>
              <w:spacing w:after="0"/>
              <w:rPr>
                <w:sz w:val="20"/>
                <w:szCs w:val="20"/>
                <w:color w:val="auto"/>
              </w:rPr>
            </w:pPr>
            <w:r>
              <w:rPr>
                <w:rFonts w:ascii="Arial" w:cs="Arial" w:eastAsia="Arial" w:hAnsi="Arial"/>
                <w:sz w:val="14"/>
                <w:szCs w:val="14"/>
                <w:color w:val="auto"/>
              </w:rPr>
              <w:t>9.1</w:t>
            </w:r>
          </w:p>
        </w:tc>
        <w:tc>
          <w:tcPr>
            <w:tcW w:w="5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9.0</w:t>
            </w:r>
          </w:p>
        </w:tc>
        <w:tc>
          <w:tcPr>
            <w:tcW w:w="56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9.0</w:t>
            </w:r>
          </w:p>
        </w:tc>
      </w:tr>
      <w:tr>
        <w:trPr>
          <w:trHeight w:val="207"/>
        </w:trPr>
        <w:tc>
          <w:tcPr>
            <w:tcW w:w="3460" w:type="dxa"/>
            <w:vAlign w:val="bottom"/>
            <w:tcBorders>
              <w:bottom w:val="single" w:sz="8" w:color="00539B"/>
            </w:tcBorders>
          </w:tcPr>
          <w:p>
            <w:pPr>
              <w:ind w:left="240"/>
              <w:spacing w:after="0"/>
              <w:rPr>
                <w:sz w:val="20"/>
                <w:szCs w:val="20"/>
                <w:color w:val="auto"/>
              </w:rPr>
            </w:pPr>
            <w:r>
              <w:rPr>
                <w:rFonts w:ascii="Arial" w:cs="Arial" w:eastAsia="Arial" w:hAnsi="Arial"/>
                <w:sz w:val="14"/>
                <w:szCs w:val="14"/>
                <w:color w:val="auto"/>
              </w:rPr>
              <w:t>Interest on lease liabilities</w:t>
            </w:r>
          </w:p>
        </w:tc>
        <w:tc>
          <w:tcPr>
            <w:tcW w:w="1540" w:type="dxa"/>
            <w:vAlign w:val="bottom"/>
            <w:tcBorders>
              <w:bottom w:val="single" w:sz="8" w:color="00539B"/>
            </w:tcBorders>
            <w:shd w:val="clear" w:color="auto" w:fill="E0E3F1"/>
          </w:tcPr>
          <w:p>
            <w:pPr>
              <w:spacing w:after="0"/>
              <w:rPr>
                <w:sz w:val="17"/>
                <w:szCs w:val="17"/>
                <w:color w:val="auto"/>
              </w:rPr>
            </w:pPr>
          </w:p>
        </w:tc>
        <w:tc>
          <w:tcPr>
            <w:tcW w:w="64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3.4</w:t>
            </w:r>
          </w:p>
        </w:tc>
        <w:tc>
          <w:tcPr>
            <w:tcW w:w="520" w:type="dxa"/>
            <w:vAlign w:val="bottom"/>
            <w:tcBorders>
              <w:bottom w:val="single" w:sz="8" w:color="00539B"/>
            </w:tcBorders>
          </w:tcPr>
          <w:p>
            <w:pPr>
              <w:spacing w:after="0"/>
              <w:rPr>
                <w:sz w:val="17"/>
                <w:szCs w:val="17"/>
                <w:color w:val="auto"/>
              </w:rPr>
            </w:pPr>
          </w:p>
        </w:tc>
        <w:tc>
          <w:tcPr>
            <w:tcW w:w="166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3.7</w:t>
            </w:r>
          </w:p>
        </w:tc>
        <w:tc>
          <w:tcPr>
            <w:tcW w:w="560" w:type="dxa"/>
            <w:vAlign w:val="bottom"/>
            <w:tcBorders>
              <w:bottom w:val="single" w:sz="8" w:color="00539B"/>
            </w:tcBorders>
          </w:tcPr>
          <w:p>
            <w:pPr>
              <w:spacing w:after="0"/>
              <w:rPr>
                <w:sz w:val="17"/>
                <w:szCs w:val="17"/>
                <w:color w:val="auto"/>
              </w:rPr>
            </w:pPr>
          </w:p>
        </w:tc>
        <w:tc>
          <w:tcPr>
            <w:tcW w:w="170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3.9</w:t>
            </w:r>
          </w:p>
        </w:tc>
      </w:tr>
      <w:tr>
        <w:trPr>
          <w:trHeight w:val="207"/>
        </w:trPr>
        <w:tc>
          <w:tcPr>
            <w:tcW w:w="346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 xml:space="preserve">Net lease cost </w:t>
            </w:r>
            <w:r>
              <w:rPr>
                <w:rFonts w:ascii="Arial" w:cs="Arial" w:eastAsia="Arial" w:hAnsi="Arial"/>
                <w:sz w:val="9"/>
                <w:szCs w:val="9"/>
                <w:color w:val="auto"/>
              </w:rPr>
              <w:t>(1)</w:t>
            </w:r>
          </w:p>
        </w:tc>
        <w:tc>
          <w:tcPr>
            <w:tcW w:w="1540" w:type="dxa"/>
            <w:vAlign w:val="bottom"/>
            <w:tcBorders>
              <w:bottom w:val="single" w:sz="8" w:color="00539B"/>
            </w:tcBorders>
            <w:shd w:val="clear" w:color="auto" w:fill="E0E3F1"/>
          </w:tcPr>
          <w:p>
            <w:pPr>
              <w:jc w:val="right"/>
              <w:ind w:right="138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89.5</w:t>
            </w:r>
          </w:p>
        </w:tc>
        <w:tc>
          <w:tcPr>
            <w:tcW w:w="520" w:type="dxa"/>
            <w:vAlign w:val="bottom"/>
            <w:tcBorders>
              <w:bottom w:val="single" w:sz="8" w:color="00539B"/>
            </w:tcBorders>
          </w:tcPr>
          <w:p>
            <w:pPr>
              <w:jc w:val="right"/>
              <w:ind w:right="34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88.4</w:t>
            </w:r>
          </w:p>
        </w:tc>
        <w:tc>
          <w:tcPr>
            <w:tcW w:w="560" w:type="dxa"/>
            <w:vAlign w:val="bottom"/>
            <w:tcBorders>
              <w:bottom w:val="single" w:sz="8" w:color="00539B"/>
            </w:tcBorders>
          </w:tcPr>
          <w:p>
            <w:pPr>
              <w:jc w:val="right"/>
              <w:ind w:right="36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87.5</w:t>
            </w:r>
          </w:p>
        </w:tc>
      </w:tr>
    </w:tbl>
    <w:p>
      <w:pPr>
        <w:spacing w:after="0" w:line="153" w:lineRule="exact"/>
        <w:rPr>
          <w:sz w:val="20"/>
          <w:szCs w:val="20"/>
          <w:color w:val="auto"/>
        </w:rPr>
      </w:pPr>
    </w:p>
    <w:p>
      <w:pPr>
        <w:ind w:left="20"/>
        <w:spacing w:after="0"/>
        <w:rPr>
          <w:sz w:val="20"/>
          <w:szCs w:val="20"/>
          <w:color w:val="auto"/>
        </w:rPr>
      </w:pPr>
      <w:r>
        <w:rPr>
          <w:rFonts w:ascii="Arial" w:cs="Arial" w:eastAsia="Arial" w:hAnsi="Arial"/>
          <w:sz w:val="14"/>
          <w:szCs w:val="14"/>
          <w:color w:val="auto"/>
        </w:rPr>
        <w:t>(1) Net lease cost does not include short-term leases or sublease income, both of which are immaterial.</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as of November 30 were as follows (in millions):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000" w:type="dxa"/>
            <w:vAlign w:val="bottom"/>
            <w:tcBorders>
              <w:top w:val="single" w:sz="8" w:color="00539B"/>
            </w:tcBorders>
          </w:tcPr>
          <w:p>
            <w:pPr>
              <w:ind w:left="20"/>
              <w:spacing w:after="0"/>
              <w:rPr>
                <w:sz w:val="20"/>
                <w:szCs w:val="20"/>
                <w:color w:val="auto"/>
              </w:rPr>
            </w:pPr>
            <w:r>
              <w:rPr>
                <w:rFonts w:ascii="Arial" w:cs="Arial" w:eastAsia="Arial" w:hAnsi="Arial"/>
                <w:sz w:val="14"/>
                <w:szCs w:val="14"/>
                <w:color w:val="auto"/>
              </w:rPr>
              <w:t>Leases</w:t>
            </w:r>
          </w:p>
        </w:tc>
        <w:tc>
          <w:tcPr>
            <w:tcW w:w="3320" w:type="dxa"/>
            <w:vAlign w:val="bottom"/>
            <w:tcBorders>
              <w:top w:val="single" w:sz="8" w:color="00539B"/>
              <w:bottom w:val="single" w:sz="8" w:color="00539B"/>
            </w:tcBorders>
          </w:tcPr>
          <w:p>
            <w:pPr>
              <w:ind w:left="1300"/>
              <w:spacing w:after="0"/>
              <w:rPr>
                <w:sz w:val="20"/>
                <w:szCs w:val="20"/>
                <w:color w:val="auto"/>
              </w:rPr>
            </w:pPr>
            <w:r>
              <w:rPr>
                <w:rFonts w:ascii="Arial" w:cs="Arial" w:eastAsia="Arial" w:hAnsi="Arial"/>
                <w:sz w:val="14"/>
                <w:szCs w:val="14"/>
                <w:color w:val="auto"/>
              </w:rPr>
              <w:t>Classification</w:t>
            </w:r>
          </w:p>
        </w:tc>
        <w:tc>
          <w:tcPr>
            <w:tcW w:w="520" w:type="dxa"/>
            <w:vAlign w:val="bottom"/>
            <w:tcBorders>
              <w:top w:val="single" w:sz="8" w:color="00539B"/>
              <w:bottom w:val="single" w:sz="8" w:color="00539B"/>
            </w:tcBorders>
            <w:shd w:val="clear" w:color="auto" w:fill="E0E3F1"/>
          </w:tcPr>
          <w:p>
            <w:pPr>
              <w:spacing w:after="0"/>
              <w:rPr>
                <w:sz w:val="19"/>
                <w:szCs w:val="19"/>
                <w:color w:val="auto"/>
              </w:rPr>
            </w:pPr>
          </w:p>
        </w:tc>
        <w:tc>
          <w:tcPr>
            <w:tcW w:w="1660" w:type="dxa"/>
            <w:vAlign w:val="bottom"/>
            <w:tcBorders>
              <w:top w:val="single" w:sz="8" w:color="00539B"/>
              <w:bottom w:val="single" w:sz="8" w:color="00539B"/>
            </w:tcBorders>
            <w:shd w:val="clear" w:color="auto" w:fill="E0E3F1"/>
          </w:tcPr>
          <w:p>
            <w:pPr>
              <w:jc w:val="right"/>
              <w:ind w:right="848"/>
              <w:spacing w:after="0"/>
              <w:rPr>
                <w:sz w:val="20"/>
                <w:szCs w:val="20"/>
                <w:color w:val="auto"/>
              </w:rPr>
            </w:pPr>
            <w:r>
              <w:rPr>
                <w:rFonts w:ascii="Arial" w:cs="Arial" w:eastAsia="Arial" w:hAnsi="Arial"/>
                <w:sz w:val="14"/>
                <w:szCs w:val="14"/>
                <w:color w:val="auto"/>
              </w:rPr>
              <w:t>2025</w:t>
            </w:r>
          </w:p>
        </w:tc>
        <w:tc>
          <w:tcPr>
            <w:tcW w:w="520" w:type="dxa"/>
            <w:vAlign w:val="bottom"/>
            <w:tcBorders>
              <w:top w:val="single" w:sz="8" w:color="00539B"/>
              <w:bottom w:val="single" w:sz="8" w:color="00539B"/>
            </w:tcBorders>
          </w:tcPr>
          <w:p>
            <w:pPr>
              <w:spacing w:after="0"/>
              <w:rPr>
                <w:sz w:val="19"/>
                <w:szCs w:val="19"/>
                <w:color w:val="auto"/>
              </w:rPr>
            </w:pPr>
          </w:p>
        </w:tc>
        <w:tc>
          <w:tcPr>
            <w:tcW w:w="1660" w:type="dxa"/>
            <w:vAlign w:val="bottom"/>
            <w:tcBorders>
              <w:top w:val="single" w:sz="8" w:color="00539B"/>
              <w:bottom w:val="single" w:sz="8" w:color="00539B"/>
            </w:tcBorders>
          </w:tcPr>
          <w:p>
            <w:pPr>
              <w:jc w:val="right"/>
              <w:ind w:right="868"/>
              <w:spacing w:after="0"/>
              <w:rPr>
                <w:sz w:val="20"/>
                <w:szCs w:val="20"/>
                <w:color w:val="auto"/>
              </w:rPr>
            </w:pPr>
            <w:r>
              <w:rPr>
                <w:rFonts w:ascii="Arial" w:cs="Arial" w:eastAsia="Arial" w:hAnsi="Arial"/>
                <w:sz w:val="14"/>
                <w:szCs w:val="14"/>
                <w:color w:val="auto"/>
              </w:rPr>
              <w:t>2024</w:t>
            </w:r>
          </w:p>
        </w:tc>
      </w:tr>
      <w:tr>
        <w:trPr>
          <w:trHeight w:val="181"/>
        </w:trPr>
        <w:tc>
          <w:tcPr>
            <w:tcW w:w="3000" w:type="dxa"/>
            <w:vAlign w:val="bottom"/>
          </w:tcPr>
          <w:p>
            <w:pPr>
              <w:ind w:left="20"/>
              <w:spacing w:after="0"/>
              <w:rPr>
                <w:sz w:val="20"/>
                <w:szCs w:val="20"/>
                <w:color w:val="auto"/>
              </w:rPr>
            </w:pPr>
            <w:r>
              <w:rPr>
                <w:rFonts w:ascii="Arial" w:cs="Arial" w:eastAsia="Arial" w:hAnsi="Arial"/>
                <w:sz w:val="14"/>
                <w:szCs w:val="14"/>
                <w:color w:val="auto"/>
              </w:rPr>
              <w:t>Assets:</w:t>
            </w:r>
          </w:p>
        </w:tc>
        <w:tc>
          <w:tcPr>
            <w:tcW w:w="3320" w:type="dxa"/>
            <w:vAlign w:val="bottom"/>
          </w:tcPr>
          <w:p>
            <w:pPr>
              <w:spacing w:after="0"/>
              <w:rPr>
                <w:sz w:val="15"/>
                <w:szCs w:val="15"/>
                <w:color w:val="auto"/>
              </w:rPr>
            </w:pPr>
          </w:p>
        </w:tc>
        <w:tc>
          <w:tcPr>
            <w:tcW w:w="520" w:type="dxa"/>
            <w:vAlign w:val="bottom"/>
            <w:shd w:val="clear" w:color="auto" w:fill="E0E3F1"/>
          </w:tcPr>
          <w:p>
            <w:pPr>
              <w:spacing w:after="0"/>
              <w:rPr>
                <w:sz w:val="15"/>
                <w:szCs w:val="15"/>
                <w:color w:val="auto"/>
              </w:rPr>
            </w:pPr>
          </w:p>
        </w:tc>
        <w:tc>
          <w:tcPr>
            <w:tcW w:w="1660" w:type="dxa"/>
            <w:vAlign w:val="bottom"/>
            <w:shd w:val="clear" w:color="auto" w:fill="E0E3F1"/>
          </w:tcPr>
          <w:p>
            <w:pPr>
              <w:spacing w:after="0"/>
              <w:rPr>
                <w:sz w:val="15"/>
                <w:szCs w:val="15"/>
                <w:color w:val="auto"/>
              </w:rPr>
            </w:pPr>
          </w:p>
        </w:tc>
        <w:tc>
          <w:tcPr>
            <w:tcW w:w="52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203"/>
        </w:trPr>
        <w:tc>
          <w:tcPr>
            <w:tcW w:w="3000" w:type="dxa"/>
            <w:vAlign w:val="bottom"/>
          </w:tcPr>
          <w:p>
            <w:pPr>
              <w:ind w:left="360"/>
              <w:spacing w:after="0"/>
              <w:rPr>
                <w:sz w:val="20"/>
                <w:szCs w:val="20"/>
                <w:color w:val="auto"/>
              </w:rPr>
            </w:pPr>
            <w:r>
              <w:rPr>
                <w:rFonts w:ascii="Arial" w:cs="Arial" w:eastAsia="Arial" w:hAnsi="Arial"/>
                <w:sz w:val="14"/>
                <w:szCs w:val="14"/>
                <w:color w:val="auto"/>
              </w:rPr>
              <w:t>Operating lease ROU assets</w:t>
            </w:r>
          </w:p>
        </w:tc>
        <w:tc>
          <w:tcPr>
            <w:tcW w:w="3320" w:type="dxa"/>
            <w:vAlign w:val="bottom"/>
          </w:tcPr>
          <w:p>
            <w:pPr>
              <w:ind w:left="140"/>
              <w:spacing w:after="0"/>
              <w:rPr>
                <w:sz w:val="20"/>
                <w:szCs w:val="20"/>
                <w:color w:val="auto"/>
              </w:rPr>
            </w:pPr>
            <w:r>
              <w:rPr>
                <w:rFonts w:ascii="Arial" w:cs="Arial" w:eastAsia="Arial" w:hAnsi="Arial"/>
                <w:sz w:val="14"/>
                <w:szCs w:val="14"/>
                <w:color w:val="auto"/>
              </w:rPr>
              <w:t>Other long-term assets</w:t>
            </w:r>
          </w:p>
        </w:tc>
        <w:tc>
          <w:tcPr>
            <w:tcW w:w="520" w:type="dxa"/>
            <w:vAlign w:val="bottom"/>
            <w:shd w:val="clear" w:color="auto" w:fill="E0E3F1"/>
          </w:tcPr>
          <w:p>
            <w:pPr>
              <w:jc w:val="right"/>
              <w:ind w:right="348"/>
              <w:spacing w:after="0"/>
              <w:rPr>
                <w:sz w:val="20"/>
                <w:szCs w:val="20"/>
                <w:color w:val="auto"/>
              </w:rPr>
            </w:pPr>
            <w:r>
              <w:rPr>
                <w:rFonts w:ascii="Arial" w:cs="Arial" w:eastAsia="Arial" w:hAnsi="Arial"/>
                <w:sz w:val="14"/>
                <w:szCs w:val="14"/>
                <w:color w:val="auto"/>
              </w:rPr>
              <w:t>$</w:t>
            </w:r>
          </w:p>
        </w:tc>
        <w:tc>
          <w:tcPr>
            <w:tcW w:w="16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216.8</w:t>
            </w: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211.0</w:t>
            </w:r>
          </w:p>
        </w:tc>
      </w:tr>
      <w:tr>
        <w:trPr>
          <w:trHeight w:val="207"/>
        </w:trPr>
        <w:tc>
          <w:tcPr>
            <w:tcW w:w="3000" w:type="dxa"/>
            <w:vAlign w:val="bottom"/>
            <w:tcBorders>
              <w:bottom w:val="single" w:sz="8" w:color="00539B"/>
            </w:tcBorders>
          </w:tcPr>
          <w:p>
            <w:pPr>
              <w:ind w:left="360"/>
              <w:spacing w:after="0"/>
              <w:rPr>
                <w:sz w:val="20"/>
                <w:szCs w:val="20"/>
                <w:color w:val="auto"/>
              </w:rPr>
            </w:pPr>
            <w:r>
              <w:rPr>
                <w:rFonts w:ascii="Arial" w:cs="Arial" w:eastAsia="Arial" w:hAnsi="Arial"/>
                <w:sz w:val="14"/>
                <w:szCs w:val="14"/>
                <w:color w:val="auto"/>
              </w:rPr>
              <w:t>Finance lease ROU assets</w:t>
            </w:r>
          </w:p>
        </w:tc>
        <w:tc>
          <w:tcPr>
            <w:tcW w:w="3320" w:type="dxa"/>
            <w:vAlign w:val="bottom"/>
            <w:tcBorders>
              <w:bottom w:val="single" w:sz="8" w:color="00539B"/>
            </w:tcBorders>
          </w:tcPr>
          <w:p>
            <w:pPr>
              <w:ind w:left="140"/>
              <w:spacing w:after="0"/>
              <w:rPr>
                <w:sz w:val="20"/>
                <w:szCs w:val="20"/>
                <w:color w:val="auto"/>
              </w:rPr>
            </w:pPr>
            <w:r>
              <w:rPr>
                <w:rFonts w:ascii="Arial" w:cs="Arial" w:eastAsia="Arial" w:hAnsi="Arial"/>
                <w:sz w:val="14"/>
                <w:szCs w:val="14"/>
                <w:color w:val="auto"/>
              </w:rPr>
              <w:t>Property, plant and equipment, net</w:t>
            </w:r>
          </w:p>
        </w:tc>
        <w:tc>
          <w:tcPr>
            <w:tcW w:w="520" w:type="dxa"/>
            <w:vAlign w:val="bottom"/>
            <w:tcBorders>
              <w:bottom w:val="single" w:sz="8" w:color="00539B"/>
            </w:tcBorders>
            <w:shd w:val="clear" w:color="auto" w:fill="E0E3F1"/>
          </w:tcPr>
          <w:p>
            <w:pPr>
              <w:spacing w:after="0"/>
              <w:rPr>
                <w:sz w:val="17"/>
                <w:szCs w:val="17"/>
                <w:color w:val="auto"/>
              </w:rPr>
            </w:pPr>
          </w:p>
        </w:tc>
        <w:tc>
          <w:tcPr>
            <w:tcW w:w="166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77.5</w:t>
            </w:r>
          </w:p>
        </w:tc>
        <w:tc>
          <w:tcPr>
            <w:tcW w:w="520" w:type="dxa"/>
            <w:vAlign w:val="bottom"/>
            <w:tcBorders>
              <w:bottom w:val="single" w:sz="8" w:color="00539B"/>
            </w:tcBorders>
          </w:tcPr>
          <w:p>
            <w:pPr>
              <w:spacing w:after="0"/>
              <w:rPr>
                <w:sz w:val="17"/>
                <w:szCs w:val="17"/>
                <w:color w:val="auto"/>
              </w:rPr>
            </w:pPr>
          </w:p>
        </w:tc>
        <w:tc>
          <w:tcPr>
            <w:tcW w:w="1660" w:type="dxa"/>
            <w:vAlign w:val="bottom"/>
            <w:tcBorders>
              <w:bottom w:val="single" w:sz="8" w:color="00539B"/>
            </w:tcBorders>
          </w:tcPr>
          <w:p>
            <w:pPr>
              <w:jc w:val="right"/>
              <w:ind w:right="8"/>
              <w:spacing w:after="0"/>
              <w:rPr>
                <w:sz w:val="20"/>
                <w:szCs w:val="20"/>
                <w:color w:val="auto"/>
              </w:rPr>
            </w:pPr>
            <w:r>
              <w:rPr>
                <w:rFonts w:ascii="Arial" w:cs="Arial" w:eastAsia="Arial" w:hAnsi="Arial"/>
                <w:sz w:val="14"/>
                <w:szCs w:val="14"/>
                <w:color w:val="auto"/>
              </w:rPr>
              <w:t>86.1</w:t>
            </w:r>
          </w:p>
        </w:tc>
      </w:tr>
      <w:tr>
        <w:trPr>
          <w:trHeight w:val="207"/>
        </w:trPr>
        <w:tc>
          <w:tcPr>
            <w:tcW w:w="3000" w:type="dxa"/>
            <w:vAlign w:val="bottom"/>
          </w:tcPr>
          <w:p>
            <w:pPr>
              <w:ind w:left="20"/>
              <w:spacing w:after="0"/>
              <w:rPr>
                <w:sz w:val="20"/>
                <w:szCs w:val="20"/>
                <w:color w:val="auto"/>
              </w:rPr>
            </w:pPr>
            <w:r>
              <w:rPr>
                <w:rFonts w:ascii="Arial" w:cs="Arial" w:eastAsia="Arial" w:hAnsi="Arial"/>
                <w:sz w:val="14"/>
                <w:szCs w:val="14"/>
                <w:color w:val="auto"/>
              </w:rPr>
              <w:t>Total leased assets</w:t>
            </w:r>
          </w:p>
        </w:tc>
        <w:tc>
          <w:tcPr>
            <w:tcW w:w="3320" w:type="dxa"/>
            <w:vAlign w:val="bottom"/>
          </w:tcPr>
          <w:p>
            <w:pPr>
              <w:spacing w:after="0"/>
              <w:rPr>
                <w:sz w:val="18"/>
                <w:szCs w:val="18"/>
                <w:color w:val="auto"/>
              </w:rPr>
            </w:pPr>
          </w:p>
        </w:tc>
        <w:tc>
          <w:tcPr>
            <w:tcW w:w="520" w:type="dxa"/>
            <w:vAlign w:val="bottom"/>
            <w:tcBorders>
              <w:bottom w:val="single" w:sz="8" w:color="00539B"/>
            </w:tcBorders>
            <w:shd w:val="clear" w:color="auto" w:fill="E0E3F1"/>
          </w:tcPr>
          <w:p>
            <w:pPr>
              <w:jc w:val="right"/>
              <w:ind w:right="34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294.3</w:t>
            </w:r>
          </w:p>
        </w:tc>
        <w:tc>
          <w:tcPr>
            <w:tcW w:w="520" w:type="dxa"/>
            <w:vAlign w:val="bottom"/>
            <w:tcBorders>
              <w:bottom w:val="single" w:sz="8" w:color="00539B"/>
            </w:tcBorders>
          </w:tcPr>
          <w:p>
            <w:pPr>
              <w:jc w:val="right"/>
              <w:ind w:right="34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00539B"/>
            </w:tcBorders>
          </w:tcPr>
          <w:p>
            <w:pPr>
              <w:jc w:val="right"/>
              <w:ind w:right="8"/>
              <w:spacing w:after="0"/>
              <w:rPr>
                <w:sz w:val="20"/>
                <w:szCs w:val="20"/>
                <w:color w:val="auto"/>
              </w:rPr>
            </w:pPr>
            <w:r>
              <w:rPr>
                <w:rFonts w:ascii="Arial" w:cs="Arial" w:eastAsia="Arial" w:hAnsi="Arial"/>
                <w:sz w:val="14"/>
                <w:szCs w:val="14"/>
                <w:color w:val="auto"/>
              </w:rPr>
              <w:t>297.1</w:t>
            </w:r>
          </w:p>
        </w:tc>
      </w:tr>
      <w:tr>
        <w:trPr>
          <w:trHeight w:val="451"/>
        </w:trPr>
        <w:tc>
          <w:tcPr>
            <w:tcW w:w="3000" w:type="dxa"/>
            <w:vAlign w:val="bottom"/>
          </w:tcPr>
          <w:p>
            <w:pPr>
              <w:ind w:left="20"/>
              <w:spacing w:after="0"/>
              <w:rPr>
                <w:sz w:val="20"/>
                <w:szCs w:val="20"/>
                <w:color w:val="auto"/>
              </w:rPr>
            </w:pPr>
            <w:r>
              <w:rPr>
                <w:rFonts w:ascii="Arial" w:cs="Arial" w:eastAsia="Arial" w:hAnsi="Arial"/>
                <w:sz w:val="14"/>
                <w:szCs w:val="14"/>
                <w:color w:val="auto"/>
              </w:rPr>
              <w:t>Liabilities:</w:t>
            </w:r>
          </w:p>
        </w:tc>
        <w:tc>
          <w:tcPr>
            <w:tcW w:w="3320" w:type="dxa"/>
            <w:vAlign w:val="bottom"/>
          </w:tcPr>
          <w:p>
            <w:pPr>
              <w:spacing w:after="0"/>
              <w:rPr>
                <w:sz w:val="24"/>
                <w:szCs w:val="24"/>
                <w:color w:val="auto"/>
              </w:rPr>
            </w:pPr>
          </w:p>
        </w:tc>
        <w:tc>
          <w:tcPr>
            <w:tcW w:w="520" w:type="dxa"/>
            <w:vAlign w:val="bottom"/>
            <w:shd w:val="clear" w:color="auto" w:fill="E0E3F1"/>
          </w:tcPr>
          <w:p>
            <w:pPr>
              <w:spacing w:after="0"/>
              <w:rPr>
                <w:sz w:val="24"/>
                <w:szCs w:val="24"/>
                <w:color w:val="auto"/>
              </w:rPr>
            </w:pPr>
          </w:p>
        </w:tc>
        <w:tc>
          <w:tcPr>
            <w:tcW w:w="1660" w:type="dxa"/>
            <w:vAlign w:val="bottom"/>
            <w:shd w:val="clear" w:color="auto" w:fill="E0E3F1"/>
          </w:tcPr>
          <w:p>
            <w:pPr>
              <w:spacing w:after="0"/>
              <w:rPr>
                <w:sz w:val="24"/>
                <w:szCs w:val="24"/>
                <w:color w:val="auto"/>
              </w:rPr>
            </w:pPr>
          </w:p>
        </w:tc>
        <w:tc>
          <w:tcPr>
            <w:tcW w:w="52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03"/>
        </w:trPr>
        <w:tc>
          <w:tcPr>
            <w:tcW w:w="3000" w:type="dxa"/>
            <w:vAlign w:val="bottom"/>
          </w:tcPr>
          <w:p>
            <w:pPr>
              <w:ind w:left="140"/>
              <w:spacing w:after="0"/>
              <w:rPr>
                <w:sz w:val="20"/>
                <w:szCs w:val="20"/>
                <w:color w:val="auto"/>
              </w:rPr>
            </w:pPr>
            <w:r>
              <w:rPr>
                <w:rFonts w:ascii="Arial" w:cs="Arial" w:eastAsia="Arial" w:hAnsi="Arial"/>
                <w:sz w:val="14"/>
                <w:szCs w:val="14"/>
                <w:color w:val="auto"/>
              </w:rPr>
              <w:t>Current</w:t>
            </w:r>
          </w:p>
        </w:tc>
        <w:tc>
          <w:tcPr>
            <w:tcW w:w="3320" w:type="dxa"/>
            <w:vAlign w:val="bottom"/>
          </w:tcPr>
          <w:p>
            <w:pPr>
              <w:spacing w:after="0"/>
              <w:rPr>
                <w:sz w:val="17"/>
                <w:szCs w:val="17"/>
                <w:color w:val="auto"/>
              </w:rPr>
            </w:pPr>
          </w:p>
        </w:tc>
        <w:tc>
          <w:tcPr>
            <w:tcW w:w="520" w:type="dxa"/>
            <w:vAlign w:val="bottom"/>
            <w:shd w:val="clear" w:color="auto" w:fill="E0E3F1"/>
          </w:tcPr>
          <w:p>
            <w:pPr>
              <w:spacing w:after="0"/>
              <w:rPr>
                <w:sz w:val="17"/>
                <w:szCs w:val="17"/>
                <w:color w:val="auto"/>
              </w:rPr>
            </w:pPr>
          </w:p>
        </w:tc>
        <w:tc>
          <w:tcPr>
            <w:tcW w:w="1660" w:type="dxa"/>
            <w:vAlign w:val="bottom"/>
            <w:shd w:val="clear" w:color="auto" w:fill="E0E3F1"/>
          </w:tcPr>
          <w:p>
            <w:pPr>
              <w:spacing w:after="0"/>
              <w:rPr>
                <w:sz w:val="17"/>
                <w:szCs w:val="17"/>
                <w:color w:val="auto"/>
              </w:rPr>
            </w:pPr>
          </w:p>
        </w:tc>
        <w:tc>
          <w:tcPr>
            <w:tcW w:w="52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3"/>
        </w:trPr>
        <w:tc>
          <w:tcPr>
            <w:tcW w:w="3000" w:type="dxa"/>
            <w:vAlign w:val="bottom"/>
          </w:tcPr>
          <w:p>
            <w:pPr>
              <w:ind w:left="360"/>
              <w:spacing w:after="0"/>
              <w:rPr>
                <w:sz w:val="20"/>
                <w:szCs w:val="20"/>
                <w:color w:val="auto"/>
              </w:rPr>
            </w:pPr>
            <w:r>
              <w:rPr>
                <w:rFonts w:ascii="Arial" w:cs="Arial" w:eastAsia="Arial" w:hAnsi="Arial"/>
                <w:sz w:val="14"/>
                <w:szCs w:val="14"/>
                <w:color w:val="auto"/>
              </w:rPr>
              <w:t>Operating</w:t>
            </w:r>
          </w:p>
        </w:tc>
        <w:tc>
          <w:tcPr>
            <w:tcW w:w="3320" w:type="dxa"/>
            <w:vAlign w:val="bottom"/>
          </w:tcPr>
          <w:p>
            <w:pPr>
              <w:ind w:left="140"/>
              <w:spacing w:after="0"/>
              <w:rPr>
                <w:sz w:val="20"/>
                <w:szCs w:val="20"/>
                <w:color w:val="auto"/>
              </w:rPr>
            </w:pPr>
            <w:r>
              <w:rPr>
                <w:rFonts w:ascii="Arial" w:cs="Arial" w:eastAsia="Arial" w:hAnsi="Arial"/>
                <w:sz w:val="14"/>
                <w:szCs w:val="14"/>
                <w:color w:val="auto"/>
              </w:rPr>
              <w:t>Other accrued liabilities</w:t>
            </w:r>
          </w:p>
        </w:tc>
        <w:tc>
          <w:tcPr>
            <w:tcW w:w="520" w:type="dxa"/>
            <w:vAlign w:val="bottom"/>
            <w:shd w:val="clear" w:color="auto" w:fill="E0E3F1"/>
          </w:tcPr>
          <w:p>
            <w:pPr>
              <w:jc w:val="right"/>
              <w:ind w:right="348"/>
              <w:spacing w:after="0"/>
              <w:rPr>
                <w:sz w:val="20"/>
                <w:szCs w:val="20"/>
                <w:color w:val="auto"/>
              </w:rPr>
            </w:pPr>
            <w:r>
              <w:rPr>
                <w:rFonts w:ascii="Arial" w:cs="Arial" w:eastAsia="Arial" w:hAnsi="Arial"/>
                <w:sz w:val="14"/>
                <w:szCs w:val="14"/>
                <w:color w:val="auto"/>
              </w:rPr>
              <w:t>$</w:t>
            </w:r>
          </w:p>
        </w:tc>
        <w:tc>
          <w:tcPr>
            <w:tcW w:w="16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58.9</w:t>
            </w: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55.7</w:t>
            </w:r>
          </w:p>
        </w:tc>
      </w:tr>
      <w:tr>
        <w:trPr>
          <w:trHeight w:val="203"/>
        </w:trPr>
        <w:tc>
          <w:tcPr>
            <w:tcW w:w="3000" w:type="dxa"/>
            <w:vAlign w:val="bottom"/>
          </w:tcPr>
          <w:p>
            <w:pPr>
              <w:ind w:left="360"/>
              <w:spacing w:after="0"/>
              <w:rPr>
                <w:sz w:val="20"/>
                <w:szCs w:val="20"/>
                <w:color w:val="auto"/>
              </w:rPr>
            </w:pPr>
            <w:r>
              <w:rPr>
                <w:rFonts w:ascii="Arial" w:cs="Arial" w:eastAsia="Arial" w:hAnsi="Arial"/>
                <w:sz w:val="14"/>
                <w:szCs w:val="14"/>
                <w:color w:val="auto"/>
              </w:rPr>
              <w:t>Finance</w:t>
            </w:r>
          </w:p>
        </w:tc>
        <w:tc>
          <w:tcPr>
            <w:tcW w:w="3320" w:type="dxa"/>
            <w:vAlign w:val="bottom"/>
          </w:tcPr>
          <w:p>
            <w:pPr>
              <w:ind w:left="140"/>
              <w:spacing w:after="0"/>
              <w:rPr>
                <w:sz w:val="20"/>
                <w:szCs w:val="20"/>
                <w:color w:val="auto"/>
              </w:rPr>
            </w:pPr>
            <w:r>
              <w:rPr>
                <w:rFonts w:ascii="Arial" w:cs="Arial" w:eastAsia="Arial" w:hAnsi="Arial"/>
                <w:sz w:val="14"/>
                <w:szCs w:val="14"/>
                <w:color w:val="auto"/>
              </w:rPr>
              <w:t>Current portion of long-term debt</w:t>
            </w:r>
          </w:p>
        </w:tc>
        <w:tc>
          <w:tcPr>
            <w:tcW w:w="520" w:type="dxa"/>
            <w:vAlign w:val="bottom"/>
            <w:shd w:val="clear" w:color="auto" w:fill="E0E3F1"/>
          </w:tcPr>
          <w:p>
            <w:pPr>
              <w:spacing w:after="0"/>
              <w:rPr>
                <w:sz w:val="17"/>
                <w:szCs w:val="17"/>
                <w:color w:val="auto"/>
              </w:rPr>
            </w:pPr>
          </w:p>
        </w:tc>
        <w:tc>
          <w:tcPr>
            <w:tcW w:w="16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9.3</w:t>
            </w:r>
          </w:p>
        </w:tc>
        <w:tc>
          <w:tcPr>
            <w:tcW w:w="520" w:type="dxa"/>
            <w:vAlign w:val="bottom"/>
          </w:tcPr>
          <w:p>
            <w:pPr>
              <w:spacing w:after="0"/>
              <w:rPr>
                <w:sz w:val="17"/>
                <w:szCs w:val="17"/>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8.8</w:t>
            </w:r>
          </w:p>
        </w:tc>
      </w:tr>
      <w:tr>
        <w:trPr>
          <w:trHeight w:val="203"/>
        </w:trPr>
        <w:tc>
          <w:tcPr>
            <w:tcW w:w="3000" w:type="dxa"/>
            <w:vAlign w:val="bottom"/>
          </w:tcPr>
          <w:p>
            <w:pPr>
              <w:ind w:left="20"/>
              <w:spacing w:after="0"/>
              <w:rPr>
                <w:sz w:val="20"/>
                <w:szCs w:val="20"/>
                <w:color w:val="auto"/>
              </w:rPr>
            </w:pPr>
            <w:r>
              <w:rPr>
                <w:rFonts w:ascii="Arial" w:cs="Arial" w:eastAsia="Arial" w:hAnsi="Arial"/>
                <w:sz w:val="14"/>
                <w:szCs w:val="14"/>
                <w:color w:val="auto"/>
              </w:rPr>
              <w:t>Non-current</w:t>
            </w:r>
          </w:p>
        </w:tc>
        <w:tc>
          <w:tcPr>
            <w:tcW w:w="3320" w:type="dxa"/>
            <w:vAlign w:val="bottom"/>
          </w:tcPr>
          <w:p>
            <w:pPr>
              <w:spacing w:after="0"/>
              <w:rPr>
                <w:sz w:val="17"/>
                <w:szCs w:val="17"/>
                <w:color w:val="auto"/>
              </w:rPr>
            </w:pPr>
          </w:p>
        </w:tc>
        <w:tc>
          <w:tcPr>
            <w:tcW w:w="520" w:type="dxa"/>
            <w:vAlign w:val="bottom"/>
            <w:shd w:val="clear" w:color="auto" w:fill="E0E3F1"/>
          </w:tcPr>
          <w:p>
            <w:pPr>
              <w:spacing w:after="0"/>
              <w:rPr>
                <w:sz w:val="17"/>
                <w:szCs w:val="17"/>
                <w:color w:val="auto"/>
              </w:rPr>
            </w:pPr>
          </w:p>
        </w:tc>
        <w:tc>
          <w:tcPr>
            <w:tcW w:w="1660" w:type="dxa"/>
            <w:vAlign w:val="bottom"/>
            <w:shd w:val="clear" w:color="auto" w:fill="E0E3F1"/>
          </w:tcPr>
          <w:p>
            <w:pPr>
              <w:spacing w:after="0"/>
              <w:rPr>
                <w:sz w:val="17"/>
                <w:szCs w:val="17"/>
                <w:color w:val="auto"/>
              </w:rPr>
            </w:pPr>
          </w:p>
        </w:tc>
        <w:tc>
          <w:tcPr>
            <w:tcW w:w="52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2"/>
        </w:trPr>
        <w:tc>
          <w:tcPr>
            <w:tcW w:w="3000" w:type="dxa"/>
            <w:vAlign w:val="bottom"/>
          </w:tcPr>
          <w:p>
            <w:pPr>
              <w:ind w:left="360"/>
              <w:spacing w:after="0"/>
              <w:rPr>
                <w:sz w:val="20"/>
                <w:szCs w:val="20"/>
                <w:color w:val="auto"/>
              </w:rPr>
            </w:pPr>
            <w:r>
              <w:rPr>
                <w:rFonts w:ascii="Arial" w:cs="Arial" w:eastAsia="Arial" w:hAnsi="Arial"/>
                <w:sz w:val="14"/>
                <w:szCs w:val="14"/>
                <w:color w:val="auto"/>
              </w:rPr>
              <w:t>Operating</w:t>
            </w:r>
          </w:p>
        </w:tc>
        <w:tc>
          <w:tcPr>
            <w:tcW w:w="3320" w:type="dxa"/>
            <w:vAlign w:val="bottom"/>
          </w:tcPr>
          <w:p>
            <w:pPr>
              <w:ind w:left="140"/>
              <w:spacing w:after="0"/>
              <w:rPr>
                <w:sz w:val="20"/>
                <w:szCs w:val="20"/>
                <w:color w:val="auto"/>
              </w:rPr>
            </w:pPr>
            <w:r>
              <w:rPr>
                <w:rFonts w:ascii="Arial" w:cs="Arial" w:eastAsia="Arial" w:hAnsi="Arial"/>
                <w:sz w:val="14"/>
                <w:szCs w:val="14"/>
                <w:color w:val="auto"/>
              </w:rPr>
              <w:t>Other long-term liabilities</w:t>
            </w:r>
          </w:p>
        </w:tc>
        <w:tc>
          <w:tcPr>
            <w:tcW w:w="520" w:type="dxa"/>
            <w:vAlign w:val="bottom"/>
            <w:shd w:val="clear" w:color="auto" w:fill="E0E3F1"/>
          </w:tcPr>
          <w:p>
            <w:pPr>
              <w:spacing w:after="0"/>
              <w:rPr>
                <w:sz w:val="17"/>
                <w:szCs w:val="17"/>
                <w:color w:val="auto"/>
              </w:rPr>
            </w:pPr>
          </w:p>
        </w:tc>
        <w:tc>
          <w:tcPr>
            <w:tcW w:w="16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167.7</w:t>
            </w:r>
          </w:p>
        </w:tc>
        <w:tc>
          <w:tcPr>
            <w:tcW w:w="520" w:type="dxa"/>
            <w:vAlign w:val="bottom"/>
          </w:tcPr>
          <w:p>
            <w:pPr>
              <w:spacing w:after="0"/>
              <w:rPr>
                <w:sz w:val="17"/>
                <w:szCs w:val="17"/>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166.6</w:t>
            </w:r>
          </w:p>
        </w:tc>
      </w:tr>
      <w:tr>
        <w:trPr>
          <w:trHeight w:val="207"/>
        </w:trPr>
        <w:tc>
          <w:tcPr>
            <w:tcW w:w="3000" w:type="dxa"/>
            <w:vAlign w:val="bottom"/>
            <w:tcBorders>
              <w:bottom w:val="single" w:sz="8" w:color="00539B"/>
            </w:tcBorders>
          </w:tcPr>
          <w:p>
            <w:pPr>
              <w:ind w:left="360"/>
              <w:spacing w:after="0"/>
              <w:rPr>
                <w:sz w:val="20"/>
                <w:szCs w:val="20"/>
                <w:color w:val="auto"/>
              </w:rPr>
            </w:pPr>
            <w:r>
              <w:rPr>
                <w:rFonts w:ascii="Arial" w:cs="Arial" w:eastAsia="Arial" w:hAnsi="Arial"/>
                <w:sz w:val="14"/>
                <w:szCs w:val="14"/>
                <w:color w:val="auto"/>
              </w:rPr>
              <w:t>Finance</w:t>
            </w:r>
          </w:p>
        </w:tc>
        <w:tc>
          <w:tcPr>
            <w:tcW w:w="3320" w:type="dxa"/>
            <w:vAlign w:val="bottom"/>
            <w:tcBorders>
              <w:bottom w:val="single" w:sz="8" w:color="00539B"/>
            </w:tcBorders>
          </w:tcPr>
          <w:p>
            <w:pPr>
              <w:ind w:left="140"/>
              <w:spacing w:after="0"/>
              <w:rPr>
                <w:sz w:val="20"/>
                <w:szCs w:val="20"/>
                <w:color w:val="auto"/>
              </w:rPr>
            </w:pPr>
            <w:r>
              <w:rPr>
                <w:rFonts w:ascii="Arial" w:cs="Arial" w:eastAsia="Arial" w:hAnsi="Arial"/>
                <w:sz w:val="14"/>
                <w:szCs w:val="14"/>
                <w:color w:val="auto"/>
              </w:rPr>
              <w:t>Long-term debt</w:t>
            </w:r>
          </w:p>
        </w:tc>
        <w:tc>
          <w:tcPr>
            <w:tcW w:w="520" w:type="dxa"/>
            <w:vAlign w:val="bottom"/>
            <w:tcBorders>
              <w:bottom w:val="single" w:sz="8" w:color="00539B"/>
            </w:tcBorders>
            <w:shd w:val="clear" w:color="auto" w:fill="E0E3F1"/>
          </w:tcPr>
          <w:p>
            <w:pPr>
              <w:spacing w:after="0"/>
              <w:rPr>
                <w:sz w:val="17"/>
                <w:szCs w:val="17"/>
                <w:color w:val="auto"/>
              </w:rPr>
            </w:pPr>
          </w:p>
        </w:tc>
        <w:tc>
          <w:tcPr>
            <w:tcW w:w="166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85.7</w:t>
            </w:r>
          </w:p>
        </w:tc>
        <w:tc>
          <w:tcPr>
            <w:tcW w:w="520" w:type="dxa"/>
            <w:vAlign w:val="bottom"/>
            <w:tcBorders>
              <w:bottom w:val="single" w:sz="8" w:color="00539B"/>
            </w:tcBorders>
          </w:tcPr>
          <w:p>
            <w:pPr>
              <w:spacing w:after="0"/>
              <w:rPr>
                <w:sz w:val="17"/>
                <w:szCs w:val="17"/>
                <w:color w:val="auto"/>
              </w:rPr>
            </w:pPr>
          </w:p>
        </w:tc>
        <w:tc>
          <w:tcPr>
            <w:tcW w:w="1660" w:type="dxa"/>
            <w:vAlign w:val="bottom"/>
            <w:tcBorders>
              <w:bottom w:val="single" w:sz="8" w:color="00539B"/>
            </w:tcBorders>
          </w:tcPr>
          <w:p>
            <w:pPr>
              <w:jc w:val="right"/>
              <w:ind w:right="8"/>
              <w:spacing w:after="0"/>
              <w:rPr>
                <w:sz w:val="20"/>
                <w:szCs w:val="20"/>
                <w:color w:val="auto"/>
              </w:rPr>
            </w:pPr>
            <w:r>
              <w:rPr>
                <w:rFonts w:ascii="Arial" w:cs="Arial" w:eastAsia="Arial" w:hAnsi="Arial"/>
                <w:sz w:val="14"/>
                <w:szCs w:val="14"/>
                <w:color w:val="auto"/>
              </w:rPr>
              <w:t>94.5</w:t>
            </w:r>
          </w:p>
        </w:tc>
      </w:tr>
      <w:tr>
        <w:trPr>
          <w:trHeight w:val="207"/>
        </w:trPr>
        <w:tc>
          <w:tcPr>
            <w:tcW w:w="300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Total lease liabilities</w:t>
            </w:r>
          </w:p>
        </w:tc>
        <w:tc>
          <w:tcPr>
            <w:tcW w:w="3320" w:type="dxa"/>
            <w:vAlign w:val="bottom"/>
            <w:tcBorders>
              <w:bottom w:val="single" w:sz="8" w:color="00539B"/>
            </w:tcBorders>
          </w:tcPr>
          <w:p>
            <w:pPr>
              <w:spacing w:after="0"/>
              <w:rPr>
                <w:sz w:val="18"/>
                <w:szCs w:val="18"/>
                <w:color w:val="auto"/>
              </w:rPr>
            </w:pPr>
          </w:p>
        </w:tc>
        <w:tc>
          <w:tcPr>
            <w:tcW w:w="520" w:type="dxa"/>
            <w:vAlign w:val="bottom"/>
            <w:tcBorders>
              <w:bottom w:val="single" w:sz="8" w:color="00539B"/>
            </w:tcBorders>
            <w:shd w:val="clear" w:color="auto" w:fill="E0E3F1"/>
          </w:tcPr>
          <w:p>
            <w:pPr>
              <w:jc w:val="right"/>
              <w:ind w:right="34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321.6</w:t>
            </w:r>
          </w:p>
        </w:tc>
        <w:tc>
          <w:tcPr>
            <w:tcW w:w="520" w:type="dxa"/>
            <w:vAlign w:val="bottom"/>
            <w:tcBorders>
              <w:bottom w:val="single" w:sz="8" w:color="00539B"/>
            </w:tcBorders>
          </w:tcPr>
          <w:p>
            <w:pPr>
              <w:jc w:val="right"/>
              <w:ind w:right="34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00539B"/>
            </w:tcBorders>
          </w:tcPr>
          <w:p>
            <w:pPr>
              <w:jc w:val="right"/>
              <w:ind w:right="8"/>
              <w:spacing w:after="0"/>
              <w:rPr>
                <w:sz w:val="20"/>
                <w:szCs w:val="20"/>
                <w:color w:val="auto"/>
              </w:rPr>
            </w:pPr>
            <w:r>
              <w:rPr>
                <w:rFonts w:ascii="Arial" w:cs="Arial" w:eastAsia="Arial" w:hAnsi="Arial"/>
                <w:sz w:val="14"/>
                <w:szCs w:val="14"/>
                <w:color w:val="auto"/>
              </w:rPr>
              <w:t>325.6</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In October 2020, we entered into a non-cancellable synthetic lease to consolidate, as well as expand, our distribution footprint in the mid-</w:t>
      </w:r>
    </w:p>
    <w:p>
      <w:pPr>
        <w:spacing w:after="0" w:line="5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Atlantic region. We began to utilize this facility in September 2022. The five-year lease term will expire in November 2027. As of November 30, 2025, the total ROU asset associated with this facility was $34.5 million with a related lease obligation of $35.6 million, of which $17.5 million was included in the other accrued liabilities and $18.1 million was included in other long-term liabilities. As of November 30, 2024, the total ROU asset associated with this building was $50.6 million with a related lease obligation of $52.5 million, of which $ 16.9 million was included in other accrued liabilities and $35.6 million was included in other long-term liabilities. Rental payments include both a fixed and a variable component. The variable component is based on SOFR plus a margin, based on our credit rating. During the years ended November 30, 2025, 2024, and 2023, we recognized $25.1 million, $28.8 million, and $27.9 million, respectively, of rent expense related to the leased asset. The lease</w:t>
      </w:r>
    </w:p>
    <w:p>
      <w:pPr>
        <w:spacing w:after="0" w:line="200" w:lineRule="exact"/>
        <w:rPr>
          <w:sz w:val="20"/>
          <w:szCs w:val="20"/>
          <w:color w:val="auto"/>
        </w:rPr>
      </w:pPr>
    </w:p>
    <w:p>
      <w:pPr>
        <w:spacing w:after="0" w:line="3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77" w:right="439" w:bottom="1440" w:gutter="0" w:footer="0" w:header="0"/>
        </w:sectPr>
      </w:pPr>
    </w:p>
    <w:bookmarkStart w:id="61" w:name="page62"/>
    <w:bookmarkEnd w:id="61"/>
    <w:p>
      <w:pPr>
        <w:ind w:right="40"/>
        <w:spacing w:after="0" w:line="259" w:lineRule="auto"/>
        <w:rPr>
          <w:sz w:val="20"/>
          <w:szCs w:val="20"/>
          <w:color w:val="auto"/>
        </w:rPr>
      </w:pPr>
      <w:r>
        <w:rPr>
          <w:rFonts w:ascii="Arial" w:cs="Arial" w:eastAsia="Arial" w:hAnsi="Arial"/>
          <w:sz w:val="18"/>
          <w:szCs w:val="18"/>
          <w:color w:val="auto"/>
        </w:rPr>
        <w:t>contains options to negotiate a renewal of the lease or to purchase or request the lessor to sell the facility at the end of the lease term. The lease arrangement contains a residual value guarantee of 76.5% of the lessor’s total construction cost, which approximated $310 million. We do not believe it is probable that any material amounts will be owed under these guarantees. Therefore, no amounts related to the residual value guarantees are included in the lease payments used to measure the right-of-use assets and lease liabilities. The lease also contains covenants that are consistent with our revolving credit facility, as disclosed in Note 5.</w:t>
      </w:r>
    </w:p>
    <w:p>
      <w:pPr>
        <w:spacing w:after="0" w:line="1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Our Corporate functions, Americas' leadership, and U.S. staff operate out of our Hunt Valley, Maryland headquarters office building. The 15-year lease for that building began in April 2019 and is recognized as a finance lease. During each of the years ended November 30, 2025, 2024, and 2023, we recognized amortization expense of $8.7 million related to the leased asset. As of November 30, 2025, the total lease obligation associated with this building was $ 92.4 million, of which $9.0 million was included in the current portion of long-term debt and $83.4 million was included in long-term debt. As of November 30, 2024, the total lease obligation was $100.9 million, of which $8.5 million was included in the current portion of long-term debt and $92.4 million was included in long-term debt.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our lease terms and discount rates as of November 30 were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400" w:type="dxa"/>
            <w:vAlign w:val="bottom"/>
            <w:tcBorders>
              <w:top w:val="single" w:sz="8" w:color="00539B"/>
              <w:bottom w:val="single" w:sz="8" w:color="00539B"/>
            </w:tcBorders>
          </w:tcPr>
          <w:p>
            <w:pPr>
              <w:spacing w:after="0"/>
              <w:rPr>
                <w:sz w:val="19"/>
                <w:szCs w:val="19"/>
                <w:color w:val="auto"/>
              </w:rPr>
            </w:pPr>
          </w:p>
        </w:tc>
        <w:tc>
          <w:tcPr>
            <w:tcW w:w="3960" w:type="dxa"/>
            <w:vAlign w:val="bottom"/>
            <w:tcBorders>
              <w:top w:val="single" w:sz="8" w:color="00539B"/>
              <w:bottom w:val="single" w:sz="8" w:color="00539B"/>
            </w:tcBorders>
            <w:gridSpan w:val="2"/>
          </w:tcPr>
          <w:p>
            <w:pPr>
              <w:jc w:val="right"/>
              <w:ind w:right="1748"/>
              <w:spacing w:after="0"/>
              <w:rPr>
                <w:sz w:val="20"/>
                <w:szCs w:val="20"/>
                <w:color w:val="auto"/>
              </w:rPr>
            </w:pPr>
            <w:r>
              <w:rPr>
                <w:rFonts w:ascii="Arial" w:cs="Arial" w:eastAsia="Arial" w:hAnsi="Arial"/>
                <w:sz w:val="14"/>
                <w:szCs w:val="14"/>
                <w:color w:val="auto"/>
              </w:rPr>
              <w:t>2025</w:t>
            </w:r>
          </w:p>
        </w:tc>
        <w:tc>
          <w:tcPr>
            <w:tcW w:w="3980" w:type="dxa"/>
            <w:vAlign w:val="bottom"/>
            <w:tcBorders>
              <w:top w:val="single" w:sz="8" w:color="00539B"/>
              <w:bottom w:val="single" w:sz="8" w:color="00539B"/>
            </w:tcBorders>
            <w:gridSpan w:val="2"/>
          </w:tcPr>
          <w:p>
            <w:pPr>
              <w:jc w:val="right"/>
              <w:ind w:right="1748"/>
              <w:spacing w:after="0"/>
              <w:rPr>
                <w:sz w:val="20"/>
                <w:szCs w:val="20"/>
                <w:color w:val="auto"/>
              </w:rPr>
            </w:pPr>
            <w:r>
              <w:rPr>
                <w:rFonts w:ascii="Arial" w:cs="Arial" w:eastAsia="Arial" w:hAnsi="Arial"/>
                <w:sz w:val="14"/>
                <w:szCs w:val="14"/>
                <w:color w:val="auto"/>
              </w:rPr>
              <w:t>2024</w:t>
            </w:r>
          </w:p>
        </w:tc>
      </w:tr>
      <w:tr>
        <w:trPr>
          <w:trHeight w:val="150"/>
        </w:trPr>
        <w:tc>
          <w:tcPr>
            <w:tcW w:w="2400" w:type="dxa"/>
            <w:vAlign w:val="bottom"/>
          </w:tcPr>
          <w:p>
            <w:pPr>
              <w:spacing w:after="0"/>
              <w:rPr>
                <w:sz w:val="13"/>
                <w:szCs w:val="13"/>
                <w:color w:val="auto"/>
              </w:rPr>
            </w:pPr>
          </w:p>
        </w:tc>
        <w:tc>
          <w:tcPr>
            <w:tcW w:w="1920" w:type="dxa"/>
            <w:vAlign w:val="bottom"/>
          </w:tcPr>
          <w:p>
            <w:pPr>
              <w:jc w:val="right"/>
              <w:spacing w:after="0" w:line="150" w:lineRule="exact"/>
              <w:rPr>
                <w:sz w:val="20"/>
                <w:szCs w:val="20"/>
                <w:color w:val="auto"/>
              </w:rPr>
            </w:pPr>
            <w:r>
              <w:rPr>
                <w:rFonts w:ascii="Arial" w:cs="Arial" w:eastAsia="Arial" w:hAnsi="Arial"/>
                <w:sz w:val="14"/>
                <w:szCs w:val="14"/>
                <w:color w:val="auto"/>
              </w:rPr>
              <w:t>Weighted-average remaining</w:t>
            </w:r>
          </w:p>
        </w:tc>
        <w:tc>
          <w:tcPr>
            <w:tcW w:w="2040" w:type="dxa"/>
            <w:vAlign w:val="bottom"/>
          </w:tcPr>
          <w:p>
            <w:pPr>
              <w:jc w:val="right"/>
              <w:ind w:right="68"/>
              <w:spacing w:after="0" w:line="150" w:lineRule="exact"/>
              <w:rPr>
                <w:sz w:val="20"/>
                <w:szCs w:val="20"/>
                <w:color w:val="auto"/>
              </w:rPr>
            </w:pPr>
            <w:r>
              <w:rPr>
                <w:rFonts w:ascii="Arial" w:cs="Arial" w:eastAsia="Arial" w:hAnsi="Arial"/>
                <w:sz w:val="14"/>
                <w:szCs w:val="14"/>
                <w:color w:val="auto"/>
              </w:rPr>
              <w:t>Weighted-average discount</w:t>
            </w:r>
          </w:p>
        </w:tc>
        <w:tc>
          <w:tcPr>
            <w:tcW w:w="2000" w:type="dxa"/>
            <w:vAlign w:val="bottom"/>
          </w:tcPr>
          <w:p>
            <w:pPr>
              <w:jc w:val="right"/>
              <w:ind w:right="28"/>
              <w:spacing w:after="0" w:line="150" w:lineRule="exact"/>
              <w:rPr>
                <w:sz w:val="20"/>
                <w:szCs w:val="20"/>
                <w:color w:val="auto"/>
              </w:rPr>
            </w:pPr>
            <w:r>
              <w:rPr>
                <w:rFonts w:ascii="Arial" w:cs="Arial" w:eastAsia="Arial" w:hAnsi="Arial"/>
                <w:sz w:val="14"/>
                <w:szCs w:val="14"/>
                <w:color w:val="auto"/>
              </w:rPr>
              <w:t>Weighted-average remaining</w:t>
            </w:r>
          </w:p>
        </w:tc>
        <w:tc>
          <w:tcPr>
            <w:tcW w:w="1980" w:type="dxa"/>
            <w:vAlign w:val="bottom"/>
          </w:tcPr>
          <w:p>
            <w:pPr>
              <w:jc w:val="right"/>
              <w:ind w:right="68"/>
              <w:spacing w:after="0" w:line="150" w:lineRule="exact"/>
              <w:rPr>
                <w:sz w:val="20"/>
                <w:szCs w:val="20"/>
                <w:color w:val="auto"/>
              </w:rPr>
            </w:pPr>
            <w:r>
              <w:rPr>
                <w:rFonts w:ascii="Arial" w:cs="Arial" w:eastAsia="Arial" w:hAnsi="Arial"/>
                <w:sz w:val="14"/>
                <w:szCs w:val="14"/>
                <w:color w:val="auto"/>
              </w:rPr>
              <w:t>Weighted-average discount</w:t>
            </w:r>
          </w:p>
        </w:tc>
      </w:tr>
      <w:tr>
        <w:trPr>
          <w:trHeight w:val="185"/>
        </w:trPr>
        <w:tc>
          <w:tcPr>
            <w:tcW w:w="2400" w:type="dxa"/>
            <w:vAlign w:val="bottom"/>
          </w:tcPr>
          <w:p>
            <w:pPr>
              <w:spacing w:after="0"/>
              <w:rPr>
                <w:sz w:val="16"/>
                <w:szCs w:val="16"/>
                <w:color w:val="auto"/>
              </w:rPr>
            </w:pPr>
          </w:p>
        </w:tc>
        <w:tc>
          <w:tcPr>
            <w:tcW w:w="1920" w:type="dxa"/>
            <w:vAlign w:val="bottom"/>
            <w:tcBorders>
              <w:bottom w:val="single" w:sz="8" w:color="00539B"/>
            </w:tcBorders>
          </w:tcPr>
          <w:p>
            <w:pPr>
              <w:jc w:val="right"/>
              <w:ind w:right="308"/>
              <w:spacing w:after="0"/>
              <w:rPr>
                <w:sz w:val="20"/>
                <w:szCs w:val="20"/>
                <w:color w:val="auto"/>
              </w:rPr>
            </w:pPr>
            <w:r>
              <w:rPr>
                <w:rFonts w:ascii="Arial" w:cs="Arial" w:eastAsia="Arial" w:hAnsi="Arial"/>
                <w:sz w:val="14"/>
                <w:szCs w:val="14"/>
                <w:color w:val="auto"/>
              </w:rPr>
              <w:t>lease term (years)</w:t>
            </w:r>
          </w:p>
        </w:tc>
        <w:tc>
          <w:tcPr>
            <w:tcW w:w="2040" w:type="dxa"/>
            <w:vAlign w:val="bottom"/>
            <w:tcBorders>
              <w:bottom w:val="single" w:sz="8" w:color="00539B"/>
            </w:tcBorders>
          </w:tcPr>
          <w:p>
            <w:pPr>
              <w:jc w:val="right"/>
              <w:ind w:right="828"/>
              <w:spacing w:after="0"/>
              <w:rPr>
                <w:sz w:val="20"/>
                <w:szCs w:val="20"/>
                <w:color w:val="auto"/>
              </w:rPr>
            </w:pPr>
            <w:r>
              <w:rPr>
                <w:rFonts w:ascii="Arial" w:cs="Arial" w:eastAsia="Arial" w:hAnsi="Arial"/>
                <w:sz w:val="14"/>
                <w:szCs w:val="14"/>
                <w:color w:val="auto"/>
              </w:rPr>
              <w:t>rate</w:t>
            </w:r>
          </w:p>
        </w:tc>
        <w:tc>
          <w:tcPr>
            <w:tcW w:w="2000" w:type="dxa"/>
            <w:vAlign w:val="bottom"/>
            <w:tcBorders>
              <w:bottom w:val="single" w:sz="8" w:color="00539B"/>
            </w:tcBorders>
          </w:tcPr>
          <w:p>
            <w:pPr>
              <w:jc w:val="right"/>
              <w:ind w:right="368"/>
              <w:spacing w:after="0"/>
              <w:rPr>
                <w:sz w:val="20"/>
                <w:szCs w:val="20"/>
                <w:color w:val="auto"/>
              </w:rPr>
            </w:pPr>
            <w:r>
              <w:rPr>
                <w:rFonts w:ascii="Arial" w:cs="Arial" w:eastAsia="Arial" w:hAnsi="Arial"/>
                <w:sz w:val="14"/>
                <w:szCs w:val="14"/>
                <w:color w:val="auto"/>
              </w:rPr>
              <w:t>lease term (years)</w:t>
            </w:r>
          </w:p>
        </w:tc>
        <w:tc>
          <w:tcPr>
            <w:tcW w:w="1980" w:type="dxa"/>
            <w:vAlign w:val="bottom"/>
            <w:tcBorders>
              <w:bottom w:val="single" w:sz="8" w:color="00539B"/>
            </w:tcBorders>
          </w:tcPr>
          <w:p>
            <w:pPr>
              <w:jc w:val="right"/>
              <w:ind w:right="828"/>
              <w:spacing w:after="0"/>
              <w:rPr>
                <w:sz w:val="20"/>
                <w:szCs w:val="20"/>
                <w:color w:val="auto"/>
              </w:rPr>
            </w:pPr>
            <w:r>
              <w:rPr>
                <w:rFonts w:ascii="Arial" w:cs="Arial" w:eastAsia="Arial" w:hAnsi="Arial"/>
                <w:sz w:val="14"/>
                <w:szCs w:val="14"/>
                <w:color w:val="auto"/>
              </w:rPr>
              <w:t>rate</w:t>
            </w:r>
          </w:p>
        </w:tc>
      </w:tr>
      <w:tr>
        <w:trPr>
          <w:trHeight w:val="188"/>
        </w:trPr>
        <w:tc>
          <w:tcPr>
            <w:tcW w:w="2400" w:type="dxa"/>
            <w:vAlign w:val="bottom"/>
          </w:tcPr>
          <w:p>
            <w:pPr>
              <w:ind w:left="20"/>
              <w:spacing w:after="0"/>
              <w:rPr>
                <w:sz w:val="20"/>
                <w:szCs w:val="20"/>
                <w:color w:val="auto"/>
              </w:rPr>
            </w:pPr>
            <w:r>
              <w:rPr>
                <w:rFonts w:ascii="Arial" w:cs="Arial" w:eastAsia="Arial" w:hAnsi="Arial"/>
                <w:sz w:val="14"/>
                <w:szCs w:val="14"/>
                <w:color w:val="auto"/>
              </w:rPr>
              <w:t>Operating leases</w:t>
            </w:r>
          </w:p>
        </w:tc>
        <w:tc>
          <w:tcPr>
            <w:tcW w:w="1920" w:type="dxa"/>
            <w:vAlign w:val="bottom"/>
            <w:shd w:val="clear" w:color="auto" w:fill="E0E3F1"/>
          </w:tcPr>
          <w:p>
            <w:pPr>
              <w:jc w:val="right"/>
              <w:spacing w:after="0"/>
              <w:rPr>
                <w:sz w:val="20"/>
                <w:szCs w:val="20"/>
                <w:color w:val="auto"/>
              </w:rPr>
            </w:pPr>
            <w:r>
              <w:rPr>
                <w:rFonts w:ascii="Arial" w:cs="Arial" w:eastAsia="Arial" w:hAnsi="Arial"/>
                <w:sz w:val="14"/>
                <w:szCs w:val="14"/>
                <w:color w:val="auto"/>
              </w:rPr>
              <w:t>5.5</w:t>
            </w:r>
          </w:p>
        </w:tc>
        <w:tc>
          <w:tcPr>
            <w:tcW w:w="2040" w:type="dxa"/>
            <w:vAlign w:val="bottom"/>
            <w:shd w:val="clear" w:color="auto" w:fill="E0E3F1"/>
          </w:tcPr>
          <w:p>
            <w:pPr>
              <w:jc w:val="right"/>
              <w:spacing w:after="0"/>
              <w:rPr>
                <w:sz w:val="20"/>
                <w:szCs w:val="20"/>
                <w:color w:val="auto"/>
              </w:rPr>
            </w:pPr>
            <w:r>
              <w:rPr>
                <w:rFonts w:ascii="Arial" w:cs="Arial" w:eastAsia="Arial" w:hAnsi="Arial"/>
                <w:sz w:val="14"/>
                <w:szCs w:val="14"/>
                <w:color w:val="auto"/>
              </w:rPr>
              <w:t>4.2 %</w:t>
            </w:r>
          </w:p>
        </w:tc>
        <w:tc>
          <w:tcPr>
            <w:tcW w:w="2000" w:type="dxa"/>
            <w:vAlign w:val="bottom"/>
          </w:tcPr>
          <w:p>
            <w:pPr>
              <w:jc w:val="right"/>
              <w:ind w:right="8"/>
              <w:spacing w:after="0"/>
              <w:rPr>
                <w:sz w:val="20"/>
                <w:szCs w:val="20"/>
                <w:color w:val="auto"/>
              </w:rPr>
            </w:pPr>
            <w:r>
              <w:rPr>
                <w:rFonts w:ascii="Arial" w:cs="Arial" w:eastAsia="Arial" w:hAnsi="Arial"/>
                <w:sz w:val="14"/>
                <w:szCs w:val="14"/>
                <w:color w:val="auto"/>
              </w:rPr>
              <w:t>5.2</w:t>
            </w:r>
          </w:p>
        </w:tc>
        <w:tc>
          <w:tcPr>
            <w:tcW w:w="1980" w:type="dxa"/>
            <w:vAlign w:val="bottom"/>
          </w:tcPr>
          <w:p>
            <w:pPr>
              <w:jc w:val="right"/>
              <w:spacing w:after="0"/>
              <w:rPr>
                <w:sz w:val="20"/>
                <w:szCs w:val="20"/>
                <w:color w:val="auto"/>
              </w:rPr>
            </w:pPr>
            <w:r>
              <w:rPr>
                <w:rFonts w:ascii="Arial" w:cs="Arial" w:eastAsia="Arial" w:hAnsi="Arial"/>
                <w:sz w:val="14"/>
                <w:szCs w:val="14"/>
                <w:color w:val="auto"/>
              </w:rPr>
              <w:t>3.9 %</w:t>
            </w:r>
          </w:p>
        </w:tc>
      </w:tr>
      <w:tr>
        <w:trPr>
          <w:trHeight w:val="218"/>
        </w:trPr>
        <w:tc>
          <w:tcPr>
            <w:tcW w:w="240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Finance leases</w:t>
            </w:r>
          </w:p>
        </w:tc>
        <w:tc>
          <w:tcPr>
            <w:tcW w:w="192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9.3</w:t>
            </w:r>
          </w:p>
        </w:tc>
        <w:tc>
          <w:tcPr>
            <w:tcW w:w="204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3.5 %</w:t>
            </w:r>
          </w:p>
        </w:tc>
        <w:tc>
          <w:tcPr>
            <w:tcW w:w="2000" w:type="dxa"/>
            <w:vAlign w:val="bottom"/>
            <w:tcBorders>
              <w:bottom w:val="single" w:sz="8" w:color="00539B"/>
            </w:tcBorders>
          </w:tcPr>
          <w:p>
            <w:pPr>
              <w:jc w:val="right"/>
              <w:ind w:right="8"/>
              <w:spacing w:after="0"/>
              <w:rPr>
                <w:sz w:val="20"/>
                <w:szCs w:val="20"/>
                <w:color w:val="auto"/>
              </w:rPr>
            </w:pPr>
            <w:r>
              <w:rPr>
                <w:rFonts w:ascii="Arial" w:cs="Arial" w:eastAsia="Arial" w:hAnsi="Arial"/>
                <w:sz w:val="14"/>
                <w:szCs w:val="14"/>
                <w:color w:val="auto"/>
              </w:rPr>
              <w:t>10.2</w:t>
            </w:r>
          </w:p>
        </w:tc>
        <w:tc>
          <w:tcPr>
            <w:tcW w:w="198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3.4 %</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The future maturity of our lease liabilities as of November 30, 2025 were as follows (in millions):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940" w:type="dxa"/>
            <w:vAlign w:val="bottom"/>
            <w:tcBorders>
              <w:top w:val="single" w:sz="8" w:color="00539B"/>
            </w:tcBorders>
          </w:tcPr>
          <w:p>
            <w:pPr>
              <w:spacing w:after="0"/>
              <w:rPr>
                <w:sz w:val="19"/>
                <w:szCs w:val="19"/>
                <w:color w:val="auto"/>
              </w:rPr>
            </w:pPr>
          </w:p>
        </w:tc>
        <w:tc>
          <w:tcPr>
            <w:tcW w:w="1640" w:type="dxa"/>
            <w:vAlign w:val="bottom"/>
            <w:tcBorders>
              <w:top w:val="single" w:sz="8" w:color="00539B"/>
            </w:tcBorders>
          </w:tcPr>
          <w:p>
            <w:pPr>
              <w:spacing w:after="0"/>
              <w:rPr>
                <w:sz w:val="19"/>
                <w:szCs w:val="19"/>
                <w:color w:val="auto"/>
              </w:rPr>
            </w:pPr>
          </w:p>
        </w:tc>
        <w:tc>
          <w:tcPr>
            <w:tcW w:w="1560" w:type="dxa"/>
            <w:vAlign w:val="bottom"/>
            <w:tcBorders>
              <w:top w:val="single" w:sz="8" w:color="00539B"/>
            </w:tcBorders>
          </w:tcPr>
          <w:p>
            <w:pPr>
              <w:jc w:val="right"/>
              <w:ind w:right="308"/>
              <w:spacing w:after="0"/>
              <w:rPr>
                <w:sz w:val="20"/>
                <w:szCs w:val="20"/>
                <w:color w:val="auto"/>
              </w:rPr>
            </w:pPr>
            <w:r>
              <w:rPr>
                <w:rFonts w:ascii="Arial" w:cs="Arial" w:eastAsia="Arial" w:hAnsi="Arial"/>
                <w:sz w:val="14"/>
                <w:szCs w:val="14"/>
                <w:color w:val="auto"/>
              </w:rPr>
              <w:t>Operating leases</w:t>
            </w:r>
          </w:p>
        </w:tc>
        <w:tc>
          <w:tcPr>
            <w:tcW w:w="320" w:type="dxa"/>
            <w:vAlign w:val="bottom"/>
            <w:tcBorders>
              <w:top w:val="single" w:sz="8" w:color="00539B"/>
            </w:tcBorders>
          </w:tcPr>
          <w:p>
            <w:pPr>
              <w:spacing w:after="0"/>
              <w:rPr>
                <w:sz w:val="19"/>
                <w:szCs w:val="19"/>
                <w:color w:val="auto"/>
              </w:rPr>
            </w:pPr>
          </w:p>
        </w:tc>
        <w:tc>
          <w:tcPr>
            <w:tcW w:w="1640" w:type="dxa"/>
            <w:vAlign w:val="bottom"/>
            <w:tcBorders>
              <w:top w:val="single" w:sz="8" w:color="00539B"/>
            </w:tcBorders>
          </w:tcPr>
          <w:p>
            <w:pPr>
              <w:jc w:val="right"/>
              <w:ind w:right="448"/>
              <w:spacing w:after="0"/>
              <w:rPr>
                <w:sz w:val="20"/>
                <w:szCs w:val="20"/>
                <w:color w:val="auto"/>
              </w:rPr>
            </w:pPr>
            <w:r>
              <w:rPr>
                <w:rFonts w:ascii="Arial" w:cs="Arial" w:eastAsia="Arial" w:hAnsi="Arial"/>
                <w:sz w:val="14"/>
                <w:szCs w:val="14"/>
                <w:color w:val="auto"/>
              </w:rPr>
              <w:t>Finance leases</w:t>
            </w:r>
          </w:p>
        </w:tc>
        <w:tc>
          <w:tcPr>
            <w:tcW w:w="400" w:type="dxa"/>
            <w:vAlign w:val="bottom"/>
            <w:tcBorders>
              <w:top w:val="single" w:sz="8" w:color="00539B"/>
            </w:tcBorders>
          </w:tcPr>
          <w:p>
            <w:pPr>
              <w:spacing w:after="0"/>
              <w:rPr>
                <w:sz w:val="19"/>
                <w:szCs w:val="19"/>
                <w:color w:val="auto"/>
              </w:rPr>
            </w:pPr>
          </w:p>
        </w:tc>
        <w:tc>
          <w:tcPr>
            <w:tcW w:w="1300" w:type="dxa"/>
            <w:vAlign w:val="bottom"/>
            <w:tcBorders>
              <w:top w:val="single" w:sz="8" w:color="00539B"/>
            </w:tcBorders>
          </w:tcPr>
          <w:p>
            <w:pPr>
              <w:jc w:val="right"/>
              <w:ind w:right="628"/>
              <w:spacing w:after="0"/>
              <w:rPr>
                <w:sz w:val="20"/>
                <w:szCs w:val="20"/>
                <w:color w:val="auto"/>
              </w:rPr>
            </w:pPr>
            <w:r>
              <w:rPr>
                <w:rFonts w:ascii="Arial" w:cs="Arial" w:eastAsia="Arial" w:hAnsi="Arial"/>
                <w:sz w:val="14"/>
                <w:szCs w:val="14"/>
                <w:color w:val="auto"/>
              </w:rPr>
              <w:t>Total</w:t>
            </w:r>
          </w:p>
        </w:tc>
      </w:tr>
      <w:tr>
        <w:trPr>
          <w:trHeight w:val="203"/>
        </w:trPr>
        <w:tc>
          <w:tcPr>
            <w:tcW w:w="2940" w:type="dxa"/>
            <w:vAlign w:val="bottom"/>
          </w:tcPr>
          <w:p>
            <w:pPr>
              <w:ind w:left="20"/>
              <w:spacing w:after="0"/>
              <w:rPr>
                <w:sz w:val="20"/>
                <w:szCs w:val="20"/>
                <w:color w:val="auto"/>
              </w:rPr>
            </w:pPr>
            <w:r>
              <w:rPr>
                <w:rFonts w:ascii="Arial" w:cs="Arial" w:eastAsia="Arial" w:hAnsi="Arial"/>
                <w:sz w:val="14"/>
                <w:szCs w:val="14"/>
                <w:color w:val="auto"/>
              </w:rPr>
              <w:t>2026</w:t>
            </w:r>
          </w:p>
        </w:tc>
        <w:tc>
          <w:tcPr>
            <w:tcW w:w="1640" w:type="dxa"/>
            <w:vAlign w:val="bottom"/>
          </w:tcPr>
          <w:p>
            <w:pPr>
              <w:spacing w:after="0"/>
              <w:rPr>
                <w:sz w:val="17"/>
                <w:szCs w:val="17"/>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66.7</w:t>
            </w:r>
          </w:p>
        </w:tc>
        <w:tc>
          <w:tcPr>
            <w:tcW w:w="320" w:type="dxa"/>
            <w:vAlign w:val="bottom"/>
          </w:tcPr>
          <w:p>
            <w:pPr>
              <w:spacing w:after="0"/>
              <w:rPr>
                <w:sz w:val="17"/>
                <w:szCs w:val="17"/>
                <w:color w:val="auto"/>
              </w:rPr>
            </w:pPr>
          </w:p>
        </w:tc>
        <w:tc>
          <w:tcPr>
            <w:tcW w:w="1640" w:type="dxa"/>
            <w:vAlign w:val="bottom"/>
          </w:tcPr>
          <w:p>
            <w:pPr>
              <w:jc w:val="right"/>
              <w:ind w:right="148"/>
              <w:spacing w:after="0"/>
              <w:rPr>
                <w:sz w:val="20"/>
                <w:szCs w:val="20"/>
                <w:color w:val="auto"/>
              </w:rPr>
            </w:pPr>
            <w:r>
              <w:rPr>
                <w:rFonts w:ascii="Arial" w:cs="Arial" w:eastAsia="Arial" w:hAnsi="Arial"/>
                <w:sz w:val="14"/>
                <w:szCs w:val="14"/>
                <w:color w:val="auto"/>
              </w:rPr>
              <w:t>12.0</w:t>
            </w:r>
          </w:p>
        </w:tc>
        <w:tc>
          <w:tcPr>
            <w:tcW w:w="400" w:type="dxa"/>
            <w:vAlign w:val="bottom"/>
            <w:shd w:val="clear" w:color="auto" w:fill="E0E3F1"/>
          </w:tcPr>
          <w:p>
            <w:pPr>
              <w:spacing w:after="0"/>
              <w:rPr>
                <w:sz w:val="17"/>
                <w:szCs w:val="17"/>
                <w:color w:val="auto"/>
              </w:rPr>
            </w:pPr>
          </w:p>
        </w:tc>
        <w:tc>
          <w:tcPr>
            <w:tcW w:w="1300" w:type="dxa"/>
            <w:vAlign w:val="bottom"/>
            <w:shd w:val="clear" w:color="auto" w:fill="E0E3F1"/>
          </w:tcPr>
          <w:p>
            <w:pPr>
              <w:jc w:val="right"/>
              <w:spacing w:after="0"/>
              <w:rPr>
                <w:sz w:val="20"/>
                <w:szCs w:val="20"/>
                <w:color w:val="auto"/>
              </w:rPr>
            </w:pPr>
            <w:r>
              <w:rPr>
                <w:rFonts w:ascii="Arial" w:cs="Arial" w:eastAsia="Arial" w:hAnsi="Arial"/>
                <w:sz w:val="14"/>
                <w:szCs w:val="14"/>
                <w:color w:val="auto"/>
              </w:rPr>
              <w:t>78.7</w:t>
            </w:r>
          </w:p>
        </w:tc>
      </w:tr>
      <w:tr>
        <w:trPr>
          <w:trHeight w:val="203"/>
        </w:trPr>
        <w:tc>
          <w:tcPr>
            <w:tcW w:w="2940" w:type="dxa"/>
            <w:vAlign w:val="bottom"/>
          </w:tcPr>
          <w:p>
            <w:pPr>
              <w:ind w:left="20"/>
              <w:spacing w:after="0"/>
              <w:rPr>
                <w:sz w:val="20"/>
                <w:szCs w:val="20"/>
                <w:color w:val="auto"/>
              </w:rPr>
            </w:pPr>
            <w:r>
              <w:rPr>
                <w:rFonts w:ascii="Arial" w:cs="Arial" w:eastAsia="Arial" w:hAnsi="Arial"/>
                <w:sz w:val="14"/>
                <w:szCs w:val="14"/>
                <w:color w:val="auto"/>
              </w:rPr>
              <w:t>2027</w:t>
            </w:r>
          </w:p>
        </w:tc>
        <w:tc>
          <w:tcPr>
            <w:tcW w:w="1640" w:type="dxa"/>
            <w:vAlign w:val="bottom"/>
          </w:tcPr>
          <w:p>
            <w:pPr>
              <w:spacing w:after="0"/>
              <w:rPr>
                <w:sz w:val="17"/>
                <w:szCs w:val="17"/>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62.7</w:t>
            </w:r>
          </w:p>
        </w:tc>
        <w:tc>
          <w:tcPr>
            <w:tcW w:w="320" w:type="dxa"/>
            <w:vAlign w:val="bottom"/>
          </w:tcPr>
          <w:p>
            <w:pPr>
              <w:spacing w:after="0"/>
              <w:rPr>
                <w:sz w:val="17"/>
                <w:szCs w:val="17"/>
                <w:color w:val="auto"/>
              </w:rPr>
            </w:pPr>
          </w:p>
        </w:tc>
        <w:tc>
          <w:tcPr>
            <w:tcW w:w="1640" w:type="dxa"/>
            <w:vAlign w:val="bottom"/>
          </w:tcPr>
          <w:p>
            <w:pPr>
              <w:jc w:val="right"/>
              <w:ind w:right="148"/>
              <w:spacing w:after="0"/>
              <w:rPr>
                <w:sz w:val="20"/>
                <w:szCs w:val="20"/>
                <w:color w:val="auto"/>
              </w:rPr>
            </w:pPr>
            <w:r>
              <w:rPr>
                <w:rFonts w:ascii="Arial" w:cs="Arial" w:eastAsia="Arial" w:hAnsi="Arial"/>
                <w:sz w:val="14"/>
                <w:szCs w:val="14"/>
                <w:color w:val="auto"/>
              </w:rPr>
              <w:t>12.2</w:t>
            </w:r>
          </w:p>
        </w:tc>
        <w:tc>
          <w:tcPr>
            <w:tcW w:w="400" w:type="dxa"/>
            <w:vAlign w:val="bottom"/>
            <w:shd w:val="clear" w:color="auto" w:fill="E0E3F1"/>
          </w:tcPr>
          <w:p>
            <w:pPr>
              <w:spacing w:after="0"/>
              <w:rPr>
                <w:sz w:val="17"/>
                <w:szCs w:val="17"/>
                <w:color w:val="auto"/>
              </w:rPr>
            </w:pPr>
          </w:p>
        </w:tc>
        <w:tc>
          <w:tcPr>
            <w:tcW w:w="1300" w:type="dxa"/>
            <w:vAlign w:val="bottom"/>
            <w:shd w:val="clear" w:color="auto" w:fill="E0E3F1"/>
          </w:tcPr>
          <w:p>
            <w:pPr>
              <w:jc w:val="right"/>
              <w:spacing w:after="0"/>
              <w:rPr>
                <w:sz w:val="20"/>
                <w:szCs w:val="20"/>
                <w:color w:val="auto"/>
              </w:rPr>
            </w:pPr>
            <w:r>
              <w:rPr>
                <w:rFonts w:ascii="Arial" w:cs="Arial" w:eastAsia="Arial" w:hAnsi="Arial"/>
                <w:sz w:val="14"/>
                <w:szCs w:val="14"/>
                <w:color w:val="auto"/>
              </w:rPr>
              <w:t>74.9</w:t>
            </w:r>
          </w:p>
        </w:tc>
      </w:tr>
      <w:tr>
        <w:trPr>
          <w:trHeight w:val="203"/>
        </w:trPr>
        <w:tc>
          <w:tcPr>
            <w:tcW w:w="2940" w:type="dxa"/>
            <w:vAlign w:val="bottom"/>
          </w:tcPr>
          <w:p>
            <w:pPr>
              <w:ind w:left="20"/>
              <w:spacing w:after="0"/>
              <w:rPr>
                <w:sz w:val="20"/>
                <w:szCs w:val="20"/>
                <w:color w:val="auto"/>
              </w:rPr>
            </w:pPr>
            <w:r>
              <w:rPr>
                <w:rFonts w:ascii="Arial" w:cs="Arial" w:eastAsia="Arial" w:hAnsi="Arial"/>
                <w:sz w:val="14"/>
                <w:szCs w:val="14"/>
                <w:color w:val="auto"/>
              </w:rPr>
              <w:t>2028</w:t>
            </w:r>
          </w:p>
        </w:tc>
        <w:tc>
          <w:tcPr>
            <w:tcW w:w="1640" w:type="dxa"/>
            <w:vAlign w:val="bottom"/>
          </w:tcPr>
          <w:p>
            <w:pPr>
              <w:spacing w:after="0"/>
              <w:rPr>
                <w:sz w:val="17"/>
                <w:szCs w:val="17"/>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31.5</w:t>
            </w:r>
          </w:p>
        </w:tc>
        <w:tc>
          <w:tcPr>
            <w:tcW w:w="320" w:type="dxa"/>
            <w:vAlign w:val="bottom"/>
          </w:tcPr>
          <w:p>
            <w:pPr>
              <w:spacing w:after="0"/>
              <w:rPr>
                <w:sz w:val="17"/>
                <w:szCs w:val="17"/>
                <w:color w:val="auto"/>
              </w:rPr>
            </w:pPr>
          </w:p>
        </w:tc>
        <w:tc>
          <w:tcPr>
            <w:tcW w:w="1640" w:type="dxa"/>
            <w:vAlign w:val="bottom"/>
          </w:tcPr>
          <w:p>
            <w:pPr>
              <w:jc w:val="right"/>
              <w:ind w:right="148"/>
              <w:spacing w:after="0"/>
              <w:rPr>
                <w:sz w:val="20"/>
                <w:szCs w:val="20"/>
                <w:color w:val="auto"/>
              </w:rPr>
            </w:pPr>
            <w:r>
              <w:rPr>
                <w:rFonts w:ascii="Arial" w:cs="Arial" w:eastAsia="Arial" w:hAnsi="Arial"/>
                <w:sz w:val="14"/>
                <w:szCs w:val="14"/>
                <w:color w:val="auto"/>
              </w:rPr>
              <w:t>12.5</w:t>
            </w:r>
          </w:p>
        </w:tc>
        <w:tc>
          <w:tcPr>
            <w:tcW w:w="400" w:type="dxa"/>
            <w:vAlign w:val="bottom"/>
            <w:shd w:val="clear" w:color="auto" w:fill="E0E3F1"/>
          </w:tcPr>
          <w:p>
            <w:pPr>
              <w:spacing w:after="0"/>
              <w:rPr>
                <w:sz w:val="17"/>
                <w:szCs w:val="17"/>
                <w:color w:val="auto"/>
              </w:rPr>
            </w:pPr>
          </w:p>
        </w:tc>
        <w:tc>
          <w:tcPr>
            <w:tcW w:w="1300" w:type="dxa"/>
            <w:vAlign w:val="bottom"/>
            <w:shd w:val="clear" w:color="auto" w:fill="E0E3F1"/>
          </w:tcPr>
          <w:p>
            <w:pPr>
              <w:jc w:val="right"/>
              <w:spacing w:after="0"/>
              <w:rPr>
                <w:sz w:val="20"/>
                <w:szCs w:val="20"/>
                <w:color w:val="auto"/>
              </w:rPr>
            </w:pPr>
            <w:r>
              <w:rPr>
                <w:rFonts w:ascii="Arial" w:cs="Arial" w:eastAsia="Arial" w:hAnsi="Arial"/>
                <w:sz w:val="14"/>
                <w:szCs w:val="14"/>
                <w:color w:val="auto"/>
              </w:rPr>
              <w:t>44.0</w:t>
            </w:r>
          </w:p>
        </w:tc>
      </w:tr>
      <w:tr>
        <w:trPr>
          <w:trHeight w:val="202"/>
        </w:trPr>
        <w:tc>
          <w:tcPr>
            <w:tcW w:w="2940" w:type="dxa"/>
            <w:vAlign w:val="bottom"/>
          </w:tcPr>
          <w:p>
            <w:pPr>
              <w:ind w:left="20"/>
              <w:spacing w:after="0"/>
              <w:rPr>
                <w:sz w:val="20"/>
                <w:szCs w:val="20"/>
                <w:color w:val="auto"/>
              </w:rPr>
            </w:pPr>
            <w:r>
              <w:rPr>
                <w:rFonts w:ascii="Arial" w:cs="Arial" w:eastAsia="Arial" w:hAnsi="Arial"/>
                <w:sz w:val="14"/>
                <w:szCs w:val="14"/>
                <w:color w:val="auto"/>
              </w:rPr>
              <w:t>2029</w:t>
            </w:r>
          </w:p>
        </w:tc>
        <w:tc>
          <w:tcPr>
            <w:tcW w:w="1640" w:type="dxa"/>
            <w:vAlign w:val="bottom"/>
          </w:tcPr>
          <w:p>
            <w:pPr>
              <w:spacing w:after="0"/>
              <w:rPr>
                <w:sz w:val="17"/>
                <w:szCs w:val="17"/>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22.9</w:t>
            </w:r>
          </w:p>
        </w:tc>
        <w:tc>
          <w:tcPr>
            <w:tcW w:w="320" w:type="dxa"/>
            <w:vAlign w:val="bottom"/>
          </w:tcPr>
          <w:p>
            <w:pPr>
              <w:spacing w:after="0"/>
              <w:rPr>
                <w:sz w:val="17"/>
                <w:szCs w:val="17"/>
                <w:color w:val="auto"/>
              </w:rPr>
            </w:pPr>
          </w:p>
        </w:tc>
        <w:tc>
          <w:tcPr>
            <w:tcW w:w="1640" w:type="dxa"/>
            <w:vAlign w:val="bottom"/>
          </w:tcPr>
          <w:p>
            <w:pPr>
              <w:jc w:val="right"/>
              <w:ind w:right="148"/>
              <w:spacing w:after="0"/>
              <w:rPr>
                <w:sz w:val="20"/>
                <w:szCs w:val="20"/>
                <w:color w:val="auto"/>
              </w:rPr>
            </w:pPr>
            <w:r>
              <w:rPr>
                <w:rFonts w:ascii="Arial" w:cs="Arial" w:eastAsia="Arial" w:hAnsi="Arial"/>
                <w:sz w:val="14"/>
                <w:szCs w:val="14"/>
                <w:color w:val="auto"/>
              </w:rPr>
              <w:t>12.7</w:t>
            </w:r>
          </w:p>
        </w:tc>
        <w:tc>
          <w:tcPr>
            <w:tcW w:w="400" w:type="dxa"/>
            <w:vAlign w:val="bottom"/>
            <w:shd w:val="clear" w:color="auto" w:fill="E0E3F1"/>
          </w:tcPr>
          <w:p>
            <w:pPr>
              <w:spacing w:after="0"/>
              <w:rPr>
                <w:sz w:val="17"/>
                <w:szCs w:val="17"/>
                <w:color w:val="auto"/>
              </w:rPr>
            </w:pPr>
          </w:p>
        </w:tc>
        <w:tc>
          <w:tcPr>
            <w:tcW w:w="1300" w:type="dxa"/>
            <w:vAlign w:val="bottom"/>
            <w:shd w:val="clear" w:color="auto" w:fill="E0E3F1"/>
          </w:tcPr>
          <w:p>
            <w:pPr>
              <w:jc w:val="right"/>
              <w:spacing w:after="0"/>
              <w:rPr>
                <w:sz w:val="20"/>
                <w:szCs w:val="20"/>
                <w:color w:val="auto"/>
              </w:rPr>
            </w:pPr>
            <w:r>
              <w:rPr>
                <w:rFonts w:ascii="Arial" w:cs="Arial" w:eastAsia="Arial" w:hAnsi="Arial"/>
                <w:sz w:val="14"/>
                <w:szCs w:val="14"/>
                <w:color w:val="auto"/>
              </w:rPr>
              <w:t>35.6</w:t>
            </w:r>
          </w:p>
        </w:tc>
      </w:tr>
      <w:tr>
        <w:trPr>
          <w:trHeight w:val="203"/>
        </w:trPr>
        <w:tc>
          <w:tcPr>
            <w:tcW w:w="2940" w:type="dxa"/>
            <w:vAlign w:val="bottom"/>
          </w:tcPr>
          <w:p>
            <w:pPr>
              <w:ind w:left="20"/>
              <w:spacing w:after="0"/>
              <w:rPr>
                <w:sz w:val="20"/>
                <w:szCs w:val="20"/>
                <w:color w:val="auto"/>
              </w:rPr>
            </w:pPr>
            <w:r>
              <w:rPr>
                <w:rFonts w:ascii="Arial" w:cs="Arial" w:eastAsia="Arial" w:hAnsi="Arial"/>
                <w:sz w:val="14"/>
                <w:szCs w:val="14"/>
                <w:color w:val="auto"/>
              </w:rPr>
              <w:t>2030</w:t>
            </w:r>
          </w:p>
        </w:tc>
        <w:tc>
          <w:tcPr>
            <w:tcW w:w="1640" w:type="dxa"/>
            <w:vAlign w:val="bottom"/>
          </w:tcPr>
          <w:p>
            <w:pPr>
              <w:spacing w:after="0"/>
              <w:rPr>
                <w:sz w:val="17"/>
                <w:szCs w:val="17"/>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18.0</w:t>
            </w:r>
          </w:p>
        </w:tc>
        <w:tc>
          <w:tcPr>
            <w:tcW w:w="320" w:type="dxa"/>
            <w:vAlign w:val="bottom"/>
          </w:tcPr>
          <w:p>
            <w:pPr>
              <w:spacing w:after="0"/>
              <w:rPr>
                <w:sz w:val="17"/>
                <w:szCs w:val="17"/>
                <w:color w:val="auto"/>
              </w:rPr>
            </w:pPr>
          </w:p>
        </w:tc>
        <w:tc>
          <w:tcPr>
            <w:tcW w:w="1640" w:type="dxa"/>
            <w:vAlign w:val="bottom"/>
          </w:tcPr>
          <w:p>
            <w:pPr>
              <w:jc w:val="right"/>
              <w:ind w:right="148"/>
              <w:spacing w:after="0"/>
              <w:rPr>
                <w:sz w:val="20"/>
                <w:szCs w:val="20"/>
                <w:color w:val="auto"/>
              </w:rPr>
            </w:pPr>
            <w:r>
              <w:rPr>
                <w:rFonts w:ascii="Arial" w:cs="Arial" w:eastAsia="Arial" w:hAnsi="Arial"/>
                <w:sz w:val="14"/>
                <w:szCs w:val="14"/>
                <w:color w:val="auto"/>
              </w:rPr>
              <w:t>13.0</w:t>
            </w:r>
          </w:p>
        </w:tc>
        <w:tc>
          <w:tcPr>
            <w:tcW w:w="400" w:type="dxa"/>
            <w:vAlign w:val="bottom"/>
            <w:shd w:val="clear" w:color="auto" w:fill="E0E3F1"/>
          </w:tcPr>
          <w:p>
            <w:pPr>
              <w:spacing w:after="0"/>
              <w:rPr>
                <w:sz w:val="17"/>
                <w:szCs w:val="17"/>
                <w:color w:val="auto"/>
              </w:rPr>
            </w:pPr>
          </w:p>
        </w:tc>
        <w:tc>
          <w:tcPr>
            <w:tcW w:w="1300" w:type="dxa"/>
            <w:vAlign w:val="bottom"/>
            <w:shd w:val="clear" w:color="auto" w:fill="E0E3F1"/>
          </w:tcPr>
          <w:p>
            <w:pPr>
              <w:jc w:val="right"/>
              <w:spacing w:after="0"/>
              <w:rPr>
                <w:sz w:val="20"/>
                <w:szCs w:val="20"/>
                <w:color w:val="auto"/>
              </w:rPr>
            </w:pPr>
            <w:r>
              <w:rPr>
                <w:rFonts w:ascii="Arial" w:cs="Arial" w:eastAsia="Arial" w:hAnsi="Arial"/>
                <w:sz w:val="14"/>
                <w:szCs w:val="14"/>
                <w:color w:val="auto"/>
              </w:rPr>
              <w:t>31.0</w:t>
            </w:r>
          </w:p>
        </w:tc>
      </w:tr>
      <w:tr>
        <w:trPr>
          <w:trHeight w:val="207"/>
        </w:trPr>
        <w:tc>
          <w:tcPr>
            <w:tcW w:w="294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Thereafter</w:t>
            </w:r>
          </w:p>
        </w:tc>
        <w:tc>
          <w:tcPr>
            <w:tcW w:w="1640" w:type="dxa"/>
            <w:vAlign w:val="bottom"/>
            <w:tcBorders>
              <w:bottom w:val="single" w:sz="8" w:color="00539B"/>
            </w:tcBorders>
          </w:tcPr>
          <w:p>
            <w:pPr>
              <w:spacing w:after="0"/>
              <w:rPr>
                <w:sz w:val="17"/>
                <w:szCs w:val="17"/>
                <w:color w:val="auto"/>
              </w:rPr>
            </w:pPr>
          </w:p>
        </w:tc>
        <w:tc>
          <w:tcPr>
            <w:tcW w:w="1560" w:type="dxa"/>
            <w:vAlign w:val="bottom"/>
            <w:tcBorders>
              <w:bottom w:val="single" w:sz="8" w:color="00539B"/>
            </w:tcBorders>
          </w:tcPr>
          <w:p>
            <w:pPr>
              <w:jc w:val="right"/>
              <w:ind w:right="48"/>
              <w:spacing w:after="0"/>
              <w:rPr>
                <w:sz w:val="20"/>
                <w:szCs w:val="20"/>
                <w:color w:val="auto"/>
              </w:rPr>
            </w:pPr>
            <w:r>
              <w:rPr>
                <w:rFonts w:ascii="Arial" w:cs="Arial" w:eastAsia="Arial" w:hAnsi="Arial"/>
                <w:sz w:val="14"/>
                <w:szCs w:val="14"/>
                <w:color w:val="auto"/>
              </w:rPr>
              <w:t>52.6</w:t>
            </w:r>
          </w:p>
        </w:tc>
        <w:tc>
          <w:tcPr>
            <w:tcW w:w="320" w:type="dxa"/>
            <w:vAlign w:val="bottom"/>
            <w:tcBorders>
              <w:bottom w:val="single" w:sz="8" w:color="00539B"/>
            </w:tcBorders>
          </w:tcPr>
          <w:p>
            <w:pPr>
              <w:spacing w:after="0"/>
              <w:rPr>
                <w:sz w:val="17"/>
                <w:szCs w:val="17"/>
                <w:color w:val="auto"/>
              </w:rPr>
            </w:pPr>
          </w:p>
        </w:tc>
        <w:tc>
          <w:tcPr>
            <w:tcW w:w="1640" w:type="dxa"/>
            <w:vAlign w:val="bottom"/>
            <w:tcBorders>
              <w:bottom w:val="single" w:sz="8" w:color="00539B"/>
            </w:tcBorders>
          </w:tcPr>
          <w:p>
            <w:pPr>
              <w:jc w:val="right"/>
              <w:ind w:right="148"/>
              <w:spacing w:after="0"/>
              <w:rPr>
                <w:sz w:val="20"/>
                <w:szCs w:val="20"/>
                <w:color w:val="auto"/>
              </w:rPr>
            </w:pPr>
            <w:r>
              <w:rPr>
                <w:rFonts w:ascii="Arial" w:cs="Arial" w:eastAsia="Arial" w:hAnsi="Arial"/>
                <w:sz w:val="14"/>
                <w:szCs w:val="14"/>
                <w:color w:val="auto"/>
              </w:rPr>
              <w:t>56.2</w:t>
            </w:r>
          </w:p>
        </w:tc>
        <w:tc>
          <w:tcPr>
            <w:tcW w:w="400" w:type="dxa"/>
            <w:vAlign w:val="bottom"/>
            <w:tcBorders>
              <w:bottom w:val="single" w:sz="8" w:color="00539B"/>
            </w:tcBorders>
            <w:shd w:val="clear" w:color="auto" w:fill="E0E3F1"/>
          </w:tcPr>
          <w:p>
            <w:pPr>
              <w:spacing w:after="0"/>
              <w:rPr>
                <w:sz w:val="17"/>
                <w:szCs w:val="17"/>
                <w:color w:val="auto"/>
              </w:rPr>
            </w:pPr>
          </w:p>
        </w:tc>
        <w:tc>
          <w:tcPr>
            <w:tcW w:w="130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108.8</w:t>
            </w:r>
          </w:p>
        </w:tc>
      </w:tr>
      <w:tr>
        <w:trPr>
          <w:trHeight w:val="192"/>
        </w:trPr>
        <w:tc>
          <w:tcPr>
            <w:tcW w:w="2940" w:type="dxa"/>
            <w:vAlign w:val="bottom"/>
          </w:tcPr>
          <w:p>
            <w:pPr>
              <w:ind w:left="20"/>
              <w:spacing w:after="0"/>
              <w:rPr>
                <w:sz w:val="20"/>
                <w:szCs w:val="20"/>
                <w:color w:val="auto"/>
              </w:rPr>
            </w:pPr>
            <w:r>
              <w:rPr>
                <w:rFonts w:ascii="Arial" w:cs="Arial" w:eastAsia="Arial" w:hAnsi="Arial"/>
                <w:sz w:val="14"/>
                <w:szCs w:val="14"/>
                <w:color w:val="auto"/>
              </w:rPr>
              <w:t>Total lease payments</w:t>
            </w:r>
          </w:p>
        </w:tc>
        <w:tc>
          <w:tcPr>
            <w:tcW w:w="1640" w:type="dxa"/>
            <w:vAlign w:val="bottom"/>
          </w:tcPr>
          <w:p>
            <w:pPr>
              <w:spacing w:after="0"/>
              <w:rPr>
                <w:sz w:val="16"/>
                <w:szCs w:val="16"/>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254.4</w:t>
            </w:r>
          </w:p>
        </w:tc>
        <w:tc>
          <w:tcPr>
            <w:tcW w:w="320" w:type="dxa"/>
            <w:vAlign w:val="bottom"/>
          </w:tcPr>
          <w:p>
            <w:pPr>
              <w:spacing w:after="0"/>
              <w:rPr>
                <w:sz w:val="16"/>
                <w:szCs w:val="16"/>
                <w:color w:val="auto"/>
              </w:rPr>
            </w:pPr>
          </w:p>
        </w:tc>
        <w:tc>
          <w:tcPr>
            <w:tcW w:w="1640" w:type="dxa"/>
            <w:vAlign w:val="bottom"/>
          </w:tcPr>
          <w:p>
            <w:pPr>
              <w:jc w:val="right"/>
              <w:ind w:right="148"/>
              <w:spacing w:after="0"/>
              <w:rPr>
                <w:sz w:val="20"/>
                <w:szCs w:val="20"/>
                <w:color w:val="auto"/>
              </w:rPr>
            </w:pPr>
            <w:r>
              <w:rPr>
                <w:rFonts w:ascii="Arial" w:cs="Arial" w:eastAsia="Arial" w:hAnsi="Arial"/>
                <w:sz w:val="14"/>
                <w:szCs w:val="14"/>
                <w:color w:val="auto"/>
              </w:rPr>
              <w:t>118.6</w:t>
            </w:r>
          </w:p>
        </w:tc>
        <w:tc>
          <w:tcPr>
            <w:tcW w:w="400" w:type="dxa"/>
            <w:vAlign w:val="bottom"/>
            <w:shd w:val="clear" w:color="auto" w:fill="E0E3F1"/>
          </w:tcPr>
          <w:p>
            <w:pPr>
              <w:spacing w:after="0"/>
              <w:rPr>
                <w:sz w:val="16"/>
                <w:szCs w:val="16"/>
                <w:color w:val="auto"/>
              </w:rPr>
            </w:pPr>
          </w:p>
        </w:tc>
        <w:tc>
          <w:tcPr>
            <w:tcW w:w="1300" w:type="dxa"/>
            <w:vAlign w:val="bottom"/>
            <w:shd w:val="clear" w:color="auto" w:fill="E0E3F1"/>
          </w:tcPr>
          <w:p>
            <w:pPr>
              <w:jc w:val="right"/>
              <w:spacing w:after="0"/>
              <w:rPr>
                <w:sz w:val="20"/>
                <w:szCs w:val="20"/>
                <w:color w:val="auto"/>
              </w:rPr>
            </w:pPr>
            <w:r>
              <w:rPr>
                <w:rFonts w:ascii="Arial" w:cs="Arial" w:eastAsia="Arial" w:hAnsi="Arial"/>
                <w:sz w:val="14"/>
                <w:szCs w:val="14"/>
                <w:color w:val="auto"/>
              </w:rPr>
              <w:t>373.0</w:t>
            </w:r>
          </w:p>
        </w:tc>
      </w:tr>
      <w:tr>
        <w:trPr>
          <w:trHeight w:val="207"/>
        </w:trPr>
        <w:tc>
          <w:tcPr>
            <w:tcW w:w="294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Less: Imputed interest</w:t>
            </w:r>
          </w:p>
        </w:tc>
        <w:tc>
          <w:tcPr>
            <w:tcW w:w="1640" w:type="dxa"/>
            <w:vAlign w:val="bottom"/>
            <w:tcBorders>
              <w:bottom w:val="single" w:sz="8" w:color="00539B"/>
            </w:tcBorders>
          </w:tcPr>
          <w:p>
            <w:pPr>
              <w:spacing w:after="0"/>
              <w:rPr>
                <w:sz w:val="17"/>
                <w:szCs w:val="17"/>
                <w:color w:val="auto"/>
              </w:rPr>
            </w:pPr>
          </w:p>
        </w:tc>
        <w:tc>
          <w:tcPr>
            <w:tcW w:w="1560" w:type="dxa"/>
            <w:vAlign w:val="bottom"/>
            <w:tcBorders>
              <w:bottom w:val="single" w:sz="8" w:color="00539B"/>
            </w:tcBorders>
          </w:tcPr>
          <w:p>
            <w:pPr>
              <w:jc w:val="right"/>
              <w:ind w:right="48"/>
              <w:spacing w:after="0"/>
              <w:rPr>
                <w:sz w:val="20"/>
                <w:szCs w:val="20"/>
                <w:color w:val="auto"/>
              </w:rPr>
            </w:pPr>
            <w:r>
              <w:rPr>
                <w:rFonts w:ascii="Arial" w:cs="Arial" w:eastAsia="Arial" w:hAnsi="Arial"/>
                <w:sz w:val="14"/>
                <w:szCs w:val="14"/>
                <w:color w:val="auto"/>
              </w:rPr>
              <w:t>27.8</w:t>
            </w:r>
          </w:p>
        </w:tc>
        <w:tc>
          <w:tcPr>
            <w:tcW w:w="320" w:type="dxa"/>
            <w:vAlign w:val="bottom"/>
            <w:tcBorders>
              <w:bottom w:val="single" w:sz="8" w:color="00539B"/>
            </w:tcBorders>
          </w:tcPr>
          <w:p>
            <w:pPr>
              <w:spacing w:after="0"/>
              <w:rPr>
                <w:sz w:val="17"/>
                <w:szCs w:val="17"/>
                <w:color w:val="auto"/>
              </w:rPr>
            </w:pPr>
          </w:p>
        </w:tc>
        <w:tc>
          <w:tcPr>
            <w:tcW w:w="1640" w:type="dxa"/>
            <w:vAlign w:val="bottom"/>
            <w:tcBorders>
              <w:bottom w:val="single" w:sz="8" w:color="00539B"/>
            </w:tcBorders>
          </w:tcPr>
          <w:p>
            <w:pPr>
              <w:jc w:val="right"/>
              <w:ind w:right="148"/>
              <w:spacing w:after="0"/>
              <w:rPr>
                <w:sz w:val="20"/>
                <w:szCs w:val="20"/>
                <w:color w:val="auto"/>
              </w:rPr>
            </w:pPr>
            <w:r>
              <w:rPr>
                <w:rFonts w:ascii="Arial" w:cs="Arial" w:eastAsia="Arial" w:hAnsi="Arial"/>
                <w:sz w:val="14"/>
                <w:szCs w:val="14"/>
                <w:color w:val="auto"/>
              </w:rPr>
              <w:t>23.6</w:t>
            </w:r>
          </w:p>
        </w:tc>
        <w:tc>
          <w:tcPr>
            <w:tcW w:w="400" w:type="dxa"/>
            <w:vAlign w:val="bottom"/>
            <w:tcBorders>
              <w:bottom w:val="single" w:sz="8" w:color="00539B"/>
            </w:tcBorders>
            <w:shd w:val="clear" w:color="auto" w:fill="E0E3F1"/>
          </w:tcPr>
          <w:p>
            <w:pPr>
              <w:spacing w:after="0"/>
              <w:rPr>
                <w:sz w:val="17"/>
                <w:szCs w:val="17"/>
                <w:color w:val="auto"/>
              </w:rPr>
            </w:pPr>
          </w:p>
        </w:tc>
        <w:tc>
          <w:tcPr>
            <w:tcW w:w="130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51.4</w:t>
            </w:r>
          </w:p>
        </w:tc>
      </w:tr>
      <w:tr>
        <w:trPr>
          <w:trHeight w:val="207"/>
        </w:trPr>
        <w:tc>
          <w:tcPr>
            <w:tcW w:w="2940" w:type="dxa"/>
            <w:vAlign w:val="bottom"/>
            <w:tcBorders>
              <w:bottom w:val="single" w:sz="8" w:color="00539B"/>
            </w:tcBorders>
          </w:tcPr>
          <w:p>
            <w:pPr>
              <w:ind w:left="240"/>
              <w:spacing w:after="0"/>
              <w:rPr>
                <w:sz w:val="20"/>
                <w:szCs w:val="20"/>
                <w:color w:val="auto"/>
              </w:rPr>
            </w:pPr>
            <w:r>
              <w:rPr>
                <w:rFonts w:ascii="Arial" w:cs="Arial" w:eastAsia="Arial" w:hAnsi="Arial"/>
                <w:sz w:val="14"/>
                <w:szCs w:val="14"/>
                <w:color w:val="auto"/>
              </w:rPr>
              <w:t>Total lease liabilities</w:t>
            </w:r>
          </w:p>
        </w:tc>
        <w:tc>
          <w:tcPr>
            <w:tcW w:w="1640" w:type="dxa"/>
            <w:vAlign w:val="bottom"/>
            <w:tcBorders>
              <w:bottom w:val="single" w:sz="8" w:color="00539B"/>
            </w:tcBorders>
          </w:tcPr>
          <w:p>
            <w:pPr>
              <w:jc w:val="right"/>
              <w:ind w:right="4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00539B"/>
            </w:tcBorders>
          </w:tcPr>
          <w:p>
            <w:pPr>
              <w:jc w:val="right"/>
              <w:ind w:right="48"/>
              <w:spacing w:after="0"/>
              <w:rPr>
                <w:sz w:val="20"/>
                <w:szCs w:val="20"/>
                <w:color w:val="auto"/>
              </w:rPr>
            </w:pPr>
            <w:r>
              <w:rPr>
                <w:rFonts w:ascii="Arial" w:cs="Arial" w:eastAsia="Arial" w:hAnsi="Arial"/>
                <w:sz w:val="14"/>
                <w:szCs w:val="14"/>
                <w:color w:val="auto"/>
              </w:rPr>
              <w:t>226.6</w:t>
            </w:r>
          </w:p>
        </w:tc>
        <w:tc>
          <w:tcPr>
            <w:tcW w:w="320" w:type="dxa"/>
            <w:vAlign w:val="bottom"/>
            <w:tcBorders>
              <w:bottom w:val="single" w:sz="8" w:color="00539B"/>
            </w:tcBorders>
          </w:tcPr>
          <w:p>
            <w:pPr>
              <w:jc w:val="right"/>
              <w:ind w:right="68"/>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00539B"/>
            </w:tcBorders>
          </w:tcPr>
          <w:p>
            <w:pPr>
              <w:jc w:val="right"/>
              <w:ind w:right="148"/>
              <w:spacing w:after="0"/>
              <w:rPr>
                <w:sz w:val="20"/>
                <w:szCs w:val="20"/>
                <w:color w:val="auto"/>
              </w:rPr>
            </w:pPr>
            <w:r>
              <w:rPr>
                <w:rFonts w:ascii="Arial" w:cs="Arial" w:eastAsia="Arial" w:hAnsi="Arial"/>
                <w:sz w:val="14"/>
                <w:szCs w:val="14"/>
                <w:color w:val="auto"/>
              </w:rPr>
              <w:t>95.0</w:t>
            </w:r>
          </w:p>
        </w:tc>
        <w:tc>
          <w:tcPr>
            <w:tcW w:w="400" w:type="dxa"/>
            <w:vAlign w:val="bottom"/>
            <w:tcBorders>
              <w:bottom w:val="single" w:sz="8" w:color="00539B"/>
            </w:tcBorders>
            <w:shd w:val="clear" w:color="auto" w:fill="E0E3F1"/>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321.6</w:t>
            </w: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and other information related to leases for the years ended November 30 were as follows (in millions):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00" w:type="dxa"/>
            <w:vAlign w:val="bottom"/>
            <w:tcBorders>
              <w:top w:val="single" w:sz="8" w:color="00539B"/>
              <w:bottom w:val="single" w:sz="8" w:color="00539B"/>
            </w:tcBorders>
          </w:tcPr>
          <w:p>
            <w:pPr>
              <w:spacing w:after="0"/>
              <w:rPr>
                <w:sz w:val="18"/>
                <w:szCs w:val="18"/>
                <w:color w:val="auto"/>
              </w:rPr>
            </w:pPr>
          </w:p>
        </w:tc>
        <w:tc>
          <w:tcPr>
            <w:tcW w:w="1280" w:type="dxa"/>
            <w:vAlign w:val="bottom"/>
            <w:tcBorders>
              <w:top w:val="single" w:sz="8" w:color="00539B"/>
              <w:bottom w:val="single" w:sz="8" w:color="00539B"/>
            </w:tcBorders>
            <w:shd w:val="clear" w:color="auto" w:fill="E0E3F1"/>
          </w:tcPr>
          <w:p>
            <w:pPr>
              <w:jc w:val="right"/>
              <w:ind w:right="128"/>
              <w:spacing w:after="0"/>
              <w:rPr>
                <w:sz w:val="20"/>
                <w:szCs w:val="20"/>
                <w:color w:val="auto"/>
              </w:rPr>
            </w:pPr>
            <w:r>
              <w:rPr>
                <w:rFonts w:ascii="Arial" w:cs="Arial" w:eastAsia="Arial" w:hAnsi="Arial"/>
                <w:sz w:val="14"/>
                <w:szCs w:val="14"/>
                <w:color w:val="auto"/>
              </w:rPr>
              <w:t>2025</w:t>
            </w:r>
          </w:p>
        </w:tc>
        <w:tc>
          <w:tcPr>
            <w:tcW w:w="560" w:type="dxa"/>
            <w:vAlign w:val="bottom"/>
            <w:tcBorders>
              <w:top w:val="single" w:sz="8" w:color="00539B"/>
              <w:bottom w:val="single" w:sz="8" w:color="00539B"/>
            </w:tcBorders>
            <w:shd w:val="clear" w:color="auto" w:fill="E0E3F1"/>
          </w:tcPr>
          <w:p>
            <w:pPr>
              <w:spacing w:after="0"/>
              <w:rPr>
                <w:sz w:val="18"/>
                <w:szCs w:val="18"/>
                <w:color w:val="auto"/>
              </w:rPr>
            </w:pPr>
          </w:p>
        </w:tc>
        <w:tc>
          <w:tcPr>
            <w:tcW w:w="440" w:type="dxa"/>
            <w:vAlign w:val="bottom"/>
            <w:tcBorders>
              <w:top w:val="single" w:sz="8" w:color="00539B"/>
              <w:bottom w:val="single" w:sz="8" w:color="00539B"/>
            </w:tcBorders>
          </w:tcPr>
          <w:p>
            <w:pPr>
              <w:spacing w:after="0"/>
              <w:rPr>
                <w:sz w:val="18"/>
                <w:szCs w:val="18"/>
                <w:color w:val="auto"/>
              </w:rPr>
            </w:pPr>
          </w:p>
        </w:tc>
        <w:tc>
          <w:tcPr>
            <w:tcW w:w="1380" w:type="dxa"/>
            <w:vAlign w:val="bottom"/>
            <w:tcBorders>
              <w:top w:val="single" w:sz="8" w:color="00539B"/>
              <w:bottom w:val="single" w:sz="8" w:color="00539B"/>
            </w:tcBorders>
          </w:tcPr>
          <w:p>
            <w:pPr>
              <w:jc w:val="right"/>
              <w:ind w:right="668"/>
              <w:spacing w:after="0"/>
              <w:rPr>
                <w:sz w:val="20"/>
                <w:szCs w:val="20"/>
                <w:color w:val="auto"/>
              </w:rPr>
            </w:pPr>
            <w:r>
              <w:rPr>
                <w:rFonts w:ascii="Arial" w:cs="Arial" w:eastAsia="Arial" w:hAnsi="Arial"/>
                <w:sz w:val="14"/>
                <w:szCs w:val="14"/>
                <w:color w:val="auto"/>
              </w:rPr>
              <w:t>2024</w:t>
            </w:r>
          </w:p>
        </w:tc>
        <w:tc>
          <w:tcPr>
            <w:tcW w:w="460" w:type="dxa"/>
            <w:vAlign w:val="bottom"/>
            <w:tcBorders>
              <w:top w:val="single" w:sz="8" w:color="00539B"/>
              <w:bottom w:val="single" w:sz="8" w:color="00539B"/>
            </w:tcBorders>
          </w:tcPr>
          <w:p>
            <w:pPr>
              <w:spacing w:after="0"/>
              <w:rPr>
                <w:sz w:val="18"/>
                <w:szCs w:val="18"/>
                <w:color w:val="auto"/>
              </w:rPr>
            </w:pPr>
          </w:p>
        </w:tc>
        <w:tc>
          <w:tcPr>
            <w:tcW w:w="1420" w:type="dxa"/>
            <w:vAlign w:val="bottom"/>
            <w:tcBorders>
              <w:top w:val="single" w:sz="8" w:color="00539B"/>
              <w:bottom w:val="single" w:sz="8" w:color="00539B"/>
            </w:tcBorders>
          </w:tcPr>
          <w:p>
            <w:pPr>
              <w:jc w:val="right"/>
              <w:ind w:right="688"/>
              <w:spacing w:after="0"/>
              <w:rPr>
                <w:sz w:val="20"/>
                <w:szCs w:val="20"/>
                <w:color w:val="auto"/>
              </w:rPr>
            </w:pPr>
            <w:r>
              <w:rPr>
                <w:rFonts w:ascii="Arial" w:cs="Arial" w:eastAsia="Arial" w:hAnsi="Arial"/>
                <w:sz w:val="14"/>
                <w:szCs w:val="14"/>
                <w:color w:val="auto"/>
              </w:rPr>
              <w:t>2023</w:t>
            </w:r>
          </w:p>
        </w:tc>
      </w:tr>
      <w:tr>
        <w:trPr>
          <w:trHeight w:val="192"/>
        </w:trPr>
        <w:tc>
          <w:tcPr>
            <w:tcW w:w="5700" w:type="dxa"/>
            <w:vAlign w:val="bottom"/>
          </w:tcPr>
          <w:p>
            <w:pPr>
              <w:ind w:left="20"/>
              <w:spacing w:after="0"/>
              <w:rPr>
                <w:sz w:val="20"/>
                <w:szCs w:val="20"/>
                <w:color w:val="auto"/>
              </w:rPr>
            </w:pPr>
            <w:r>
              <w:rPr>
                <w:rFonts w:ascii="Arial" w:cs="Arial" w:eastAsia="Arial" w:hAnsi="Arial"/>
                <w:sz w:val="14"/>
                <w:szCs w:val="14"/>
                <w:color w:val="auto"/>
              </w:rPr>
              <w:t>Cash paid for amounts included in the measurements of lease liabilities:</w:t>
            </w:r>
          </w:p>
        </w:tc>
        <w:tc>
          <w:tcPr>
            <w:tcW w:w="1280" w:type="dxa"/>
            <w:vAlign w:val="bottom"/>
            <w:shd w:val="clear" w:color="auto" w:fill="E0E3F1"/>
          </w:tcPr>
          <w:p>
            <w:pPr>
              <w:spacing w:after="0"/>
              <w:rPr>
                <w:sz w:val="16"/>
                <w:szCs w:val="16"/>
                <w:color w:val="auto"/>
              </w:rPr>
            </w:pPr>
          </w:p>
        </w:tc>
        <w:tc>
          <w:tcPr>
            <w:tcW w:w="560" w:type="dxa"/>
            <w:vAlign w:val="bottom"/>
            <w:shd w:val="clear" w:color="auto" w:fill="E0E3F1"/>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03"/>
        </w:trPr>
        <w:tc>
          <w:tcPr>
            <w:tcW w:w="5700" w:type="dxa"/>
            <w:vAlign w:val="bottom"/>
          </w:tcPr>
          <w:p>
            <w:pPr>
              <w:ind w:left="240"/>
              <w:spacing w:after="0"/>
              <w:rPr>
                <w:sz w:val="20"/>
                <w:szCs w:val="20"/>
                <w:color w:val="auto"/>
              </w:rPr>
            </w:pPr>
            <w:r>
              <w:rPr>
                <w:rFonts w:ascii="Arial" w:cs="Arial" w:eastAsia="Arial" w:hAnsi="Arial"/>
                <w:sz w:val="14"/>
                <w:szCs w:val="14"/>
                <w:color w:val="auto"/>
              </w:rPr>
              <w:t>Operating cash flows used for operating leases</w:t>
            </w:r>
          </w:p>
        </w:tc>
        <w:tc>
          <w:tcPr>
            <w:tcW w:w="1280" w:type="dxa"/>
            <w:vAlign w:val="bottom"/>
            <w:shd w:val="clear" w:color="auto" w:fill="E0E3F1"/>
          </w:tcPr>
          <w:p>
            <w:pPr>
              <w:jc w:val="right"/>
              <w:ind w:right="1128"/>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68.3</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66.8</w:t>
            </w:r>
          </w:p>
        </w:tc>
        <w:tc>
          <w:tcPr>
            <w:tcW w:w="4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64.5</w:t>
            </w:r>
          </w:p>
        </w:tc>
      </w:tr>
      <w:tr>
        <w:trPr>
          <w:trHeight w:val="203"/>
        </w:trPr>
        <w:tc>
          <w:tcPr>
            <w:tcW w:w="5700" w:type="dxa"/>
            <w:vAlign w:val="bottom"/>
          </w:tcPr>
          <w:p>
            <w:pPr>
              <w:ind w:left="240"/>
              <w:spacing w:after="0"/>
              <w:rPr>
                <w:sz w:val="20"/>
                <w:szCs w:val="20"/>
                <w:color w:val="auto"/>
              </w:rPr>
            </w:pPr>
            <w:r>
              <w:rPr>
                <w:rFonts w:ascii="Arial" w:cs="Arial" w:eastAsia="Arial" w:hAnsi="Arial"/>
                <w:sz w:val="14"/>
                <w:szCs w:val="14"/>
                <w:color w:val="auto"/>
              </w:rPr>
              <w:t>Operating cash flows used for finance leases</w:t>
            </w:r>
          </w:p>
        </w:tc>
        <w:tc>
          <w:tcPr>
            <w:tcW w:w="1280" w:type="dxa"/>
            <w:vAlign w:val="bottom"/>
            <w:shd w:val="clear" w:color="auto" w:fill="E0E3F1"/>
          </w:tcPr>
          <w:p>
            <w:pPr>
              <w:spacing w:after="0"/>
              <w:rPr>
                <w:sz w:val="17"/>
                <w:szCs w:val="17"/>
                <w:color w:val="auto"/>
              </w:rPr>
            </w:pPr>
          </w:p>
        </w:tc>
        <w:tc>
          <w:tcPr>
            <w:tcW w:w="5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3.4</w:t>
            </w:r>
          </w:p>
        </w:tc>
        <w:tc>
          <w:tcPr>
            <w:tcW w:w="4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3.7</w:t>
            </w:r>
          </w:p>
        </w:tc>
        <w:tc>
          <w:tcPr>
            <w:tcW w:w="4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203"/>
        </w:trPr>
        <w:tc>
          <w:tcPr>
            <w:tcW w:w="5700" w:type="dxa"/>
            <w:vAlign w:val="bottom"/>
          </w:tcPr>
          <w:p>
            <w:pPr>
              <w:ind w:left="240"/>
              <w:spacing w:after="0"/>
              <w:rPr>
                <w:sz w:val="20"/>
                <w:szCs w:val="20"/>
                <w:color w:val="auto"/>
              </w:rPr>
            </w:pPr>
            <w:r>
              <w:rPr>
                <w:rFonts w:ascii="Arial" w:cs="Arial" w:eastAsia="Arial" w:hAnsi="Arial"/>
                <w:sz w:val="14"/>
                <w:szCs w:val="14"/>
                <w:color w:val="auto"/>
              </w:rPr>
              <w:t>Financing cash flows used for finance leases</w:t>
            </w:r>
          </w:p>
        </w:tc>
        <w:tc>
          <w:tcPr>
            <w:tcW w:w="1280" w:type="dxa"/>
            <w:vAlign w:val="bottom"/>
            <w:shd w:val="clear" w:color="auto" w:fill="E0E3F1"/>
          </w:tcPr>
          <w:p>
            <w:pPr>
              <w:spacing w:after="0"/>
              <w:rPr>
                <w:sz w:val="17"/>
                <w:szCs w:val="17"/>
                <w:color w:val="auto"/>
              </w:rPr>
            </w:pPr>
          </w:p>
        </w:tc>
        <w:tc>
          <w:tcPr>
            <w:tcW w:w="5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8.4</w:t>
            </w:r>
          </w:p>
        </w:tc>
        <w:tc>
          <w:tcPr>
            <w:tcW w:w="4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8.0</w:t>
            </w:r>
          </w:p>
        </w:tc>
        <w:tc>
          <w:tcPr>
            <w:tcW w:w="4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7.6</w:t>
            </w:r>
          </w:p>
        </w:tc>
      </w:tr>
      <w:tr>
        <w:trPr>
          <w:trHeight w:val="203"/>
        </w:trPr>
        <w:tc>
          <w:tcPr>
            <w:tcW w:w="5700" w:type="dxa"/>
            <w:vAlign w:val="bottom"/>
          </w:tcPr>
          <w:p>
            <w:pPr>
              <w:ind w:left="20"/>
              <w:spacing w:after="0"/>
              <w:rPr>
                <w:sz w:val="20"/>
                <w:szCs w:val="20"/>
                <w:color w:val="auto"/>
              </w:rPr>
            </w:pPr>
            <w:r>
              <w:rPr>
                <w:rFonts w:ascii="Arial" w:cs="Arial" w:eastAsia="Arial" w:hAnsi="Arial"/>
                <w:sz w:val="14"/>
                <w:szCs w:val="14"/>
                <w:color w:val="auto"/>
              </w:rPr>
              <w:t>ROU assets obtained in exchange for lease liabilities</w:t>
            </w:r>
          </w:p>
        </w:tc>
        <w:tc>
          <w:tcPr>
            <w:tcW w:w="1280" w:type="dxa"/>
            <w:vAlign w:val="bottom"/>
            <w:shd w:val="clear" w:color="auto" w:fill="E0E3F1"/>
          </w:tcPr>
          <w:p>
            <w:pPr>
              <w:spacing w:after="0"/>
              <w:rPr>
                <w:sz w:val="17"/>
                <w:szCs w:val="17"/>
                <w:color w:val="auto"/>
              </w:rPr>
            </w:pPr>
          </w:p>
        </w:tc>
        <w:tc>
          <w:tcPr>
            <w:tcW w:w="560" w:type="dxa"/>
            <w:vAlign w:val="bottom"/>
            <w:shd w:val="clear" w:color="auto" w:fill="E0E3F1"/>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18"/>
        </w:trPr>
        <w:tc>
          <w:tcPr>
            <w:tcW w:w="5700" w:type="dxa"/>
            <w:vAlign w:val="bottom"/>
            <w:tcBorders>
              <w:bottom w:val="single" w:sz="8" w:color="00539B"/>
            </w:tcBorders>
          </w:tcPr>
          <w:p>
            <w:pPr>
              <w:ind w:left="240"/>
              <w:spacing w:after="0"/>
              <w:rPr>
                <w:sz w:val="20"/>
                <w:szCs w:val="20"/>
                <w:color w:val="auto"/>
              </w:rPr>
            </w:pPr>
            <w:r>
              <w:rPr>
                <w:rFonts w:ascii="Arial" w:cs="Arial" w:eastAsia="Arial" w:hAnsi="Arial"/>
                <w:sz w:val="14"/>
                <w:szCs w:val="14"/>
                <w:color w:val="auto"/>
              </w:rPr>
              <w:t>Operating leases</w:t>
            </w:r>
          </w:p>
        </w:tc>
        <w:tc>
          <w:tcPr>
            <w:tcW w:w="1280" w:type="dxa"/>
            <w:vAlign w:val="bottom"/>
            <w:tcBorders>
              <w:bottom w:val="single" w:sz="8" w:color="00539B"/>
            </w:tcBorders>
            <w:shd w:val="clear" w:color="auto" w:fill="E0E3F1"/>
          </w:tcPr>
          <w:p>
            <w:pPr>
              <w:jc w:val="right"/>
              <w:ind w:right="1128"/>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60.0</w:t>
            </w:r>
          </w:p>
        </w:tc>
        <w:tc>
          <w:tcPr>
            <w:tcW w:w="440" w:type="dxa"/>
            <w:vAlign w:val="bottom"/>
            <w:tcBorders>
              <w:bottom w:val="single" w:sz="8" w:color="00539B"/>
            </w:tcBorders>
          </w:tcPr>
          <w:p>
            <w:pPr>
              <w:jc w:val="right"/>
              <w:ind w:right="26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47.6</w:t>
            </w:r>
          </w:p>
        </w:tc>
        <w:tc>
          <w:tcPr>
            <w:tcW w:w="460" w:type="dxa"/>
            <w:vAlign w:val="bottom"/>
            <w:tcBorders>
              <w:bottom w:val="single" w:sz="8" w:color="00539B"/>
            </w:tcBorders>
          </w:tcPr>
          <w:p>
            <w:pPr>
              <w:jc w:val="right"/>
              <w:ind w:right="26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52.1</w:t>
            </w: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00539B"/>
        </w:rPr>
        <w:t>7. FINANCIAL INSTRUMENTS</w:t>
      </w:r>
    </w:p>
    <w:p>
      <w:pPr>
        <w:spacing w:after="0" w:line="90"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We use derivative financial instruments to enhance our ability to manage risk, including foreign currency and interest rate exposures, which exist as part of our ongoing business operations. We do not enter into contracts for trading purposes, nor are we a party to any leveraged derivative instrument and all derivatives are designated as hedges. We are not a party to master netting arrangements, and we do not offset the fair value of derivative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62" w:name="page63"/>
    <w:bookmarkEnd w:id="62"/>
    <w:p>
      <w:pPr>
        <w:ind w:right="140"/>
        <w:spacing w:after="0" w:line="287" w:lineRule="auto"/>
        <w:rPr>
          <w:sz w:val="20"/>
          <w:szCs w:val="20"/>
          <w:color w:val="auto"/>
        </w:rPr>
      </w:pPr>
      <w:r>
        <w:rPr>
          <w:rFonts w:ascii="Arial" w:cs="Arial" w:eastAsia="Arial" w:hAnsi="Arial"/>
          <w:sz w:val="18"/>
          <w:szCs w:val="18"/>
          <w:color w:val="auto"/>
        </w:rPr>
        <w:t>contracts with the same counterparty in our financial statement disclosures. The use of derivative financial instruments is monitored through regular communication with senior management and the use of written guidelines.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539B"/>
        </w:rPr>
        <w:t>Foreign Currency</w:t>
      </w:r>
    </w:p>
    <w:p>
      <w:pPr>
        <w:spacing w:after="0" w:line="27"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We are potentially exposed to foreign currency fluctuations affecting net investments in subsidiaries, transactions (both third-party and intercompany) and earnings denominated in foreign currencies. Management assesses foreign currency risk based on transactional cash flows and translational volatility and may enter into forward contract and currency swaps with highly-rated financial institutions to reduce fluctuations in the long or short currency positions. Forward contracts are generally less than 18 months duration. Currency swap agreements are established in conjunction with the terms of the underlying debt issues.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notional amounts of outstanding foreign currency exchange contracts as of November 30, 2025 and 2024:</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660" w:type="dxa"/>
            <w:vAlign w:val="bottom"/>
            <w:tcBorders>
              <w:top w:val="single" w:sz="8" w:color="00539B"/>
              <w:bottom w:val="single" w:sz="8" w:color="00539B"/>
            </w:tcBorders>
          </w:tcPr>
          <w:p>
            <w:pPr>
              <w:ind w:left="20"/>
              <w:spacing w:after="0"/>
              <w:rPr>
                <w:sz w:val="20"/>
                <w:szCs w:val="20"/>
                <w:color w:val="auto"/>
              </w:rPr>
            </w:pPr>
            <w:r>
              <w:rPr>
                <w:rFonts w:ascii="Arial" w:cs="Arial" w:eastAsia="Arial" w:hAnsi="Arial"/>
                <w:sz w:val="14"/>
                <w:szCs w:val="14"/>
                <w:color w:val="auto"/>
              </w:rPr>
              <w:t>(millions)</w:t>
            </w:r>
          </w:p>
        </w:tc>
        <w:tc>
          <w:tcPr>
            <w:tcW w:w="780" w:type="dxa"/>
            <w:vAlign w:val="bottom"/>
            <w:tcBorders>
              <w:top w:val="single" w:sz="8" w:color="00539B"/>
              <w:bottom w:val="single" w:sz="8" w:color="00539B"/>
            </w:tcBorders>
            <w:shd w:val="clear" w:color="auto" w:fill="E0E3F1"/>
          </w:tcPr>
          <w:p>
            <w:pPr>
              <w:spacing w:after="0"/>
              <w:rPr>
                <w:sz w:val="19"/>
                <w:szCs w:val="19"/>
                <w:color w:val="auto"/>
              </w:rPr>
            </w:pPr>
          </w:p>
        </w:tc>
        <w:tc>
          <w:tcPr>
            <w:tcW w:w="2500" w:type="dxa"/>
            <w:vAlign w:val="bottom"/>
            <w:tcBorders>
              <w:top w:val="single" w:sz="8" w:color="00539B"/>
              <w:bottom w:val="single" w:sz="8" w:color="00539B"/>
            </w:tcBorders>
            <w:shd w:val="clear" w:color="auto" w:fill="E0E3F1"/>
          </w:tcPr>
          <w:p>
            <w:pPr>
              <w:jc w:val="right"/>
              <w:ind w:right="1408"/>
              <w:spacing w:after="0"/>
              <w:rPr>
                <w:sz w:val="20"/>
                <w:szCs w:val="20"/>
                <w:color w:val="auto"/>
              </w:rPr>
            </w:pPr>
            <w:r>
              <w:rPr>
                <w:rFonts w:ascii="Arial" w:cs="Arial" w:eastAsia="Arial" w:hAnsi="Arial"/>
                <w:sz w:val="14"/>
                <w:szCs w:val="14"/>
                <w:color w:val="auto"/>
              </w:rPr>
              <w:t>2025</w:t>
            </w:r>
          </w:p>
        </w:tc>
        <w:tc>
          <w:tcPr>
            <w:tcW w:w="800" w:type="dxa"/>
            <w:vAlign w:val="bottom"/>
            <w:tcBorders>
              <w:top w:val="single" w:sz="8" w:color="00539B"/>
              <w:bottom w:val="single" w:sz="8" w:color="00539B"/>
            </w:tcBorders>
          </w:tcPr>
          <w:p>
            <w:pPr>
              <w:spacing w:after="0"/>
              <w:rPr>
                <w:sz w:val="19"/>
                <w:szCs w:val="19"/>
                <w:color w:val="auto"/>
              </w:rPr>
            </w:pPr>
          </w:p>
        </w:tc>
        <w:tc>
          <w:tcPr>
            <w:tcW w:w="2500" w:type="dxa"/>
            <w:vAlign w:val="bottom"/>
            <w:tcBorders>
              <w:top w:val="single" w:sz="8" w:color="00539B"/>
              <w:bottom w:val="single" w:sz="8" w:color="00539B"/>
            </w:tcBorders>
          </w:tcPr>
          <w:p>
            <w:pPr>
              <w:jc w:val="right"/>
              <w:ind w:right="1408"/>
              <w:spacing w:after="0"/>
              <w:rPr>
                <w:sz w:val="20"/>
                <w:szCs w:val="20"/>
                <w:color w:val="auto"/>
              </w:rPr>
            </w:pPr>
            <w:r>
              <w:rPr>
                <w:rFonts w:ascii="Arial" w:cs="Arial" w:eastAsia="Arial" w:hAnsi="Arial"/>
                <w:sz w:val="14"/>
                <w:szCs w:val="14"/>
                <w:color w:val="auto"/>
              </w:rPr>
              <w:t>2024</w:t>
            </w:r>
          </w:p>
        </w:tc>
      </w:tr>
      <w:tr>
        <w:trPr>
          <w:trHeight w:val="192"/>
        </w:trPr>
        <w:tc>
          <w:tcPr>
            <w:tcW w:w="4660" w:type="dxa"/>
            <w:vAlign w:val="bottom"/>
          </w:tcPr>
          <w:p>
            <w:pPr>
              <w:ind w:left="100"/>
              <w:spacing w:after="0"/>
              <w:rPr>
                <w:sz w:val="20"/>
                <w:szCs w:val="20"/>
                <w:color w:val="auto"/>
              </w:rPr>
            </w:pPr>
            <w:r>
              <w:rPr>
                <w:rFonts w:ascii="Arial" w:cs="Arial" w:eastAsia="Arial" w:hAnsi="Arial"/>
                <w:sz w:val="14"/>
                <w:szCs w:val="14"/>
                <w:color w:val="auto"/>
              </w:rPr>
              <w:t>Fair value hedges</w:t>
            </w:r>
          </w:p>
        </w:tc>
        <w:tc>
          <w:tcPr>
            <w:tcW w:w="780" w:type="dxa"/>
            <w:vAlign w:val="bottom"/>
            <w:shd w:val="clear" w:color="auto" w:fill="E0E3F1"/>
          </w:tcPr>
          <w:p>
            <w:pPr>
              <w:jc w:val="right"/>
              <w:ind w:right="608"/>
              <w:spacing w:after="0"/>
              <w:rPr>
                <w:sz w:val="20"/>
                <w:szCs w:val="20"/>
                <w:color w:val="auto"/>
              </w:rPr>
            </w:pPr>
            <w:r>
              <w:rPr>
                <w:rFonts w:ascii="Arial" w:cs="Arial" w:eastAsia="Arial" w:hAnsi="Arial"/>
                <w:sz w:val="14"/>
                <w:szCs w:val="14"/>
                <w:color w:val="auto"/>
              </w:rPr>
              <w:t>$</w:t>
            </w:r>
          </w:p>
        </w:tc>
        <w:tc>
          <w:tcPr>
            <w:tcW w:w="2500" w:type="dxa"/>
            <w:vAlign w:val="bottom"/>
            <w:shd w:val="clear" w:color="auto" w:fill="E0E3F1"/>
          </w:tcPr>
          <w:p>
            <w:pPr>
              <w:jc w:val="right"/>
              <w:spacing w:after="0"/>
              <w:rPr>
                <w:sz w:val="20"/>
                <w:szCs w:val="20"/>
                <w:color w:val="auto"/>
              </w:rPr>
            </w:pPr>
            <w:r>
              <w:rPr>
                <w:rFonts w:ascii="Arial" w:cs="Arial" w:eastAsia="Arial" w:hAnsi="Arial"/>
                <w:sz w:val="14"/>
                <w:szCs w:val="14"/>
                <w:color w:val="auto"/>
              </w:rPr>
              <w:t>877.3</w:t>
            </w:r>
          </w:p>
        </w:tc>
        <w:tc>
          <w:tcPr>
            <w:tcW w:w="80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2500" w:type="dxa"/>
            <w:vAlign w:val="bottom"/>
          </w:tcPr>
          <w:p>
            <w:pPr>
              <w:jc w:val="right"/>
              <w:spacing w:after="0"/>
              <w:rPr>
                <w:sz w:val="20"/>
                <w:szCs w:val="20"/>
                <w:color w:val="auto"/>
              </w:rPr>
            </w:pPr>
            <w:r>
              <w:rPr>
                <w:rFonts w:ascii="Arial" w:cs="Arial" w:eastAsia="Arial" w:hAnsi="Arial"/>
                <w:sz w:val="14"/>
                <w:szCs w:val="14"/>
                <w:color w:val="auto"/>
              </w:rPr>
              <w:t>818.1</w:t>
            </w:r>
          </w:p>
        </w:tc>
      </w:tr>
      <w:tr>
        <w:trPr>
          <w:trHeight w:val="207"/>
        </w:trPr>
        <w:tc>
          <w:tcPr>
            <w:tcW w:w="4660" w:type="dxa"/>
            <w:vAlign w:val="bottom"/>
            <w:tcBorders>
              <w:bottom w:val="single" w:sz="8" w:color="00539B"/>
            </w:tcBorders>
          </w:tcPr>
          <w:p>
            <w:pPr>
              <w:ind w:left="100"/>
              <w:spacing w:after="0"/>
              <w:rPr>
                <w:sz w:val="20"/>
                <w:szCs w:val="20"/>
                <w:color w:val="auto"/>
              </w:rPr>
            </w:pPr>
            <w:r>
              <w:rPr>
                <w:rFonts w:ascii="Arial" w:cs="Arial" w:eastAsia="Arial" w:hAnsi="Arial"/>
                <w:sz w:val="14"/>
                <w:szCs w:val="14"/>
                <w:color w:val="auto"/>
              </w:rPr>
              <w:t>Cash flow hedges</w:t>
            </w:r>
          </w:p>
        </w:tc>
        <w:tc>
          <w:tcPr>
            <w:tcW w:w="780" w:type="dxa"/>
            <w:vAlign w:val="bottom"/>
            <w:tcBorders>
              <w:bottom w:val="single" w:sz="8" w:color="00539B"/>
            </w:tcBorders>
            <w:shd w:val="clear" w:color="auto" w:fill="E0E3F1"/>
          </w:tcPr>
          <w:p>
            <w:pPr>
              <w:spacing w:after="0"/>
              <w:rPr>
                <w:sz w:val="17"/>
                <w:szCs w:val="17"/>
                <w:color w:val="auto"/>
              </w:rPr>
            </w:pPr>
          </w:p>
        </w:tc>
        <w:tc>
          <w:tcPr>
            <w:tcW w:w="250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140.9</w:t>
            </w:r>
          </w:p>
        </w:tc>
        <w:tc>
          <w:tcPr>
            <w:tcW w:w="800" w:type="dxa"/>
            <w:vAlign w:val="bottom"/>
            <w:tcBorders>
              <w:bottom w:val="single" w:sz="8" w:color="00539B"/>
            </w:tcBorders>
          </w:tcPr>
          <w:p>
            <w:pPr>
              <w:spacing w:after="0"/>
              <w:rPr>
                <w:sz w:val="17"/>
                <w:szCs w:val="17"/>
                <w:color w:val="auto"/>
              </w:rPr>
            </w:pPr>
          </w:p>
        </w:tc>
        <w:tc>
          <w:tcPr>
            <w:tcW w:w="250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216.1</w:t>
            </w:r>
          </w:p>
        </w:tc>
      </w:tr>
      <w:tr>
        <w:trPr>
          <w:trHeight w:val="207"/>
        </w:trPr>
        <w:tc>
          <w:tcPr>
            <w:tcW w:w="466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Total</w:t>
            </w:r>
          </w:p>
        </w:tc>
        <w:tc>
          <w:tcPr>
            <w:tcW w:w="780" w:type="dxa"/>
            <w:vAlign w:val="bottom"/>
            <w:tcBorders>
              <w:bottom w:val="single" w:sz="8" w:color="00539B"/>
            </w:tcBorders>
            <w:shd w:val="clear" w:color="auto" w:fill="E0E3F1"/>
          </w:tcPr>
          <w:p>
            <w:pPr>
              <w:jc w:val="right"/>
              <w:ind w:right="608"/>
              <w:spacing w:after="0"/>
              <w:rPr>
                <w:sz w:val="20"/>
                <w:szCs w:val="20"/>
                <w:color w:val="auto"/>
              </w:rPr>
            </w:pPr>
            <w:r>
              <w:rPr>
                <w:rFonts w:ascii="Arial" w:cs="Arial" w:eastAsia="Arial" w:hAnsi="Arial"/>
                <w:sz w:val="14"/>
                <w:szCs w:val="14"/>
                <w:color w:val="auto"/>
              </w:rPr>
              <w:t>$</w:t>
            </w:r>
          </w:p>
        </w:tc>
        <w:tc>
          <w:tcPr>
            <w:tcW w:w="250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1,018.2</w:t>
            </w:r>
          </w:p>
        </w:tc>
        <w:tc>
          <w:tcPr>
            <w:tcW w:w="800" w:type="dxa"/>
            <w:vAlign w:val="bottom"/>
            <w:tcBorders>
              <w:bottom w:val="single" w:sz="8" w:color="00539B"/>
            </w:tcBorders>
          </w:tcPr>
          <w:p>
            <w:pPr>
              <w:jc w:val="right"/>
              <w:ind w:right="628"/>
              <w:spacing w:after="0"/>
              <w:rPr>
                <w:sz w:val="20"/>
                <w:szCs w:val="20"/>
                <w:color w:val="auto"/>
              </w:rPr>
            </w:pPr>
            <w:r>
              <w:rPr>
                <w:rFonts w:ascii="Arial" w:cs="Arial" w:eastAsia="Arial" w:hAnsi="Arial"/>
                <w:sz w:val="14"/>
                <w:szCs w:val="14"/>
                <w:color w:val="auto"/>
              </w:rPr>
              <w:t>$</w:t>
            </w:r>
          </w:p>
        </w:tc>
        <w:tc>
          <w:tcPr>
            <w:tcW w:w="250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1,034.2</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All of these contracts were designated as hedges of anticipated purchases denominated in a foreign currency or hedges of foreign currency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denominated assets or liabilities. Hedge ineffectiveness was not material. All foreign currency exchange contracts outstanding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30, 2025 have durations of less than 12 months, including $250.2 million of notional contracts that have durations of less than 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month and are used to hedge short-term cash flow funding.</w:t>
      </w:r>
    </w:p>
    <w:p>
      <w:pPr>
        <w:spacing w:after="0" w:line="15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Contracts which are designated as hedges of foreign currency denominated assets are considered fair value hedges. These foreign currency exchange contracts manage both exposure to currency fluctuations in certain intercompany loans between subsidiaries as well as currency exposure to third-party non-functional currency assets or liabilities. Gains and losses from contracts that are designated as hedges of assets, liabilities or firm commitments are recognized through income, offsetting the change in fair value of the hedged item. Contracts which are designated as hedges of anticipated purchases denominated in a foreign currency (generally purchases of raw materials in U.S. dollars by operating units outside the U.S.) are considered cash flow hedges. The gains and losses on these contracts are deferred in accumulated other comprehensive income until the hedged item is recognized in cost of goods sold, at which time the net amount deferred in accumulated other comprehensive income is also recognized in cost of goods sold.</w:t>
      </w:r>
    </w:p>
    <w:p>
      <w:pPr>
        <w:spacing w:after="0" w:line="13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also utilize cross currency interest rate swap contracts that are designated as net investment hedges. Any gains or losses on net investment hedges are included in foreign currency translation adjustments in accumulated other comprehensive loss. Net interest accruals excluded from the assessment of hedge effectiveness are included in earnings as interest expense.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of November 30, 2025 and 2024, we had cross currency interest rate swap contracts of (i) $250 million notional value to receive</w:t>
      </w:r>
    </w:p>
    <w:p>
      <w:pPr>
        <w:spacing w:after="0" w:line="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$250 million at USD SOFR plus 0.907% and pay £194.1 million at three-month GBP SONIA plus 0.859% and (ii) £194.1 million notional value to receive £194.1 million at three-month GBP SONIA plus 0.859% and pay €221.8 million at three-month Euro EURIBOR plus 0.808%. These cross-currency interest rate swap contracts expire in August 2027. In conjunction with the phase-out of LIBOR, during 2023 we amended the terms of this cross currency swap such that, effective February 15, 2023, we pay and receive at USD SOFR plus 0.907% (previously USD LIBOR plus 0.685%).</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As of November 30, 2025 and 2024, we also had cross currency interest rate swap contracts of $250 million notional value to receive</w:t>
      </w:r>
    </w:p>
    <w:p>
      <w:pPr>
        <w:spacing w:after="0" w:line="27"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color w:val="auto"/>
        </w:rPr>
        <w:t>$250 million at USD SOFR plus 0.684% and pay £184.1 million at GBP SONIA plus 0.574% and (ii) £184.1 million notional value to receive £184.1 million at GBP SONIA plus 0.574% and pay €219.2 million at Euro ESTR plus 0.667%, both of which expire in April 2030.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539B"/>
        </w:rPr>
        <w:t>Interest Rates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 finance a portion of our operations with both fixed and variable rate debt instruments, primarily commercial paper, notes and bank loans.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 utilize interest rate swap agreements to minimize worldwide financing costs and to achieve a desired mix of variable and fixed rate debt.</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3" w:name="page64"/>
    <w:bookmarkEnd w:id="63"/>
    <w:p>
      <w:pPr>
        <w:ind w:left="33"/>
        <w:spacing w:after="0"/>
        <w:rPr>
          <w:sz w:val="20"/>
          <w:szCs w:val="20"/>
          <w:color w:val="auto"/>
        </w:rPr>
      </w:pPr>
      <w:r>
        <w:rPr>
          <w:rFonts w:ascii="Arial" w:cs="Arial" w:eastAsia="Arial" w:hAnsi="Arial"/>
          <w:sz w:val="18"/>
          <w:szCs w:val="18"/>
          <w:color w:val="auto"/>
        </w:rPr>
        <w:t>The following is a summary of our outstanding interest rate swaps as of November 30, 2025 and 2024 ($ amounts in millions).</w:t>
      </w:r>
    </w:p>
    <w:p>
      <w:pPr>
        <w:spacing w:after="0" w:line="217" w:lineRule="exact"/>
        <w:rPr>
          <w:sz w:val="20"/>
          <w:szCs w:val="20"/>
          <w:color w:val="auto"/>
        </w:rPr>
      </w:pPr>
    </w:p>
    <w:tbl>
      <w:tblPr>
        <w:tblLayout w:type="fixed"/>
        <w:tblInd w:w="33" w:type="dxa"/>
        <w:tblCellMar>
          <w:top w:w="0" w:type="dxa"/>
          <w:left w:w="0" w:type="dxa"/>
          <w:bottom w:w="0" w:type="dxa"/>
          <w:right w:w="0" w:type="dxa"/>
        </w:tblCellMar>
      </w:tblPr>
      <w:tr>
        <w:trPr>
          <w:trHeight w:val="209"/>
        </w:trPr>
        <w:tc>
          <w:tcPr>
            <w:tcW w:w="2140" w:type="dxa"/>
            <w:vAlign w:val="bottom"/>
          </w:tcPr>
          <w:p>
            <w:pPr>
              <w:spacing w:after="0"/>
              <w:rPr>
                <w:sz w:val="18"/>
                <w:szCs w:val="18"/>
                <w:color w:val="auto"/>
              </w:rPr>
            </w:pPr>
          </w:p>
        </w:tc>
        <w:tc>
          <w:tcPr>
            <w:tcW w:w="380" w:type="dxa"/>
            <w:vAlign w:val="bottom"/>
            <w:tcBorders>
              <w:bottom w:val="single" w:sz="8" w:color="00539B"/>
            </w:tcBorders>
            <w:shd w:val="clear" w:color="auto" w:fill="E0E3F1"/>
          </w:tcPr>
          <w:p>
            <w:pPr>
              <w:spacing w:after="0"/>
              <w:rPr>
                <w:sz w:val="18"/>
                <w:szCs w:val="18"/>
                <w:color w:val="auto"/>
              </w:rPr>
            </w:pPr>
          </w:p>
        </w:tc>
        <w:tc>
          <w:tcPr>
            <w:tcW w:w="2220" w:type="dxa"/>
            <w:vAlign w:val="bottom"/>
            <w:tcBorders>
              <w:bottom w:val="single" w:sz="8" w:color="00539B"/>
            </w:tcBorders>
            <w:shd w:val="clear" w:color="auto" w:fill="E0E3F1"/>
          </w:tcPr>
          <w:p>
            <w:pPr>
              <w:spacing w:after="0"/>
              <w:rPr>
                <w:sz w:val="18"/>
                <w:szCs w:val="18"/>
                <w:color w:val="auto"/>
              </w:rPr>
            </w:pPr>
          </w:p>
        </w:tc>
        <w:tc>
          <w:tcPr>
            <w:tcW w:w="2900" w:type="dxa"/>
            <w:vAlign w:val="bottom"/>
            <w:tcBorders>
              <w:bottom w:val="single" w:sz="8" w:color="00539B"/>
            </w:tcBorders>
            <w:gridSpan w:val="2"/>
            <w:shd w:val="clear" w:color="auto" w:fill="E0E3F1"/>
          </w:tcPr>
          <w:p>
            <w:pPr>
              <w:jc w:val="right"/>
              <w:spacing w:after="0"/>
              <w:rPr>
                <w:sz w:val="20"/>
                <w:szCs w:val="20"/>
                <w:color w:val="auto"/>
              </w:rPr>
            </w:pPr>
            <w:r>
              <w:rPr>
                <w:rFonts w:ascii="Arial" w:cs="Arial" w:eastAsia="Arial" w:hAnsi="Arial"/>
                <w:sz w:val="14"/>
                <w:szCs w:val="14"/>
                <w:color w:val="auto"/>
              </w:rPr>
              <w:t>Fair value hedge of changes in fair value of:</w:t>
            </w:r>
          </w:p>
        </w:tc>
        <w:tc>
          <w:tcPr>
            <w:tcW w:w="280" w:type="dxa"/>
            <w:vAlign w:val="bottom"/>
            <w:tcBorders>
              <w:bottom w:val="single" w:sz="8" w:color="00539B"/>
            </w:tcBorders>
            <w:shd w:val="clear" w:color="auto" w:fill="E0E3F1"/>
          </w:tcPr>
          <w:p>
            <w:pPr>
              <w:spacing w:after="0"/>
              <w:rPr>
                <w:sz w:val="18"/>
                <w:szCs w:val="18"/>
                <w:color w:val="auto"/>
              </w:rPr>
            </w:pPr>
          </w:p>
        </w:tc>
        <w:tc>
          <w:tcPr>
            <w:tcW w:w="2340" w:type="dxa"/>
            <w:vAlign w:val="bottom"/>
            <w:tcBorders>
              <w:bottom w:val="single" w:sz="8" w:color="00539B"/>
            </w:tcBorders>
            <w:shd w:val="clear" w:color="auto" w:fill="E0E3F1"/>
          </w:tcPr>
          <w:p>
            <w:pPr>
              <w:spacing w:after="0"/>
              <w:rPr>
                <w:sz w:val="18"/>
                <w:szCs w:val="18"/>
                <w:color w:val="auto"/>
              </w:rPr>
            </w:pPr>
          </w:p>
        </w:tc>
      </w:tr>
      <w:tr>
        <w:trPr>
          <w:trHeight w:val="198"/>
        </w:trPr>
        <w:tc>
          <w:tcPr>
            <w:tcW w:w="2140" w:type="dxa"/>
            <w:vAlign w:val="bottom"/>
            <w:tcBorders>
              <w:bottom w:val="single" w:sz="8" w:color="0A2299"/>
            </w:tcBorders>
          </w:tcPr>
          <w:p>
            <w:pPr>
              <w:spacing w:after="0"/>
              <w:rPr>
                <w:sz w:val="17"/>
                <w:szCs w:val="17"/>
                <w:color w:val="auto"/>
              </w:rPr>
            </w:pPr>
          </w:p>
        </w:tc>
        <w:tc>
          <w:tcPr>
            <w:tcW w:w="380" w:type="dxa"/>
            <w:vAlign w:val="bottom"/>
            <w:tcBorders>
              <w:bottom w:val="single" w:sz="8" w:color="0A2299"/>
            </w:tcBorders>
          </w:tcPr>
          <w:p>
            <w:pPr>
              <w:spacing w:after="0"/>
              <w:rPr>
                <w:sz w:val="17"/>
                <w:szCs w:val="17"/>
                <w:color w:val="auto"/>
              </w:rPr>
            </w:pPr>
          </w:p>
        </w:tc>
        <w:tc>
          <w:tcPr>
            <w:tcW w:w="2220" w:type="dxa"/>
            <w:vAlign w:val="bottom"/>
            <w:tcBorders>
              <w:bottom w:val="single" w:sz="8" w:color="0A2299"/>
            </w:tcBorders>
          </w:tcPr>
          <w:p>
            <w:pPr>
              <w:jc w:val="center"/>
              <w:ind w:right="28"/>
              <w:spacing w:after="0"/>
              <w:rPr>
                <w:sz w:val="20"/>
                <w:szCs w:val="20"/>
                <w:color w:val="auto"/>
              </w:rPr>
            </w:pPr>
            <w:r>
              <w:rPr>
                <w:rFonts w:ascii="Arial" w:cs="Arial" w:eastAsia="Arial" w:hAnsi="Arial"/>
                <w:sz w:val="14"/>
                <w:szCs w:val="14"/>
                <w:color w:val="auto"/>
              </w:rPr>
              <w:t>$250 3.25% notes due 2025</w:t>
            </w:r>
          </w:p>
        </w:tc>
        <w:tc>
          <w:tcPr>
            <w:tcW w:w="460" w:type="dxa"/>
            <w:vAlign w:val="bottom"/>
            <w:tcBorders>
              <w:bottom w:val="single" w:sz="8" w:color="0A2299"/>
            </w:tcBorders>
          </w:tcPr>
          <w:p>
            <w:pPr>
              <w:spacing w:after="0"/>
              <w:rPr>
                <w:sz w:val="17"/>
                <w:szCs w:val="17"/>
                <w:color w:val="auto"/>
              </w:rPr>
            </w:pPr>
          </w:p>
        </w:tc>
        <w:tc>
          <w:tcPr>
            <w:tcW w:w="2440" w:type="dxa"/>
            <w:vAlign w:val="bottom"/>
            <w:tcBorders>
              <w:bottom w:val="single" w:sz="8" w:color="0A2299"/>
            </w:tcBorders>
          </w:tcPr>
          <w:p>
            <w:pPr>
              <w:jc w:val="center"/>
              <w:ind w:right="248"/>
              <w:spacing w:after="0"/>
              <w:rPr>
                <w:sz w:val="20"/>
                <w:szCs w:val="20"/>
                <w:color w:val="auto"/>
              </w:rPr>
            </w:pPr>
            <w:r>
              <w:rPr>
                <w:rFonts w:ascii="Arial" w:cs="Arial" w:eastAsia="Arial" w:hAnsi="Arial"/>
                <w:sz w:val="14"/>
                <w:szCs w:val="14"/>
                <w:color w:val="auto"/>
              </w:rPr>
              <w:t>$750 3.40% notes due 2027</w:t>
            </w:r>
          </w:p>
        </w:tc>
        <w:tc>
          <w:tcPr>
            <w:tcW w:w="280" w:type="dxa"/>
            <w:vAlign w:val="bottom"/>
            <w:tcBorders>
              <w:bottom w:val="single" w:sz="8" w:color="0A2299"/>
            </w:tcBorders>
          </w:tcPr>
          <w:p>
            <w:pPr>
              <w:spacing w:after="0"/>
              <w:rPr>
                <w:sz w:val="17"/>
                <w:szCs w:val="17"/>
                <w:color w:val="auto"/>
              </w:rPr>
            </w:pPr>
          </w:p>
        </w:tc>
        <w:tc>
          <w:tcPr>
            <w:tcW w:w="2340" w:type="dxa"/>
            <w:vAlign w:val="bottom"/>
            <w:tcBorders>
              <w:bottom w:val="single" w:sz="8" w:color="0A2299"/>
            </w:tcBorders>
          </w:tcPr>
          <w:p>
            <w:pPr>
              <w:jc w:val="center"/>
              <w:ind w:right="148"/>
              <w:spacing w:after="0"/>
              <w:rPr>
                <w:sz w:val="20"/>
                <w:szCs w:val="20"/>
                <w:color w:val="auto"/>
              </w:rPr>
            </w:pPr>
            <w:r>
              <w:rPr>
                <w:rFonts w:ascii="Arial" w:cs="Arial" w:eastAsia="Arial" w:hAnsi="Arial"/>
                <w:sz w:val="14"/>
                <w:szCs w:val="14"/>
                <w:color w:val="auto"/>
              </w:rPr>
              <w:t>$500 2.50% notes due 2030</w:t>
            </w:r>
          </w:p>
        </w:tc>
      </w:tr>
      <w:tr>
        <w:trPr>
          <w:trHeight w:val="192"/>
        </w:trPr>
        <w:tc>
          <w:tcPr>
            <w:tcW w:w="2140" w:type="dxa"/>
            <w:vAlign w:val="bottom"/>
          </w:tcPr>
          <w:p>
            <w:pPr>
              <w:ind w:left="20"/>
              <w:spacing w:after="0"/>
              <w:rPr>
                <w:sz w:val="20"/>
                <w:szCs w:val="20"/>
                <w:color w:val="auto"/>
              </w:rPr>
            </w:pPr>
            <w:r>
              <w:rPr>
                <w:rFonts w:ascii="Arial" w:cs="Arial" w:eastAsia="Arial" w:hAnsi="Arial"/>
                <w:sz w:val="14"/>
                <w:szCs w:val="14"/>
                <w:color w:val="auto"/>
              </w:rPr>
              <w:t>Notional</w:t>
            </w:r>
          </w:p>
        </w:tc>
        <w:tc>
          <w:tcPr>
            <w:tcW w:w="3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20" w:type="dxa"/>
            <w:vAlign w:val="bottom"/>
          </w:tcPr>
          <w:p>
            <w:pPr>
              <w:jc w:val="right"/>
              <w:spacing w:after="0"/>
              <w:rPr>
                <w:sz w:val="20"/>
                <w:szCs w:val="20"/>
                <w:color w:val="auto"/>
              </w:rPr>
            </w:pPr>
            <w:r>
              <w:rPr>
                <w:rFonts w:ascii="Arial" w:cs="Arial" w:eastAsia="Arial" w:hAnsi="Arial"/>
                <w:sz w:val="14"/>
                <w:szCs w:val="14"/>
                <w:color w:val="auto"/>
              </w:rPr>
              <w:t>100.0</w:t>
            </w:r>
          </w:p>
        </w:tc>
        <w:tc>
          <w:tcPr>
            <w:tcW w:w="4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40" w:type="dxa"/>
            <w:vAlign w:val="bottom"/>
          </w:tcPr>
          <w:p>
            <w:pPr>
              <w:jc w:val="right"/>
              <w:ind w:right="208"/>
              <w:spacing w:after="0"/>
              <w:rPr>
                <w:sz w:val="20"/>
                <w:szCs w:val="20"/>
                <w:color w:val="auto"/>
              </w:rPr>
            </w:pPr>
            <w:r>
              <w:rPr>
                <w:rFonts w:ascii="Arial" w:cs="Arial" w:eastAsia="Arial" w:hAnsi="Arial"/>
                <w:sz w:val="14"/>
                <w:szCs w:val="14"/>
                <w:color w:val="auto"/>
              </w:rPr>
              <w:t>250.0</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340" w:type="dxa"/>
            <w:vAlign w:val="bottom"/>
          </w:tcPr>
          <w:p>
            <w:pPr>
              <w:jc w:val="right"/>
              <w:ind w:right="108"/>
              <w:spacing w:after="0"/>
              <w:rPr>
                <w:sz w:val="20"/>
                <w:szCs w:val="20"/>
                <w:color w:val="auto"/>
              </w:rPr>
            </w:pPr>
            <w:r>
              <w:rPr>
                <w:rFonts w:ascii="Arial" w:cs="Arial" w:eastAsia="Arial" w:hAnsi="Arial"/>
                <w:sz w:val="14"/>
                <w:szCs w:val="14"/>
                <w:color w:val="auto"/>
              </w:rPr>
              <w:t>250.0</w:t>
            </w:r>
          </w:p>
        </w:tc>
      </w:tr>
      <w:tr>
        <w:trPr>
          <w:trHeight w:val="203"/>
        </w:trPr>
        <w:tc>
          <w:tcPr>
            <w:tcW w:w="2140" w:type="dxa"/>
            <w:vAlign w:val="bottom"/>
          </w:tcPr>
          <w:p>
            <w:pPr>
              <w:ind w:left="20"/>
              <w:spacing w:after="0"/>
              <w:rPr>
                <w:sz w:val="20"/>
                <w:szCs w:val="20"/>
                <w:color w:val="auto"/>
              </w:rPr>
            </w:pPr>
            <w:r>
              <w:rPr>
                <w:rFonts w:ascii="Arial" w:cs="Arial" w:eastAsia="Arial" w:hAnsi="Arial"/>
                <w:sz w:val="14"/>
                <w:szCs w:val="14"/>
                <w:color w:val="auto"/>
              </w:rPr>
              <w:t>Receive rate</w:t>
            </w:r>
          </w:p>
        </w:tc>
        <w:tc>
          <w:tcPr>
            <w:tcW w:w="380" w:type="dxa"/>
            <w:vAlign w:val="bottom"/>
          </w:tcPr>
          <w:p>
            <w:pPr>
              <w:spacing w:after="0"/>
              <w:rPr>
                <w:sz w:val="17"/>
                <w:szCs w:val="17"/>
                <w:color w:val="auto"/>
              </w:rPr>
            </w:pPr>
          </w:p>
        </w:tc>
        <w:tc>
          <w:tcPr>
            <w:tcW w:w="2680" w:type="dxa"/>
            <w:vAlign w:val="bottom"/>
            <w:gridSpan w:val="2"/>
          </w:tcPr>
          <w:p>
            <w:pPr>
              <w:jc w:val="right"/>
              <w:ind w:right="268"/>
              <w:spacing w:after="0"/>
              <w:rPr>
                <w:sz w:val="20"/>
                <w:szCs w:val="20"/>
                <w:color w:val="auto"/>
              </w:rPr>
            </w:pPr>
            <w:r>
              <w:rPr>
                <w:rFonts w:ascii="Arial" w:cs="Arial" w:eastAsia="Arial" w:hAnsi="Arial"/>
                <w:sz w:val="14"/>
                <w:szCs w:val="14"/>
                <w:color w:val="auto"/>
              </w:rPr>
              <w:t>3.25 %</w:t>
            </w:r>
          </w:p>
        </w:tc>
        <w:tc>
          <w:tcPr>
            <w:tcW w:w="2440" w:type="dxa"/>
            <w:vAlign w:val="bottom"/>
          </w:tcPr>
          <w:p>
            <w:pPr>
              <w:jc w:val="right"/>
              <w:ind w:right="48"/>
              <w:spacing w:after="0"/>
              <w:rPr>
                <w:sz w:val="20"/>
                <w:szCs w:val="20"/>
                <w:color w:val="auto"/>
              </w:rPr>
            </w:pPr>
            <w:r>
              <w:rPr>
                <w:rFonts w:ascii="Arial" w:cs="Arial" w:eastAsia="Arial" w:hAnsi="Arial"/>
                <w:sz w:val="14"/>
                <w:szCs w:val="14"/>
                <w:color w:val="auto"/>
              </w:rPr>
              <w:t>3.40 %</w:t>
            </w:r>
          </w:p>
        </w:tc>
        <w:tc>
          <w:tcPr>
            <w:tcW w:w="280" w:type="dxa"/>
            <w:vAlign w:val="bottom"/>
          </w:tcPr>
          <w:p>
            <w:pPr>
              <w:spacing w:after="0"/>
              <w:rPr>
                <w:sz w:val="17"/>
                <w:szCs w:val="17"/>
                <w:color w:val="auto"/>
              </w:rPr>
            </w:pPr>
          </w:p>
        </w:tc>
        <w:tc>
          <w:tcPr>
            <w:tcW w:w="2340" w:type="dxa"/>
            <w:vAlign w:val="bottom"/>
          </w:tcPr>
          <w:p>
            <w:pPr>
              <w:jc w:val="right"/>
              <w:spacing w:after="0"/>
              <w:rPr>
                <w:sz w:val="20"/>
                <w:szCs w:val="20"/>
                <w:color w:val="auto"/>
              </w:rPr>
            </w:pPr>
            <w:r>
              <w:rPr>
                <w:rFonts w:ascii="Arial" w:cs="Arial" w:eastAsia="Arial" w:hAnsi="Arial"/>
                <w:sz w:val="14"/>
                <w:szCs w:val="14"/>
                <w:color w:val="auto"/>
              </w:rPr>
              <w:t>2.50 %</w:t>
            </w:r>
          </w:p>
        </w:tc>
      </w:tr>
      <w:tr>
        <w:trPr>
          <w:trHeight w:val="215"/>
        </w:trPr>
        <w:tc>
          <w:tcPr>
            <w:tcW w:w="2140" w:type="dxa"/>
            <w:vAlign w:val="bottom"/>
          </w:tcPr>
          <w:p>
            <w:pPr>
              <w:ind w:left="20"/>
              <w:spacing w:after="0"/>
              <w:rPr>
                <w:sz w:val="20"/>
                <w:szCs w:val="20"/>
                <w:color w:val="auto"/>
              </w:rPr>
            </w:pPr>
            <w:r>
              <w:rPr>
                <w:rFonts w:ascii="Arial" w:cs="Arial" w:eastAsia="Arial" w:hAnsi="Arial"/>
                <w:sz w:val="14"/>
                <w:szCs w:val="14"/>
                <w:color w:val="auto"/>
              </w:rPr>
              <w:t>Pay rate</w:t>
            </w:r>
          </w:p>
        </w:tc>
        <w:tc>
          <w:tcPr>
            <w:tcW w:w="380" w:type="dxa"/>
            <w:vAlign w:val="bottom"/>
          </w:tcPr>
          <w:p>
            <w:pPr>
              <w:spacing w:after="0"/>
              <w:rPr>
                <w:sz w:val="18"/>
                <w:szCs w:val="18"/>
                <w:color w:val="auto"/>
              </w:rPr>
            </w:pPr>
          </w:p>
        </w:tc>
        <w:tc>
          <w:tcPr>
            <w:tcW w:w="2220" w:type="dxa"/>
            <w:vAlign w:val="bottom"/>
          </w:tcPr>
          <w:p>
            <w:pPr>
              <w:jc w:val="center"/>
              <w:ind w:right="48"/>
              <w:spacing w:after="0"/>
              <w:rPr>
                <w:sz w:val="20"/>
                <w:szCs w:val="20"/>
                <w:color w:val="auto"/>
              </w:rPr>
            </w:pPr>
            <w:r>
              <w:rPr>
                <w:rFonts w:ascii="Arial" w:cs="Arial" w:eastAsia="Arial" w:hAnsi="Arial"/>
                <w:sz w:val="14"/>
                <w:szCs w:val="14"/>
                <w:color w:val="auto"/>
              </w:rPr>
              <w:t>SOFR + 1.487%</w:t>
            </w:r>
            <w:r>
              <w:rPr>
                <w:rFonts w:ascii="Arial" w:cs="Arial" w:eastAsia="Arial" w:hAnsi="Arial"/>
                <w:sz w:val="18"/>
                <w:szCs w:val="18"/>
                <w:color w:val="auto"/>
                <w:vertAlign w:val="superscript"/>
              </w:rPr>
              <w:t>(1)</w:t>
            </w:r>
          </w:p>
        </w:tc>
        <w:tc>
          <w:tcPr>
            <w:tcW w:w="460" w:type="dxa"/>
            <w:vAlign w:val="bottom"/>
          </w:tcPr>
          <w:p>
            <w:pPr>
              <w:spacing w:after="0"/>
              <w:rPr>
                <w:sz w:val="18"/>
                <w:szCs w:val="18"/>
                <w:color w:val="auto"/>
              </w:rPr>
            </w:pPr>
          </w:p>
        </w:tc>
        <w:tc>
          <w:tcPr>
            <w:tcW w:w="2440" w:type="dxa"/>
            <w:vAlign w:val="bottom"/>
          </w:tcPr>
          <w:p>
            <w:pPr>
              <w:jc w:val="center"/>
              <w:ind w:right="268"/>
              <w:spacing w:after="0"/>
              <w:rPr>
                <w:sz w:val="20"/>
                <w:szCs w:val="20"/>
                <w:color w:val="auto"/>
              </w:rPr>
            </w:pPr>
            <w:r>
              <w:rPr>
                <w:rFonts w:ascii="Arial" w:cs="Arial" w:eastAsia="Arial" w:hAnsi="Arial"/>
                <w:sz w:val="14"/>
                <w:szCs w:val="14"/>
                <w:color w:val="auto"/>
              </w:rPr>
              <w:t>SOFR + 0.907%</w:t>
            </w:r>
            <w:r>
              <w:rPr>
                <w:rFonts w:ascii="Arial" w:cs="Arial" w:eastAsia="Arial" w:hAnsi="Arial"/>
                <w:sz w:val="18"/>
                <w:szCs w:val="18"/>
                <w:color w:val="auto"/>
                <w:vertAlign w:val="superscript"/>
              </w:rPr>
              <w:t>(2)</w:t>
            </w:r>
          </w:p>
        </w:tc>
        <w:tc>
          <w:tcPr>
            <w:tcW w:w="280" w:type="dxa"/>
            <w:vAlign w:val="bottom"/>
          </w:tcPr>
          <w:p>
            <w:pPr>
              <w:spacing w:after="0"/>
              <w:rPr>
                <w:sz w:val="18"/>
                <w:szCs w:val="18"/>
                <w:color w:val="auto"/>
              </w:rPr>
            </w:pPr>
          </w:p>
        </w:tc>
        <w:tc>
          <w:tcPr>
            <w:tcW w:w="2340" w:type="dxa"/>
            <w:vAlign w:val="bottom"/>
          </w:tcPr>
          <w:p>
            <w:pPr>
              <w:jc w:val="center"/>
              <w:ind w:right="168"/>
              <w:spacing w:after="0"/>
              <w:rPr>
                <w:sz w:val="20"/>
                <w:szCs w:val="20"/>
                <w:color w:val="auto"/>
              </w:rPr>
            </w:pPr>
            <w:r>
              <w:rPr>
                <w:rFonts w:ascii="Arial" w:cs="Arial" w:eastAsia="Arial" w:hAnsi="Arial"/>
                <w:sz w:val="14"/>
                <w:szCs w:val="14"/>
                <w:color w:val="auto"/>
              </w:rPr>
              <w:t>SOFR + 0.684%</w:t>
            </w:r>
          </w:p>
        </w:tc>
      </w:tr>
      <w:tr>
        <w:trPr>
          <w:trHeight w:val="205"/>
        </w:trPr>
        <w:tc>
          <w:tcPr>
            <w:tcW w:w="214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Expiration</w:t>
            </w:r>
          </w:p>
        </w:tc>
        <w:tc>
          <w:tcPr>
            <w:tcW w:w="380" w:type="dxa"/>
            <w:vAlign w:val="bottom"/>
            <w:tcBorders>
              <w:bottom w:val="single" w:sz="8" w:color="00539B"/>
            </w:tcBorders>
          </w:tcPr>
          <w:p>
            <w:pPr>
              <w:spacing w:after="0"/>
              <w:rPr>
                <w:sz w:val="17"/>
                <w:szCs w:val="17"/>
                <w:color w:val="auto"/>
              </w:rPr>
            </w:pPr>
          </w:p>
        </w:tc>
        <w:tc>
          <w:tcPr>
            <w:tcW w:w="2220" w:type="dxa"/>
            <w:vAlign w:val="bottom"/>
            <w:tcBorders>
              <w:bottom w:val="single" w:sz="8" w:color="00539B"/>
            </w:tcBorders>
          </w:tcPr>
          <w:p>
            <w:pPr>
              <w:jc w:val="center"/>
              <w:ind w:right="48"/>
              <w:spacing w:after="0"/>
              <w:rPr>
                <w:sz w:val="20"/>
                <w:szCs w:val="20"/>
                <w:color w:val="auto"/>
              </w:rPr>
            </w:pPr>
            <w:r>
              <w:rPr>
                <w:rFonts w:ascii="Arial" w:cs="Arial" w:eastAsia="Arial" w:hAnsi="Arial"/>
                <w:sz w:val="14"/>
                <w:szCs w:val="14"/>
                <w:color w:val="auto"/>
              </w:rPr>
              <w:t>November 2025</w:t>
            </w:r>
          </w:p>
        </w:tc>
        <w:tc>
          <w:tcPr>
            <w:tcW w:w="460" w:type="dxa"/>
            <w:vAlign w:val="bottom"/>
            <w:tcBorders>
              <w:bottom w:val="single" w:sz="8" w:color="00539B"/>
            </w:tcBorders>
          </w:tcPr>
          <w:p>
            <w:pPr>
              <w:spacing w:after="0"/>
              <w:rPr>
                <w:sz w:val="17"/>
                <w:szCs w:val="17"/>
                <w:color w:val="auto"/>
              </w:rPr>
            </w:pPr>
          </w:p>
        </w:tc>
        <w:tc>
          <w:tcPr>
            <w:tcW w:w="2440" w:type="dxa"/>
            <w:vAlign w:val="bottom"/>
            <w:tcBorders>
              <w:bottom w:val="single" w:sz="8" w:color="00539B"/>
            </w:tcBorders>
          </w:tcPr>
          <w:p>
            <w:pPr>
              <w:jc w:val="center"/>
              <w:ind w:right="268"/>
              <w:spacing w:after="0"/>
              <w:rPr>
                <w:sz w:val="20"/>
                <w:szCs w:val="20"/>
                <w:color w:val="auto"/>
              </w:rPr>
            </w:pPr>
            <w:r>
              <w:rPr>
                <w:rFonts w:ascii="Arial" w:cs="Arial" w:eastAsia="Arial" w:hAnsi="Arial"/>
                <w:sz w:val="14"/>
                <w:szCs w:val="14"/>
                <w:color w:val="auto"/>
              </w:rPr>
              <w:t>August 2027</w:t>
            </w:r>
          </w:p>
        </w:tc>
        <w:tc>
          <w:tcPr>
            <w:tcW w:w="280" w:type="dxa"/>
            <w:vAlign w:val="bottom"/>
            <w:tcBorders>
              <w:bottom w:val="single" w:sz="8" w:color="00539B"/>
            </w:tcBorders>
          </w:tcPr>
          <w:p>
            <w:pPr>
              <w:spacing w:after="0"/>
              <w:rPr>
                <w:sz w:val="17"/>
                <w:szCs w:val="17"/>
                <w:color w:val="auto"/>
              </w:rPr>
            </w:pPr>
          </w:p>
        </w:tc>
        <w:tc>
          <w:tcPr>
            <w:tcW w:w="2340" w:type="dxa"/>
            <w:vAlign w:val="bottom"/>
            <w:tcBorders>
              <w:bottom w:val="single" w:sz="8" w:color="00539B"/>
            </w:tcBorders>
          </w:tcPr>
          <w:p>
            <w:pPr>
              <w:jc w:val="center"/>
              <w:ind w:right="168"/>
              <w:spacing w:after="0"/>
              <w:rPr>
                <w:sz w:val="20"/>
                <w:szCs w:val="20"/>
                <w:color w:val="auto"/>
              </w:rPr>
            </w:pPr>
            <w:r>
              <w:rPr>
                <w:rFonts w:ascii="Arial" w:cs="Arial" w:eastAsia="Arial" w:hAnsi="Arial"/>
                <w:sz w:val="14"/>
                <w:szCs w:val="14"/>
                <w:color w:val="auto"/>
              </w:rPr>
              <w:t>April 2030</w:t>
            </w:r>
          </w:p>
        </w:tc>
      </w:tr>
    </w:tbl>
    <w:p>
      <w:pPr>
        <w:spacing w:after="0" w:line="247" w:lineRule="exact"/>
        <w:rPr>
          <w:sz w:val="20"/>
          <w:szCs w:val="20"/>
          <w:color w:val="auto"/>
        </w:rPr>
      </w:pPr>
    </w:p>
    <w:p>
      <w:pPr>
        <w:ind w:left="333" w:right="300" w:hanging="333"/>
        <w:spacing w:after="0" w:line="285" w:lineRule="auto"/>
        <w:tabs>
          <w:tab w:leader="none" w:pos="319"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 2023, we amended our $100 million interest rate swaps which expired in November 2025 such that, effective February 15, 2023, we paid and received at USD SOFR plus 1.487% (previously U.S. three-month LIBOR plus 1.22%).</w:t>
      </w:r>
    </w:p>
    <w:p>
      <w:pPr>
        <w:spacing w:after="0" w:line="117" w:lineRule="exact"/>
        <w:rPr>
          <w:rFonts w:ascii="Arial" w:cs="Arial" w:eastAsia="Arial" w:hAnsi="Arial"/>
          <w:sz w:val="14"/>
          <w:szCs w:val="14"/>
          <w:color w:val="auto"/>
        </w:rPr>
      </w:pPr>
    </w:p>
    <w:p>
      <w:pPr>
        <w:ind w:left="333" w:right="300" w:hanging="333"/>
        <w:spacing w:after="0" w:line="305" w:lineRule="auto"/>
        <w:tabs>
          <w:tab w:leader="none" w:pos="319"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 2023, we amended our $250 million interest rate swaps which expire in August 2027 such that, effective February 15, 2023, we paid and received at USD SOFR plus 0.907% (previously U.S. three-month LIBOR plus 0.685%).</w:t>
      </w:r>
    </w:p>
    <w:p>
      <w:pPr>
        <w:spacing w:after="0" w:line="94" w:lineRule="exact"/>
        <w:rPr>
          <w:sz w:val="20"/>
          <w:szCs w:val="20"/>
          <w:color w:val="auto"/>
        </w:rPr>
      </w:pPr>
    </w:p>
    <w:p>
      <w:pPr>
        <w:ind w:left="33" w:right="460"/>
        <w:spacing w:after="0" w:line="287" w:lineRule="auto"/>
        <w:rPr>
          <w:sz w:val="20"/>
          <w:szCs w:val="20"/>
          <w:color w:val="auto"/>
        </w:rPr>
      </w:pPr>
      <w:r>
        <w:rPr>
          <w:rFonts w:ascii="Arial" w:cs="Arial" w:eastAsia="Arial" w:hAnsi="Arial"/>
          <w:sz w:val="18"/>
          <w:szCs w:val="18"/>
          <w:color w:val="auto"/>
        </w:rPr>
        <w:t>Any unrealized gain or loss on these swaps was offset by a corresponding increase or decrease in the value of the hedged debt. Hedge ineffectiveness was not material.</w:t>
      </w:r>
    </w:p>
    <w:p>
      <w:pPr>
        <w:spacing w:after="0" w:line="99" w:lineRule="exact"/>
        <w:rPr>
          <w:sz w:val="20"/>
          <w:szCs w:val="20"/>
          <w:color w:val="auto"/>
        </w:rPr>
      </w:pPr>
    </w:p>
    <w:p>
      <w:pPr>
        <w:ind w:left="33"/>
        <w:spacing w:after="0"/>
        <w:rPr>
          <w:sz w:val="20"/>
          <w:szCs w:val="20"/>
          <w:color w:val="auto"/>
        </w:rPr>
      </w:pPr>
      <w:r>
        <w:rPr>
          <w:rFonts w:ascii="Arial" w:cs="Arial" w:eastAsia="Arial" w:hAnsi="Arial"/>
          <w:sz w:val="18"/>
          <w:szCs w:val="18"/>
          <w:color w:val="auto"/>
        </w:rPr>
        <w:t>The following tables disclose the notional amount and fair values of derivative instruments on our consolidated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34925</wp:posOffset>
            </wp:positionV>
            <wp:extent cx="7132320" cy="15601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560195"/>
                    </a:xfrm>
                    <a:prstGeom prst="rect">
                      <a:avLst/>
                    </a:prstGeom>
                    <a:noFill/>
                  </pic:spPr>
                </pic:pic>
              </a:graphicData>
            </a:graphic>
          </wp:anchor>
        </w:drawing>
      </w:r>
    </w:p>
    <w:p>
      <w:pPr>
        <w:spacing w:after="0" w:line="39" w:lineRule="exact"/>
        <w:rPr>
          <w:sz w:val="20"/>
          <w:szCs w:val="20"/>
          <w:color w:val="auto"/>
        </w:rPr>
      </w:pPr>
    </w:p>
    <w:p>
      <w:pPr>
        <w:ind w:left="53"/>
        <w:spacing w:after="0"/>
        <w:rPr>
          <w:sz w:val="20"/>
          <w:szCs w:val="20"/>
          <w:color w:val="auto"/>
        </w:rPr>
      </w:pPr>
      <w:r>
        <w:rPr>
          <w:rFonts w:ascii="Arial" w:cs="Arial" w:eastAsia="Arial" w:hAnsi="Arial"/>
          <w:sz w:val="14"/>
          <w:szCs w:val="14"/>
          <w:color w:val="auto"/>
        </w:rPr>
        <w:t>As of</w:t>
      </w:r>
    </w:p>
    <w:p>
      <w:pPr>
        <w:spacing w:after="0" w:line="2" w:lineRule="exact"/>
        <w:rPr>
          <w:sz w:val="20"/>
          <w:szCs w:val="20"/>
          <w:color w:val="auto"/>
        </w:rPr>
      </w:pPr>
    </w:p>
    <w:p>
      <w:pPr>
        <w:ind w:left="53"/>
        <w:spacing w:after="0"/>
        <w:rPr>
          <w:sz w:val="20"/>
          <w:szCs w:val="20"/>
          <w:color w:val="auto"/>
        </w:rPr>
      </w:pPr>
      <w:r>
        <w:rPr>
          <w:rFonts w:ascii="Arial" w:cs="Arial" w:eastAsia="Arial" w:hAnsi="Arial"/>
          <w:sz w:val="14"/>
          <w:szCs w:val="14"/>
          <w:color w:val="auto"/>
        </w:rPr>
        <w:t>November 30, 2025:</w:t>
      </w:r>
    </w:p>
    <w:p>
      <w:pPr>
        <w:spacing w:after="0" w:line="30" w:lineRule="exact"/>
        <w:rPr>
          <w:sz w:val="20"/>
          <w:szCs w:val="20"/>
          <w:color w:val="auto"/>
        </w:rPr>
      </w:pPr>
    </w:p>
    <w:tbl>
      <w:tblPr>
        <w:tblLayout w:type="fixed"/>
        <w:tblInd w:w="33" w:type="dxa"/>
        <w:tblCellMar>
          <w:top w:w="0" w:type="dxa"/>
          <w:left w:w="0" w:type="dxa"/>
          <w:bottom w:w="0" w:type="dxa"/>
          <w:right w:w="0" w:type="dxa"/>
        </w:tblCellMar>
      </w:tblPr>
      <w:tr>
        <w:trPr>
          <w:trHeight w:val="190"/>
        </w:trPr>
        <w:tc>
          <w:tcPr>
            <w:tcW w:w="266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(millions)</w:t>
            </w:r>
          </w:p>
        </w:tc>
        <w:tc>
          <w:tcPr>
            <w:tcW w:w="1420" w:type="dxa"/>
            <w:vAlign w:val="bottom"/>
            <w:tcBorders>
              <w:bottom w:val="single" w:sz="8" w:color="00539B"/>
            </w:tcBorders>
            <w:shd w:val="clear" w:color="auto" w:fill="E0E3F1"/>
          </w:tcPr>
          <w:p>
            <w:pPr>
              <w:spacing w:after="0"/>
              <w:rPr>
                <w:sz w:val="16"/>
                <w:szCs w:val="16"/>
                <w:color w:val="auto"/>
              </w:rPr>
            </w:pPr>
          </w:p>
        </w:tc>
        <w:tc>
          <w:tcPr>
            <w:tcW w:w="140" w:type="dxa"/>
            <w:vAlign w:val="bottom"/>
            <w:tcBorders>
              <w:bottom w:val="single" w:sz="8" w:color="00539B"/>
            </w:tcBorders>
            <w:shd w:val="clear" w:color="auto" w:fill="E0E3F1"/>
          </w:tcPr>
          <w:p>
            <w:pPr>
              <w:spacing w:after="0"/>
              <w:rPr>
                <w:sz w:val="16"/>
                <w:szCs w:val="16"/>
                <w:color w:val="auto"/>
              </w:rPr>
            </w:pPr>
          </w:p>
        </w:tc>
        <w:tc>
          <w:tcPr>
            <w:tcW w:w="1260" w:type="dxa"/>
            <w:vAlign w:val="bottom"/>
            <w:tcBorders>
              <w:bottom w:val="single" w:sz="8" w:color="00539B"/>
            </w:tcBorders>
            <w:shd w:val="clear" w:color="auto" w:fill="E0E3F1"/>
          </w:tcPr>
          <w:p>
            <w:pPr>
              <w:jc w:val="center"/>
              <w:ind w:right="28"/>
              <w:spacing w:after="0"/>
              <w:rPr>
                <w:sz w:val="20"/>
                <w:szCs w:val="20"/>
                <w:color w:val="auto"/>
              </w:rPr>
            </w:pPr>
            <w:r>
              <w:rPr>
                <w:rFonts w:ascii="Arial" w:cs="Arial" w:eastAsia="Arial" w:hAnsi="Arial"/>
                <w:sz w:val="14"/>
                <w:szCs w:val="14"/>
                <w:color w:val="auto"/>
              </w:rPr>
              <w:t>Asset Derivatives</w:t>
            </w:r>
          </w:p>
        </w:tc>
        <w:tc>
          <w:tcPr>
            <w:tcW w:w="280" w:type="dxa"/>
            <w:vAlign w:val="bottom"/>
            <w:tcBorders>
              <w:bottom w:val="single" w:sz="8" w:color="00539B"/>
            </w:tcBorders>
            <w:shd w:val="clear" w:color="auto" w:fill="E0E3F1"/>
          </w:tcPr>
          <w:p>
            <w:pPr>
              <w:spacing w:after="0"/>
              <w:rPr>
                <w:sz w:val="16"/>
                <w:szCs w:val="16"/>
                <w:color w:val="auto"/>
              </w:rPr>
            </w:pPr>
          </w:p>
        </w:tc>
        <w:tc>
          <w:tcPr>
            <w:tcW w:w="1180" w:type="dxa"/>
            <w:vAlign w:val="bottom"/>
            <w:tcBorders>
              <w:bottom w:val="single" w:sz="8" w:color="00539B"/>
            </w:tcBorders>
            <w:shd w:val="clear" w:color="auto" w:fill="E0E3F1"/>
          </w:tcPr>
          <w:p>
            <w:pPr>
              <w:spacing w:after="0"/>
              <w:rPr>
                <w:sz w:val="16"/>
                <w:szCs w:val="16"/>
                <w:color w:val="auto"/>
              </w:rPr>
            </w:pPr>
          </w:p>
        </w:tc>
        <w:tc>
          <w:tcPr>
            <w:tcW w:w="1420" w:type="dxa"/>
            <w:vAlign w:val="bottom"/>
            <w:tcBorders>
              <w:bottom w:val="single" w:sz="8" w:color="00539B"/>
            </w:tcBorders>
            <w:shd w:val="clear" w:color="auto" w:fill="E0E3F1"/>
          </w:tcPr>
          <w:p>
            <w:pPr>
              <w:spacing w:after="0"/>
              <w:rPr>
                <w:sz w:val="16"/>
                <w:szCs w:val="16"/>
                <w:color w:val="auto"/>
              </w:rPr>
            </w:pPr>
          </w:p>
        </w:tc>
        <w:tc>
          <w:tcPr>
            <w:tcW w:w="120" w:type="dxa"/>
            <w:vAlign w:val="bottom"/>
            <w:tcBorders>
              <w:bottom w:val="single" w:sz="8" w:color="00539B"/>
            </w:tcBorders>
            <w:shd w:val="clear" w:color="auto" w:fill="E0E3F1"/>
          </w:tcPr>
          <w:p>
            <w:pPr>
              <w:spacing w:after="0"/>
              <w:rPr>
                <w:sz w:val="16"/>
                <w:szCs w:val="16"/>
                <w:color w:val="auto"/>
              </w:rPr>
            </w:pPr>
          </w:p>
        </w:tc>
        <w:tc>
          <w:tcPr>
            <w:tcW w:w="1300" w:type="dxa"/>
            <w:vAlign w:val="bottom"/>
            <w:tcBorders>
              <w:bottom w:val="single" w:sz="8" w:color="00539B"/>
            </w:tcBorders>
            <w:shd w:val="clear" w:color="auto" w:fill="E0E3F1"/>
          </w:tcPr>
          <w:p>
            <w:pPr>
              <w:jc w:val="center"/>
              <w:ind w:right="8"/>
              <w:spacing w:after="0"/>
              <w:rPr>
                <w:sz w:val="20"/>
                <w:szCs w:val="20"/>
                <w:color w:val="auto"/>
              </w:rPr>
            </w:pPr>
            <w:r>
              <w:rPr>
                <w:rFonts w:ascii="Arial" w:cs="Arial" w:eastAsia="Arial" w:hAnsi="Arial"/>
                <w:sz w:val="14"/>
                <w:szCs w:val="14"/>
                <w:color w:val="auto"/>
              </w:rPr>
              <w:t>Liability Derivatives</w:t>
            </w:r>
          </w:p>
        </w:tc>
        <w:tc>
          <w:tcPr>
            <w:tcW w:w="280" w:type="dxa"/>
            <w:vAlign w:val="bottom"/>
            <w:tcBorders>
              <w:bottom w:val="single" w:sz="8" w:color="00539B"/>
            </w:tcBorders>
            <w:shd w:val="clear" w:color="auto" w:fill="E0E3F1"/>
          </w:tcPr>
          <w:p>
            <w:pPr>
              <w:spacing w:after="0"/>
              <w:rPr>
                <w:sz w:val="16"/>
                <w:szCs w:val="16"/>
                <w:color w:val="auto"/>
              </w:rPr>
            </w:pPr>
          </w:p>
        </w:tc>
        <w:tc>
          <w:tcPr>
            <w:tcW w:w="1180" w:type="dxa"/>
            <w:vAlign w:val="bottom"/>
            <w:tcBorders>
              <w:bottom w:val="single" w:sz="8" w:color="00539B"/>
            </w:tcBorders>
            <w:shd w:val="clear" w:color="auto" w:fill="E0E3F1"/>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660" w:type="dxa"/>
            <w:vAlign w:val="bottom"/>
            <w:vMerge w:val="restart"/>
          </w:tcPr>
          <w:p>
            <w:pPr>
              <w:ind w:left="20"/>
              <w:spacing w:after="0"/>
              <w:rPr>
                <w:sz w:val="20"/>
                <w:szCs w:val="20"/>
                <w:color w:val="auto"/>
              </w:rPr>
            </w:pPr>
            <w:r>
              <w:rPr>
                <w:rFonts w:ascii="Arial" w:cs="Arial" w:eastAsia="Arial" w:hAnsi="Arial"/>
                <w:sz w:val="14"/>
                <w:szCs w:val="14"/>
                <w:color w:val="auto"/>
              </w:rPr>
              <w:t>Derivatives</w:t>
            </w:r>
          </w:p>
        </w:tc>
        <w:tc>
          <w:tcPr>
            <w:tcW w:w="1420" w:type="dxa"/>
            <w:vAlign w:val="bottom"/>
            <w:shd w:val="clear" w:color="auto" w:fill="E0E3F1"/>
          </w:tcPr>
          <w:p>
            <w:pPr>
              <w:jc w:val="center"/>
              <w:spacing w:after="0" w:line="153" w:lineRule="exact"/>
              <w:rPr>
                <w:sz w:val="20"/>
                <w:szCs w:val="20"/>
                <w:color w:val="auto"/>
              </w:rPr>
            </w:pPr>
            <w:r>
              <w:rPr>
                <w:rFonts w:ascii="Arial" w:cs="Arial" w:eastAsia="Arial" w:hAnsi="Arial"/>
                <w:sz w:val="14"/>
                <w:szCs w:val="14"/>
                <w:color w:val="auto"/>
              </w:rPr>
              <w:t>Balance sheet</w:t>
            </w:r>
          </w:p>
        </w:tc>
        <w:tc>
          <w:tcPr>
            <w:tcW w:w="140" w:type="dxa"/>
            <w:vAlign w:val="bottom"/>
            <w:shd w:val="clear" w:color="auto" w:fill="E0E3F1"/>
          </w:tcPr>
          <w:p>
            <w:pPr>
              <w:spacing w:after="0"/>
              <w:rPr>
                <w:sz w:val="13"/>
                <w:szCs w:val="13"/>
                <w:color w:val="auto"/>
              </w:rPr>
            </w:pPr>
          </w:p>
        </w:tc>
        <w:tc>
          <w:tcPr>
            <w:tcW w:w="1260" w:type="dxa"/>
            <w:vAlign w:val="bottom"/>
            <w:vMerge w:val="restart"/>
            <w:shd w:val="clear" w:color="auto" w:fill="E0E3F1"/>
          </w:tcPr>
          <w:p>
            <w:pPr>
              <w:jc w:val="center"/>
              <w:ind w:right="28"/>
              <w:spacing w:after="0"/>
              <w:rPr>
                <w:sz w:val="20"/>
                <w:szCs w:val="20"/>
                <w:color w:val="auto"/>
              </w:rPr>
            </w:pPr>
            <w:r>
              <w:rPr>
                <w:rFonts w:ascii="Arial" w:cs="Arial" w:eastAsia="Arial" w:hAnsi="Arial"/>
                <w:sz w:val="14"/>
                <w:szCs w:val="14"/>
                <w:color w:val="auto"/>
              </w:rPr>
              <w:t>Notional amount</w:t>
            </w:r>
          </w:p>
        </w:tc>
        <w:tc>
          <w:tcPr>
            <w:tcW w:w="280" w:type="dxa"/>
            <w:vAlign w:val="bottom"/>
            <w:shd w:val="clear" w:color="auto" w:fill="E0E3F1"/>
          </w:tcPr>
          <w:p>
            <w:pPr>
              <w:spacing w:after="0"/>
              <w:rPr>
                <w:sz w:val="13"/>
                <w:szCs w:val="13"/>
                <w:color w:val="auto"/>
              </w:rPr>
            </w:pPr>
          </w:p>
        </w:tc>
        <w:tc>
          <w:tcPr>
            <w:tcW w:w="1180" w:type="dxa"/>
            <w:vAlign w:val="bottom"/>
            <w:vMerge w:val="restart"/>
            <w:shd w:val="clear" w:color="auto" w:fill="E0E3F1"/>
          </w:tcPr>
          <w:p>
            <w:pPr>
              <w:jc w:val="right"/>
              <w:ind w:right="328"/>
              <w:spacing w:after="0"/>
              <w:rPr>
                <w:sz w:val="20"/>
                <w:szCs w:val="20"/>
                <w:color w:val="auto"/>
              </w:rPr>
            </w:pPr>
            <w:r>
              <w:rPr>
                <w:rFonts w:ascii="Arial" w:cs="Arial" w:eastAsia="Arial" w:hAnsi="Arial"/>
                <w:sz w:val="14"/>
                <w:szCs w:val="14"/>
                <w:color w:val="auto"/>
              </w:rPr>
              <w:t>Fair value</w:t>
            </w:r>
          </w:p>
        </w:tc>
        <w:tc>
          <w:tcPr>
            <w:tcW w:w="1420" w:type="dxa"/>
            <w:vAlign w:val="bottom"/>
            <w:shd w:val="clear" w:color="auto" w:fill="E0E3F1"/>
          </w:tcPr>
          <w:p>
            <w:pPr>
              <w:jc w:val="center"/>
              <w:spacing w:after="0" w:line="153" w:lineRule="exact"/>
              <w:rPr>
                <w:sz w:val="20"/>
                <w:szCs w:val="20"/>
                <w:color w:val="auto"/>
              </w:rPr>
            </w:pPr>
            <w:r>
              <w:rPr>
                <w:rFonts w:ascii="Arial" w:cs="Arial" w:eastAsia="Arial" w:hAnsi="Arial"/>
                <w:sz w:val="14"/>
                <w:szCs w:val="14"/>
                <w:color w:val="auto"/>
              </w:rPr>
              <w:t>Balance sheet</w:t>
            </w:r>
          </w:p>
        </w:tc>
        <w:tc>
          <w:tcPr>
            <w:tcW w:w="120" w:type="dxa"/>
            <w:vAlign w:val="bottom"/>
            <w:shd w:val="clear" w:color="auto" w:fill="E0E3F1"/>
          </w:tcPr>
          <w:p>
            <w:pPr>
              <w:spacing w:after="0"/>
              <w:rPr>
                <w:sz w:val="13"/>
                <w:szCs w:val="13"/>
                <w:color w:val="auto"/>
              </w:rPr>
            </w:pPr>
          </w:p>
        </w:tc>
        <w:tc>
          <w:tcPr>
            <w:tcW w:w="1300" w:type="dxa"/>
            <w:vAlign w:val="bottom"/>
            <w:vMerge w:val="restart"/>
            <w:shd w:val="clear" w:color="auto" w:fill="E0E3F1"/>
          </w:tcPr>
          <w:p>
            <w:pPr>
              <w:jc w:val="center"/>
              <w:ind w:right="8"/>
              <w:spacing w:after="0"/>
              <w:rPr>
                <w:sz w:val="20"/>
                <w:szCs w:val="20"/>
                <w:color w:val="auto"/>
              </w:rPr>
            </w:pPr>
            <w:r>
              <w:rPr>
                <w:rFonts w:ascii="Arial" w:cs="Arial" w:eastAsia="Arial" w:hAnsi="Arial"/>
                <w:sz w:val="14"/>
                <w:szCs w:val="14"/>
                <w:color w:val="auto"/>
              </w:rPr>
              <w:t>Notional amount</w:t>
            </w:r>
          </w:p>
        </w:tc>
        <w:tc>
          <w:tcPr>
            <w:tcW w:w="280" w:type="dxa"/>
            <w:vAlign w:val="bottom"/>
            <w:shd w:val="clear" w:color="auto" w:fill="E0E3F1"/>
          </w:tcPr>
          <w:p>
            <w:pPr>
              <w:spacing w:after="0"/>
              <w:rPr>
                <w:sz w:val="13"/>
                <w:szCs w:val="13"/>
                <w:color w:val="auto"/>
              </w:rPr>
            </w:pPr>
          </w:p>
        </w:tc>
        <w:tc>
          <w:tcPr>
            <w:tcW w:w="1180" w:type="dxa"/>
            <w:vAlign w:val="bottom"/>
            <w:vMerge w:val="restart"/>
            <w:shd w:val="clear" w:color="auto" w:fill="E0E3F1"/>
          </w:tcPr>
          <w:p>
            <w:pPr>
              <w:jc w:val="right"/>
              <w:ind w:right="328"/>
              <w:spacing w:after="0"/>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185"/>
        </w:trPr>
        <w:tc>
          <w:tcPr>
            <w:tcW w:w="2660" w:type="dxa"/>
            <w:vAlign w:val="bottom"/>
            <w:tcBorders>
              <w:bottom w:val="single" w:sz="8" w:color="00539B"/>
            </w:tcBorders>
            <w:vMerge w:val="continue"/>
          </w:tcPr>
          <w:p>
            <w:pPr>
              <w:spacing w:after="0"/>
              <w:rPr>
                <w:sz w:val="16"/>
                <w:szCs w:val="16"/>
                <w:color w:val="auto"/>
              </w:rPr>
            </w:pPr>
          </w:p>
        </w:tc>
        <w:tc>
          <w:tcPr>
            <w:tcW w:w="1420" w:type="dxa"/>
            <w:vAlign w:val="bottom"/>
            <w:tcBorders>
              <w:bottom w:val="single" w:sz="8" w:color="00539B"/>
            </w:tcBorders>
            <w:shd w:val="clear" w:color="auto" w:fill="E0E3F1"/>
          </w:tcPr>
          <w:p>
            <w:pPr>
              <w:jc w:val="center"/>
              <w:spacing w:after="0"/>
              <w:rPr>
                <w:sz w:val="20"/>
                <w:szCs w:val="20"/>
                <w:color w:val="auto"/>
              </w:rPr>
            </w:pPr>
            <w:r>
              <w:rPr>
                <w:rFonts w:ascii="Arial" w:cs="Arial" w:eastAsia="Arial" w:hAnsi="Arial"/>
                <w:sz w:val="14"/>
                <w:szCs w:val="14"/>
                <w:color w:val="auto"/>
              </w:rPr>
              <w:t>location</w:t>
            </w:r>
          </w:p>
        </w:tc>
        <w:tc>
          <w:tcPr>
            <w:tcW w:w="140" w:type="dxa"/>
            <w:vAlign w:val="bottom"/>
            <w:tcBorders>
              <w:bottom w:val="single" w:sz="8" w:color="00539B"/>
            </w:tcBorders>
            <w:shd w:val="clear" w:color="auto" w:fill="E0E3F1"/>
          </w:tcPr>
          <w:p>
            <w:pPr>
              <w:spacing w:after="0"/>
              <w:rPr>
                <w:sz w:val="16"/>
                <w:szCs w:val="16"/>
                <w:color w:val="auto"/>
              </w:rPr>
            </w:pPr>
          </w:p>
        </w:tc>
        <w:tc>
          <w:tcPr>
            <w:tcW w:w="1260" w:type="dxa"/>
            <w:vAlign w:val="bottom"/>
            <w:tcBorders>
              <w:bottom w:val="single" w:sz="8" w:color="00539B"/>
            </w:tcBorders>
            <w:vMerge w:val="continue"/>
            <w:shd w:val="clear" w:color="auto" w:fill="E0E3F1"/>
          </w:tcPr>
          <w:p>
            <w:pPr>
              <w:spacing w:after="0"/>
              <w:rPr>
                <w:sz w:val="16"/>
                <w:szCs w:val="16"/>
                <w:color w:val="auto"/>
              </w:rPr>
            </w:pPr>
          </w:p>
        </w:tc>
        <w:tc>
          <w:tcPr>
            <w:tcW w:w="280" w:type="dxa"/>
            <w:vAlign w:val="bottom"/>
            <w:tcBorders>
              <w:bottom w:val="single" w:sz="8" w:color="00539B"/>
            </w:tcBorders>
            <w:shd w:val="clear" w:color="auto" w:fill="E0E3F1"/>
          </w:tcPr>
          <w:p>
            <w:pPr>
              <w:spacing w:after="0"/>
              <w:rPr>
                <w:sz w:val="16"/>
                <w:szCs w:val="16"/>
                <w:color w:val="auto"/>
              </w:rPr>
            </w:pPr>
          </w:p>
        </w:tc>
        <w:tc>
          <w:tcPr>
            <w:tcW w:w="1180" w:type="dxa"/>
            <w:vAlign w:val="bottom"/>
            <w:tcBorders>
              <w:bottom w:val="single" w:sz="8" w:color="00539B"/>
            </w:tcBorders>
            <w:vMerge w:val="continue"/>
            <w:shd w:val="clear" w:color="auto" w:fill="E0E3F1"/>
          </w:tcPr>
          <w:p>
            <w:pPr>
              <w:spacing w:after="0"/>
              <w:rPr>
                <w:sz w:val="16"/>
                <w:szCs w:val="16"/>
                <w:color w:val="auto"/>
              </w:rPr>
            </w:pPr>
          </w:p>
        </w:tc>
        <w:tc>
          <w:tcPr>
            <w:tcW w:w="1420" w:type="dxa"/>
            <w:vAlign w:val="bottom"/>
            <w:tcBorders>
              <w:bottom w:val="single" w:sz="8" w:color="00539B"/>
            </w:tcBorders>
            <w:shd w:val="clear" w:color="auto" w:fill="E0E3F1"/>
          </w:tcPr>
          <w:p>
            <w:pPr>
              <w:jc w:val="center"/>
              <w:spacing w:after="0"/>
              <w:rPr>
                <w:sz w:val="20"/>
                <w:szCs w:val="20"/>
                <w:color w:val="auto"/>
              </w:rPr>
            </w:pPr>
            <w:r>
              <w:rPr>
                <w:rFonts w:ascii="Arial" w:cs="Arial" w:eastAsia="Arial" w:hAnsi="Arial"/>
                <w:sz w:val="14"/>
                <w:szCs w:val="14"/>
                <w:color w:val="auto"/>
              </w:rPr>
              <w:t>location</w:t>
            </w:r>
          </w:p>
        </w:tc>
        <w:tc>
          <w:tcPr>
            <w:tcW w:w="120" w:type="dxa"/>
            <w:vAlign w:val="bottom"/>
            <w:tcBorders>
              <w:bottom w:val="single" w:sz="8" w:color="00539B"/>
            </w:tcBorders>
            <w:shd w:val="clear" w:color="auto" w:fill="E0E3F1"/>
          </w:tcPr>
          <w:p>
            <w:pPr>
              <w:spacing w:after="0"/>
              <w:rPr>
                <w:sz w:val="16"/>
                <w:szCs w:val="16"/>
                <w:color w:val="auto"/>
              </w:rPr>
            </w:pPr>
          </w:p>
        </w:tc>
        <w:tc>
          <w:tcPr>
            <w:tcW w:w="1300" w:type="dxa"/>
            <w:vAlign w:val="bottom"/>
            <w:tcBorders>
              <w:bottom w:val="single" w:sz="8" w:color="00539B"/>
            </w:tcBorders>
            <w:vMerge w:val="continue"/>
            <w:shd w:val="clear" w:color="auto" w:fill="E0E3F1"/>
          </w:tcPr>
          <w:p>
            <w:pPr>
              <w:spacing w:after="0"/>
              <w:rPr>
                <w:sz w:val="16"/>
                <w:szCs w:val="16"/>
                <w:color w:val="auto"/>
              </w:rPr>
            </w:pPr>
          </w:p>
        </w:tc>
        <w:tc>
          <w:tcPr>
            <w:tcW w:w="280" w:type="dxa"/>
            <w:vAlign w:val="bottom"/>
            <w:tcBorders>
              <w:bottom w:val="single" w:sz="8" w:color="00539B"/>
            </w:tcBorders>
            <w:shd w:val="clear" w:color="auto" w:fill="E0E3F1"/>
          </w:tcPr>
          <w:p>
            <w:pPr>
              <w:spacing w:after="0"/>
              <w:rPr>
                <w:sz w:val="16"/>
                <w:szCs w:val="16"/>
                <w:color w:val="auto"/>
              </w:rPr>
            </w:pPr>
          </w:p>
        </w:tc>
        <w:tc>
          <w:tcPr>
            <w:tcW w:w="1180" w:type="dxa"/>
            <w:vAlign w:val="bottom"/>
            <w:tcBorders>
              <w:bottom w:val="single" w:sz="8" w:color="00539B"/>
            </w:tcBorders>
            <w:vMerge w:val="continue"/>
            <w:shd w:val="clear" w:color="auto" w:fill="E0E3F1"/>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660" w:type="dxa"/>
            <w:vAlign w:val="bottom"/>
          </w:tcPr>
          <w:p>
            <w:pPr>
              <w:spacing w:after="0"/>
              <w:rPr>
                <w:sz w:val="12"/>
                <w:szCs w:val="12"/>
                <w:color w:val="auto"/>
              </w:rPr>
            </w:pPr>
          </w:p>
        </w:tc>
        <w:tc>
          <w:tcPr>
            <w:tcW w:w="1420" w:type="dxa"/>
            <w:vAlign w:val="bottom"/>
            <w:shd w:val="clear" w:color="auto" w:fill="E0E3F1"/>
          </w:tcPr>
          <w:p>
            <w:pPr>
              <w:ind w:left="260"/>
              <w:spacing w:after="0" w:line="147" w:lineRule="exact"/>
              <w:rPr>
                <w:sz w:val="20"/>
                <w:szCs w:val="20"/>
                <w:color w:val="auto"/>
              </w:rPr>
            </w:pPr>
            <w:r>
              <w:rPr>
                <w:rFonts w:ascii="Arial" w:cs="Arial" w:eastAsia="Arial" w:hAnsi="Arial"/>
                <w:sz w:val="14"/>
                <w:szCs w:val="14"/>
                <w:color w:val="auto"/>
              </w:rPr>
              <w:t>Other current</w:t>
            </w:r>
          </w:p>
        </w:tc>
        <w:tc>
          <w:tcPr>
            <w:tcW w:w="140" w:type="dxa"/>
            <w:vAlign w:val="bottom"/>
            <w:shd w:val="clear" w:color="auto" w:fill="E0E3F1"/>
          </w:tcPr>
          <w:p>
            <w:pPr>
              <w:spacing w:after="0"/>
              <w:rPr>
                <w:sz w:val="12"/>
                <w:szCs w:val="12"/>
                <w:color w:val="auto"/>
              </w:rPr>
            </w:pPr>
          </w:p>
        </w:tc>
        <w:tc>
          <w:tcPr>
            <w:tcW w:w="1260" w:type="dxa"/>
            <w:vAlign w:val="bottom"/>
            <w:shd w:val="clear" w:color="auto" w:fill="E0E3F1"/>
          </w:tcPr>
          <w:p>
            <w:pPr>
              <w:spacing w:after="0"/>
              <w:rPr>
                <w:sz w:val="12"/>
                <w:szCs w:val="12"/>
                <w:color w:val="auto"/>
              </w:rPr>
            </w:pPr>
          </w:p>
        </w:tc>
        <w:tc>
          <w:tcPr>
            <w:tcW w:w="280" w:type="dxa"/>
            <w:vAlign w:val="bottom"/>
            <w:shd w:val="clear" w:color="auto" w:fill="E0E3F1"/>
          </w:tcPr>
          <w:p>
            <w:pPr>
              <w:spacing w:after="0"/>
              <w:rPr>
                <w:sz w:val="12"/>
                <w:szCs w:val="12"/>
                <w:color w:val="auto"/>
              </w:rPr>
            </w:pPr>
          </w:p>
        </w:tc>
        <w:tc>
          <w:tcPr>
            <w:tcW w:w="1180" w:type="dxa"/>
            <w:vAlign w:val="bottom"/>
            <w:shd w:val="clear" w:color="auto" w:fill="E0E3F1"/>
          </w:tcPr>
          <w:p>
            <w:pPr>
              <w:spacing w:after="0"/>
              <w:rPr>
                <w:sz w:val="12"/>
                <w:szCs w:val="12"/>
                <w:color w:val="auto"/>
              </w:rPr>
            </w:pPr>
          </w:p>
        </w:tc>
        <w:tc>
          <w:tcPr>
            <w:tcW w:w="1420" w:type="dxa"/>
            <w:vAlign w:val="bottom"/>
            <w:shd w:val="clear" w:color="auto" w:fill="E0E3F1"/>
          </w:tcPr>
          <w:p>
            <w:pPr>
              <w:jc w:val="center"/>
              <w:spacing w:after="0" w:line="147" w:lineRule="exact"/>
              <w:rPr>
                <w:sz w:val="20"/>
                <w:szCs w:val="20"/>
                <w:color w:val="auto"/>
              </w:rPr>
            </w:pPr>
            <w:r>
              <w:rPr>
                <w:rFonts w:ascii="Arial" w:cs="Arial" w:eastAsia="Arial" w:hAnsi="Arial"/>
                <w:sz w:val="14"/>
                <w:szCs w:val="14"/>
                <w:color w:val="auto"/>
              </w:rPr>
              <w:t>Other accrued</w:t>
            </w:r>
          </w:p>
        </w:tc>
        <w:tc>
          <w:tcPr>
            <w:tcW w:w="120" w:type="dxa"/>
            <w:vAlign w:val="bottom"/>
            <w:shd w:val="clear" w:color="auto" w:fill="E0E3F1"/>
          </w:tcPr>
          <w:p>
            <w:pPr>
              <w:spacing w:after="0"/>
              <w:rPr>
                <w:sz w:val="12"/>
                <w:szCs w:val="12"/>
                <w:color w:val="auto"/>
              </w:rPr>
            </w:pPr>
          </w:p>
        </w:tc>
        <w:tc>
          <w:tcPr>
            <w:tcW w:w="1300" w:type="dxa"/>
            <w:vAlign w:val="bottom"/>
            <w:shd w:val="clear" w:color="auto" w:fill="E0E3F1"/>
          </w:tcPr>
          <w:p>
            <w:pPr>
              <w:spacing w:after="0"/>
              <w:rPr>
                <w:sz w:val="12"/>
                <w:szCs w:val="12"/>
                <w:color w:val="auto"/>
              </w:rPr>
            </w:pPr>
          </w:p>
        </w:tc>
        <w:tc>
          <w:tcPr>
            <w:tcW w:w="280" w:type="dxa"/>
            <w:vAlign w:val="bottom"/>
            <w:shd w:val="clear" w:color="auto" w:fill="E0E3F1"/>
          </w:tcPr>
          <w:p>
            <w:pPr>
              <w:spacing w:after="0"/>
              <w:rPr>
                <w:sz w:val="12"/>
                <w:szCs w:val="12"/>
                <w:color w:val="auto"/>
              </w:rPr>
            </w:pPr>
          </w:p>
        </w:tc>
        <w:tc>
          <w:tcPr>
            <w:tcW w:w="1180" w:type="dxa"/>
            <w:vAlign w:val="bottom"/>
            <w:shd w:val="clear" w:color="auto" w:fill="E0E3F1"/>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60" w:type="dxa"/>
            <w:vAlign w:val="bottom"/>
            <w:vMerge w:val="restart"/>
          </w:tcPr>
          <w:p>
            <w:pPr>
              <w:ind w:left="20"/>
              <w:spacing w:after="0"/>
              <w:rPr>
                <w:sz w:val="20"/>
                <w:szCs w:val="20"/>
                <w:color w:val="auto"/>
              </w:rPr>
            </w:pPr>
            <w:r>
              <w:rPr>
                <w:rFonts w:ascii="Arial" w:cs="Arial" w:eastAsia="Arial" w:hAnsi="Arial"/>
                <w:sz w:val="14"/>
                <w:szCs w:val="14"/>
                <w:color w:val="auto"/>
              </w:rPr>
              <w:t>Interest rate contracts</w:t>
            </w:r>
          </w:p>
        </w:tc>
        <w:tc>
          <w:tcPr>
            <w:tcW w:w="1420" w:type="dxa"/>
            <w:vAlign w:val="bottom"/>
            <w:shd w:val="clear" w:color="auto" w:fill="E0E3F1"/>
          </w:tcPr>
          <w:p>
            <w:pPr>
              <w:jc w:val="center"/>
              <w:spacing w:after="0" w:line="145" w:lineRule="exact"/>
              <w:rPr>
                <w:sz w:val="20"/>
                <w:szCs w:val="20"/>
                <w:color w:val="auto"/>
              </w:rPr>
            </w:pPr>
            <w:r>
              <w:rPr>
                <w:rFonts w:ascii="Arial" w:cs="Arial" w:eastAsia="Arial" w:hAnsi="Arial"/>
                <w:sz w:val="14"/>
                <w:szCs w:val="14"/>
                <w:color w:val="auto"/>
              </w:rPr>
              <w:t>assets/Other long-</w:t>
            </w:r>
          </w:p>
        </w:tc>
        <w:tc>
          <w:tcPr>
            <w:tcW w:w="140" w:type="dxa"/>
            <w:vAlign w:val="bottom"/>
            <w:vMerge w:val="restart"/>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1260" w:type="dxa"/>
            <w:vAlign w:val="bottom"/>
            <w:vMerge w:val="restart"/>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280" w:type="dxa"/>
            <w:vAlign w:val="bottom"/>
            <w:vMerge w:val="restart"/>
            <w:shd w:val="clear" w:color="auto" w:fill="E0E3F1"/>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E0E3F1"/>
          </w:tcPr>
          <w:p>
            <w:pPr>
              <w:jc w:val="center"/>
              <w:spacing w:after="0" w:line="145" w:lineRule="exact"/>
              <w:rPr>
                <w:sz w:val="20"/>
                <w:szCs w:val="20"/>
                <w:color w:val="auto"/>
              </w:rPr>
            </w:pPr>
            <w:r>
              <w:rPr>
                <w:rFonts w:ascii="Arial" w:cs="Arial" w:eastAsia="Arial" w:hAnsi="Arial"/>
                <w:sz w:val="14"/>
                <w:szCs w:val="14"/>
                <w:color w:val="auto"/>
              </w:rPr>
              <w:t>liabilities/Other long-</w:t>
            </w:r>
          </w:p>
        </w:tc>
        <w:tc>
          <w:tcPr>
            <w:tcW w:w="120" w:type="dxa"/>
            <w:vAlign w:val="bottom"/>
            <w:vMerge w:val="restart"/>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1300" w:type="dxa"/>
            <w:vAlign w:val="bottom"/>
            <w:vMerge w:val="restart"/>
            <w:shd w:val="clear" w:color="auto" w:fill="E0E3F1"/>
          </w:tcPr>
          <w:p>
            <w:pPr>
              <w:jc w:val="right"/>
              <w:spacing w:after="0"/>
              <w:rPr>
                <w:sz w:val="20"/>
                <w:szCs w:val="20"/>
                <w:color w:val="auto"/>
              </w:rPr>
            </w:pPr>
            <w:r>
              <w:rPr>
                <w:rFonts w:ascii="Arial" w:cs="Arial" w:eastAsia="Arial" w:hAnsi="Arial"/>
                <w:sz w:val="14"/>
                <w:szCs w:val="14"/>
                <w:color w:val="auto"/>
              </w:rPr>
              <w:t>500.0</w:t>
            </w:r>
          </w:p>
        </w:tc>
        <w:tc>
          <w:tcPr>
            <w:tcW w:w="280" w:type="dxa"/>
            <w:vAlign w:val="bottom"/>
            <w:vMerge w:val="restart"/>
            <w:shd w:val="clear" w:color="auto" w:fill="E0E3F1"/>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E0E3F1"/>
          </w:tcPr>
          <w:p>
            <w:pPr>
              <w:jc w:val="right"/>
              <w:spacing w:after="0"/>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189"/>
        </w:trPr>
        <w:tc>
          <w:tcPr>
            <w:tcW w:w="2660" w:type="dxa"/>
            <w:vAlign w:val="bottom"/>
            <w:vMerge w:val="continue"/>
          </w:tcPr>
          <w:p>
            <w:pPr>
              <w:spacing w:after="0"/>
              <w:rPr>
                <w:sz w:val="16"/>
                <w:szCs w:val="16"/>
                <w:color w:val="auto"/>
              </w:rPr>
            </w:pPr>
          </w:p>
        </w:tc>
        <w:tc>
          <w:tcPr>
            <w:tcW w:w="1420" w:type="dxa"/>
            <w:vAlign w:val="bottom"/>
            <w:shd w:val="clear" w:color="auto" w:fill="E0E3F1"/>
          </w:tcPr>
          <w:p>
            <w:pPr>
              <w:jc w:val="center"/>
              <w:spacing w:after="0"/>
              <w:rPr>
                <w:sz w:val="20"/>
                <w:szCs w:val="20"/>
                <w:color w:val="auto"/>
              </w:rPr>
            </w:pPr>
            <w:r>
              <w:rPr>
                <w:rFonts w:ascii="Arial" w:cs="Arial" w:eastAsia="Arial" w:hAnsi="Arial"/>
                <w:sz w:val="14"/>
                <w:szCs w:val="14"/>
                <w:color w:val="auto"/>
              </w:rPr>
              <w:t>term assets</w:t>
            </w:r>
          </w:p>
        </w:tc>
        <w:tc>
          <w:tcPr>
            <w:tcW w:w="140" w:type="dxa"/>
            <w:vAlign w:val="bottom"/>
            <w:vMerge w:val="continue"/>
            <w:shd w:val="clear" w:color="auto" w:fill="E0E3F1"/>
          </w:tcPr>
          <w:p>
            <w:pPr>
              <w:spacing w:after="0"/>
              <w:rPr>
                <w:sz w:val="16"/>
                <w:szCs w:val="16"/>
                <w:color w:val="auto"/>
              </w:rPr>
            </w:pPr>
          </w:p>
        </w:tc>
        <w:tc>
          <w:tcPr>
            <w:tcW w:w="1260" w:type="dxa"/>
            <w:vAlign w:val="bottom"/>
            <w:vMerge w:val="continue"/>
            <w:shd w:val="clear" w:color="auto" w:fill="E0E3F1"/>
          </w:tcPr>
          <w:p>
            <w:pPr>
              <w:spacing w:after="0"/>
              <w:rPr>
                <w:sz w:val="16"/>
                <w:szCs w:val="16"/>
                <w:color w:val="auto"/>
              </w:rPr>
            </w:pPr>
          </w:p>
        </w:tc>
        <w:tc>
          <w:tcPr>
            <w:tcW w:w="280" w:type="dxa"/>
            <w:vAlign w:val="bottom"/>
            <w:vMerge w:val="continue"/>
            <w:shd w:val="clear" w:color="auto" w:fill="E0E3F1"/>
          </w:tcPr>
          <w:p>
            <w:pPr>
              <w:spacing w:after="0"/>
              <w:rPr>
                <w:sz w:val="16"/>
                <w:szCs w:val="16"/>
                <w:color w:val="auto"/>
              </w:rPr>
            </w:pPr>
          </w:p>
        </w:tc>
        <w:tc>
          <w:tcPr>
            <w:tcW w:w="1180" w:type="dxa"/>
            <w:vAlign w:val="bottom"/>
            <w:vMerge w:val="continue"/>
            <w:shd w:val="clear" w:color="auto" w:fill="E0E3F1"/>
          </w:tcPr>
          <w:p>
            <w:pPr>
              <w:spacing w:after="0"/>
              <w:rPr>
                <w:sz w:val="16"/>
                <w:szCs w:val="16"/>
                <w:color w:val="auto"/>
              </w:rPr>
            </w:pPr>
          </w:p>
        </w:tc>
        <w:tc>
          <w:tcPr>
            <w:tcW w:w="1420" w:type="dxa"/>
            <w:vAlign w:val="bottom"/>
            <w:shd w:val="clear" w:color="auto" w:fill="E0E3F1"/>
          </w:tcPr>
          <w:p>
            <w:pPr>
              <w:jc w:val="center"/>
              <w:spacing w:after="0"/>
              <w:rPr>
                <w:sz w:val="20"/>
                <w:szCs w:val="20"/>
                <w:color w:val="auto"/>
              </w:rPr>
            </w:pPr>
            <w:r>
              <w:rPr>
                <w:rFonts w:ascii="Arial" w:cs="Arial" w:eastAsia="Arial" w:hAnsi="Arial"/>
                <w:sz w:val="14"/>
                <w:szCs w:val="14"/>
                <w:color w:val="auto"/>
              </w:rPr>
              <w:t>term liabilities</w:t>
            </w:r>
          </w:p>
        </w:tc>
        <w:tc>
          <w:tcPr>
            <w:tcW w:w="120" w:type="dxa"/>
            <w:vAlign w:val="bottom"/>
            <w:vMerge w:val="continue"/>
            <w:shd w:val="clear" w:color="auto" w:fill="E0E3F1"/>
          </w:tcPr>
          <w:p>
            <w:pPr>
              <w:spacing w:after="0"/>
              <w:rPr>
                <w:sz w:val="16"/>
                <w:szCs w:val="16"/>
                <w:color w:val="auto"/>
              </w:rPr>
            </w:pPr>
          </w:p>
        </w:tc>
        <w:tc>
          <w:tcPr>
            <w:tcW w:w="1300" w:type="dxa"/>
            <w:vAlign w:val="bottom"/>
            <w:vMerge w:val="continue"/>
            <w:shd w:val="clear" w:color="auto" w:fill="E0E3F1"/>
          </w:tcPr>
          <w:p>
            <w:pPr>
              <w:spacing w:after="0"/>
              <w:rPr>
                <w:sz w:val="16"/>
                <w:szCs w:val="16"/>
                <w:color w:val="auto"/>
              </w:rPr>
            </w:pPr>
          </w:p>
        </w:tc>
        <w:tc>
          <w:tcPr>
            <w:tcW w:w="280" w:type="dxa"/>
            <w:vAlign w:val="bottom"/>
            <w:vMerge w:val="continue"/>
            <w:shd w:val="clear" w:color="auto" w:fill="E0E3F1"/>
          </w:tcPr>
          <w:p>
            <w:pPr>
              <w:spacing w:after="0"/>
              <w:rPr>
                <w:sz w:val="16"/>
                <w:szCs w:val="16"/>
                <w:color w:val="auto"/>
              </w:rPr>
            </w:pPr>
          </w:p>
        </w:tc>
        <w:tc>
          <w:tcPr>
            <w:tcW w:w="1180" w:type="dxa"/>
            <w:vAlign w:val="bottom"/>
            <w:vMerge w:val="continue"/>
            <w:shd w:val="clear" w:color="auto" w:fill="E0E3F1"/>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660" w:type="dxa"/>
            <w:vAlign w:val="bottom"/>
            <w:vMerge w:val="restart"/>
          </w:tcPr>
          <w:p>
            <w:pPr>
              <w:ind w:left="20"/>
              <w:spacing w:after="0"/>
              <w:rPr>
                <w:sz w:val="20"/>
                <w:szCs w:val="20"/>
                <w:color w:val="auto"/>
              </w:rPr>
            </w:pPr>
            <w:r>
              <w:rPr>
                <w:rFonts w:ascii="Arial" w:cs="Arial" w:eastAsia="Arial" w:hAnsi="Arial"/>
                <w:sz w:val="14"/>
                <w:szCs w:val="14"/>
                <w:color w:val="auto"/>
              </w:rPr>
              <w:t>Foreign exchange contracts</w:t>
            </w:r>
          </w:p>
        </w:tc>
        <w:tc>
          <w:tcPr>
            <w:tcW w:w="1420" w:type="dxa"/>
            <w:vAlign w:val="bottom"/>
            <w:vMerge w:val="restart"/>
            <w:shd w:val="clear" w:color="auto" w:fill="E0E3F1"/>
          </w:tcPr>
          <w:p>
            <w:pPr>
              <w:jc w:val="center"/>
              <w:spacing w:after="0"/>
              <w:rPr>
                <w:sz w:val="20"/>
                <w:szCs w:val="20"/>
                <w:color w:val="auto"/>
              </w:rPr>
            </w:pPr>
            <w:r>
              <w:rPr>
                <w:rFonts w:ascii="Arial" w:cs="Arial" w:eastAsia="Arial" w:hAnsi="Arial"/>
                <w:sz w:val="14"/>
                <w:szCs w:val="14"/>
                <w:color w:val="auto"/>
              </w:rPr>
              <w:t>Other current assets</w:t>
            </w:r>
          </w:p>
        </w:tc>
        <w:tc>
          <w:tcPr>
            <w:tcW w:w="140" w:type="dxa"/>
            <w:vAlign w:val="bottom"/>
            <w:shd w:val="clear" w:color="auto" w:fill="E0E3F1"/>
          </w:tcPr>
          <w:p>
            <w:pPr>
              <w:spacing w:after="0"/>
              <w:rPr>
                <w:sz w:val="13"/>
                <w:szCs w:val="13"/>
                <w:color w:val="auto"/>
              </w:rPr>
            </w:pPr>
          </w:p>
        </w:tc>
        <w:tc>
          <w:tcPr>
            <w:tcW w:w="1260" w:type="dxa"/>
            <w:vAlign w:val="bottom"/>
            <w:vMerge w:val="restart"/>
            <w:shd w:val="clear" w:color="auto" w:fill="E0E3F1"/>
          </w:tcPr>
          <w:p>
            <w:pPr>
              <w:jc w:val="right"/>
              <w:spacing w:after="0"/>
              <w:rPr>
                <w:sz w:val="20"/>
                <w:szCs w:val="20"/>
                <w:color w:val="auto"/>
              </w:rPr>
            </w:pPr>
            <w:r>
              <w:rPr>
                <w:rFonts w:ascii="Arial" w:cs="Arial" w:eastAsia="Arial" w:hAnsi="Arial"/>
                <w:sz w:val="14"/>
                <w:szCs w:val="14"/>
                <w:color w:val="auto"/>
              </w:rPr>
              <w:t>894.6</w:t>
            </w:r>
          </w:p>
        </w:tc>
        <w:tc>
          <w:tcPr>
            <w:tcW w:w="280" w:type="dxa"/>
            <w:vAlign w:val="bottom"/>
            <w:shd w:val="clear" w:color="auto" w:fill="E0E3F1"/>
          </w:tcPr>
          <w:p>
            <w:pPr>
              <w:spacing w:after="0"/>
              <w:rPr>
                <w:sz w:val="13"/>
                <w:szCs w:val="13"/>
                <w:color w:val="auto"/>
              </w:rPr>
            </w:pPr>
          </w:p>
        </w:tc>
        <w:tc>
          <w:tcPr>
            <w:tcW w:w="1180" w:type="dxa"/>
            <w:vAlign w:val="bottom"/>
            <w:vMerge w:val="restart"/>
            <w:shd w:val="clear" w:color="auto" w:fill="E0E3F1"/>
          </w:tcPr>
          <w:p>
            <w:pPr>
              <w:jc w:val="right"/>
              <w:spacing w:after="0"/>
              <w:rPr>
                <w:sz w:val="20"/>
                <w:szCs w:val="20"/>
                <w:color w:val="auto"/>
              </w:rPr>
            </w:pPr>
            <w:r>
              <w:rPr>
                <w:rFonts w:ascii="Arial" w:cs="Arial" w:eastAsia="Arial" w:hAnsi="Arial"/>
                <w:sz w:val="14"/>
                <w:szCs w:val="14"/>
                <w:color w:val="auto"/>
              </w:rPr>
              <w:t>6.5</w:t>
            </w:r>
          </w:p>
        </w:tc>
        <w:tc>
          <w:tcPr>
            <w:tcW w:w="1420" w:type="dxa"/>
            <w:vAlign w:val="bottom"/>
            <w:shd w:val="clear" w:color="auto" w:fill="E0E3F1"/>
          </w:tcPr>
          <w:p>
            <w:pPr>
              <w:jc w:val="center"/>
              <w:spacing w:after="0" w:line="153" w:lineRule="exact"/>
              <w:rPr>
                <w:sz w:val="20"/>
                <w:szCs w:val="20"/>
                <w:color w:val="auto"/>
              </w:rPr>
            </w:pPr>
            <w:r>
              <w:rPr>
                <w:rFonts w:ascii="Arial" w:cs="Arial" w:eastAsia="Arial" w:hAnsi="Arial"/>
                <w:sz w:val="14"/>
                <w:szCs w:val="14"/>
                <w:color w:val="auto"/>
              </w:rPr>
              <w:t>Other accrued</w:t>
            </w:r>
          </w:p>
        </w:tc>
        <w:tc>
          <w:tcPr>
            <w:tcW w:w="120" w:type="dxa"/>
            <w:vAlign w:val="bottom"/>
            <w:shd w:val="clear" w:color="auto" w:fill="E0E3F1"/>
          </w:tcPr>
          <w:p>
            <w:pPr>
              <w:spacing w:after="0"/>
              <w:rPr>
                <w:sz w:val="13"/>
                <w:szCs w:val="13"/>
                <w:color w:val="auto"/>
              </w:rPr>
            </w:pPr>
          </w:p>
        </w:tc>
        <w:tc>
          <w:tcPr>
            <w:tcW w:w="1300" w:type="dxa"/>
            <w:vAlign w:val="bottom"/>
            <w:vMerge w:val="restart"/>
            <w:shd w:val="clear" w:color="auto" w:fill="E0E3F1"/>
          </w:tcPr>
          <w:p>
            <w:pPr>
              <w:jc w:val="right"/>
              <w:spacing w:after="0"/>
              <w:rPr>
                <w:sz w:val="20"/>
                <w:szCs w:val="20"/>
                <w:color w:val="auto"/>
              </w:rPr>
            </w:pPr>
            <w:r>
              <w:rPr>
                <w:rFonts w:ascii="Arial" w:cs="Arial" w:eastAsia="Arial" w:hAnsi="Arial"/>
                <w:sz w:val="14"/>
                <w:szCs w:val="14"/>
                <w:color w:val="auto"/>
              </w:rPr>
              <w:t>123.6</w:t>
            </w:r>
          </w:p>
        </w:tc>
        <w:tc>
          <w:tcPr>
            <w:tcW w:w="280" w:type="dxa"/>
            <w:vAlign w:val="bottom"/>
            <w:shd w:val="clear" w:color="auto" w:fill="E0E3F1"/>
          </w:tcPr>
          <w:p>
            <w:pPr>
              <w:spacing w:after="0"/>
              <w:rPr>
                <w:sz w:val="13"/>
                <w:szCs w:val="13"/>
                <w:color w:val="auto"/>
              </w:rPr>
            </w:pPr>
          </w:p>
        </w:tc>
        <w:tc>
          <w:tcPr>
            <w:tcW w:w="1180" w:type="dxa"/>
            <w:vAlign w:val="bottom"/>
            <w:vMerge w:val="restart"/>
            <w:shd w:val="clear" w:color="auto" w:fill="E0E3F1"/>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85"/>
        </w:trPr>
        <w:tc>
          <w:tcPr>
            <w:tcW w:w="2660" w:type="dxa"/>
            <w:vAlign w:val="bottom"/>
            <w:vMerge w:val="continue"/>
          </w:tcPr>
          <w:p>
            <w:pPr>
              <w:spacing w:after="0"/>
              <w:rPr>
                <w:sz w:val="16"/>
                <w:szCs w:val="16"/>
                <w:color w:val="auto"/>
              </w:rPr>
            </w:pPr>
          </w:p>
        </w:tc>
        <w:tc>
          <w:tcPr>
            <w:tcW w:w="1420" w:type="dxa"/>
            <w:vAlign w:val="bottom"/>
            <w:vMerge w:val="continue"/>
            <w:shd w:val="clear" w:color="auto" w:fill="E0E3F1"/>
          </w:tcPr>
          <w:p>
            <w:pPr>
              <w:spacing w:after="0"/>
              <w:rPr>
                <w:sz w:val="16"/>
                <w:szCs w:val="16"/>
                <w:color w:val="auto"/>
              </w:rPr>
            </w:pPr>
          </w:p>
        </w:tc>
        <w:tc>
          <w:tcPr>
            <w:tcW w:w="140" w:type="dxa"/>
            <w:vAlign w:val="bottom"/>
            <w:shd w:val="clear" w:color="auto" w:fill="E0E3F1"/>
          </w:tcPr>
          <w:p>
            <w:pPr>
              <w:spacing w:after="0"/>
              <w:rPr>
                <w:sz w:val="16"/>
                <w:szCs w:val="16"/>
                <w:color w:val="auto"/>
              </w:rPr>
            </w:pPr>
          </w:p>
        </w:tc>
        <w:tc>
          <w:tcPr>
            <w:tcW w:w="1260" w:type="dxa"/>
            <w:vAlign w:val="bottom"/>
            <w:vMerge w:val="continue"/>
            <w:shd w:val="clear" w:color="auto" w:fill="E0E3F1"/>
          </w:tcPr>
          <w:p>
            <w:pPr>
              <w:spacing w:after="0"/>
              <w:rPr>
                <w:sz w:val="16"/>
                <w:szCs w:val="16"/>
                <w:color w:val="auto"/>
              </w:rPr>
            </w:pPr>
          </w:p>
        </w:tc>
        <w:tc>
          <w:tcPr>
            <w:tcW w:w="280" w:type="dxa"/>
            <w:vAlign w:val="bottom"/>
            <w:shd w:val="clear" w:color="auto" w:fill="E0E3F1"/>
          </w:tcPr>
          <w:p>
            <w:pPr>
              <w:spacing w:after="0"/>
              <w:rPr>
                <w:sz w:val="16"/>
                <w:szCs w:val="16"/>
                <w:color w:val="auto"/>
              </w:rPr>
            </w:pPr>
          </w:p>
        </w:tc>
        <w:tc>
          <w:tcPr>
            <w:tcW w:w="1180" w:type="dxa"/>
            <w:vAlign w:val="bottom"/>
            <w:vMerge w:val="continue"/>
            <w:shd w:val="clear" w:color="auto" w:fill="E0E3F1"/>
          </w:tcPr>
          <w:p>
            <w:pPr>
              <w:spacing w:after="0"/>
              <w:rPr>
                <w:sz w:val="16"/>
                <w:szCs w:val="16"/>
                <w:color w:val="auto"/>
              </w:rPr>
            </w:pPr>
          </w:p>
        </w:tc>
        <w:tc>
          <w:tcPr>
            <w:tcW w:w="1420" w:type="dxa"/>
            <w:vAlign w:val="bottom"/>
            <w:shd w:val="clear" w:color="auto" w:fill="E0E3F1"/>
          </w:tcPr>
          <w:p>
            <w:pPr>
              <w:jc w:val="center"/>
              <w:spacing w:after="0"/>
              <w:rPr>
                <w:sz w:val="20"/>
                <w:szCs w:val="20"/>
                <w:color w:val="auto"/>
              </w:rPr>
            </w:pPr>
            <w:r>
              <w:rPr>
                <w:rFonts w:ascii="Arial" w:cs="Arial" w:eastAsia="Arial" w:hAnsi="Arial"/>
                <w:sz w:val="14"/>
                <w:szCs w:val="14"/>
                <w:color w:val="auto"/>
              </w:rPr>
              <w:t>liabilities</w:t>
            </w:r>
          </w:p>
        </w:tc>
        <w:tc>
          <w:tcPr>
            <w:tcW w:w="120" w:type="dxa"/>
            <w:vAlign w:val="bottom"/>
            <w:shd w:val="clear" w:color="auto" w:fill="E0E3F1"/>
          </w:tcPr>
          <w:p>
            <w:pPr>
              <w:spacing w:after="0"/>
              <w:rPr>
                <w:sz w:val="16"/>
                <w:szCs w:val="16"/>
                <w:color w:val="auto"/>
              </w:rPr>
            </w:pPr>
          </w:p>
        </w:tc>
        <w:tc>
          <w:tcPr>
            <w:tcW w:w="1300" w:type="dxa"/>
            <w:vAlign w:val="bottom"/>
            <w:vMerge w:val="continue"/>
            <w:shd w:val="clear" w:color="auto" w:fill="E0E3F1"/>
          </w:tcPr>
          <w:p>
            <w:pPr>
              <w:spacing w:after="0"/>
              <w:rPr>
                <w:sz w:val="16"/>
                <w:szCs w:val="16"/>
                <w:color w:val="auto"/>
              </w:rPr>
            </w:pPr>
          </w:p>
        </w:tc>
        <w:tc>
          <w:tcPr>
            <w:tcW w:w="280" w:type="dxa"/>
            <w:vAlign w:val="bottom"/>
            <w:shd w:val="clear" w:color="auto" w:fill="E0E3F1"/>
          </w:tcPr>
          <w:p>
            <w:pPr>
              <w:spacing w:after="0"/>
              <w:rPr>
                <w:sz w:val="16"/>
                <w:szCs w:val="16"/>
                <w:color w:val="auto"/>
              </w:rPr>
            </w:pPr>
          </w:p>
        </w:tc>
        <w:tc>
          <w:tcPr>
            <w:tcW w:w="1180" w:type="dxa"/>
            <w:vAlign w:val="bottom"/>
            <w:vMerge w:val="continue"/>
            <w:shd w:val="clear" w:color="auto" w:fill="E0E3F1"/>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660" w:type="dxa"/>
            <w:vAlign w:val="bottom"/>
          </w:tcPr>
          <w:p>
            <w:pPr>
              <w:spacing w:after="0"/>
              <w:rPr>
                <w:sz w:val="13"/>
                <w:szCs w:val="13"/>
                <w:color w:val="auto"/>
              </w:rPr>
            </w:pPr>
          </w:p>
        </w:tc>
        <w:tc>
          <w:tcPr>
            <w:tcW w:w="1420" w:type="dxa"/>
            <w:vAlign w:val="bottom"/>
            <w:shd w:val="clear" w:color="auto" w:fill="E0E3F1"/>
          </w:tcPr>
          <w:p>
            <w:pPr>
              <w:jc w:val="center"/>
              <w:spacing w:after="0" w:line="153" w:lineRule="exact"/>
              <w:rPr>
                <w:sz w:val="20"/>
                <w:szCs w:val="20"/>
                <w:color w:val="auto"/>
              </w:rPr>
            </w:pPr>
            <w:r>
              <w:rPr>
                <w:rFonts w:ascii="Arial" w:cs="Arial" w:eastAsia="Arial" w:hAnsi="Arial"/>
                <w:sz w:val="14"/>
                <w:szCs w:val="14"/>
                <w:color w:val="auto"/>
              </w:rPr>
              <w:t>Other current</w:t>
            </w:r>
          </w:p>
        </w:tc>
        <w:tc>
          <w:tcPr>
            <w:tcW w:w="140" w:type="dxa"/>
            <w:vAlign w:val="bottom"/>
            <w:shd w:val="clear" w:color="auto" w:fill="E0E3F1"/>
          </w:tcPr>
          <w:p>
            <w:pPr>
              <w:spacing w:after="0"/>
              <w:rPr>
                <w:sz w:val="13"/>
                <w:szCs w:val="13"/>
                <w:color w:val="auto"/>
              </w:rPr>
            </w:pPr>
          </w:p>
        </w:tc>
        <w:tc>
          <w:tcPr>
            <w:tcW w:w="1260" w:type="dxa"/>
            <w:vAlign w:val="bottom"/>
            <w:shd w:val="clear" w:color="auto" w:fill="E0E3F1"/>
          </w:tcPr>
          <w:p>
            <w:pPr>
              <w:spacing w:after="0"/>
              <w:rPr>
                <w:sz w:val="13"/>
                <w:szCs w:val="13"/>
                <w:color w:val="auto"/>
              </w:rPr>
            </w:pPr>
          </w:p>
        </w:tc>
        <w:tc>
          <w:tcPr>
            <w:tcW w:w="280" w:type="dxa"/>
            <w:vAlign w:val="bottom"/>
            <w:shd w:val="clear" w:color="auto" w:fill="E0E3F1"/>
          </w:tcPr>
          <w:p>
            <w:pPr>
              <w:spacing w:after="0"/>
              <w:rPr>
                <w:sz w:val="13"/>
                <w:szCs w:val="13"/>
                <w:color w:val="auto"/>
              </w:rPr>
            </w:pPr>
          </w:p>
        </w:tc>
        <w:tc>
          <w:tcPr>
            <w:tcW w:w="1180" w:type="dxa"/>
            <w:vAlign w:val="bottom"/>
            <w:shd w:val="clear" w:color="auto" w:fill="E0E3F1"/>
          </w:tcPr>
          <w:p>
            <w:pPr>
              <w:spacing w:after="0"/>
              <w:rPr>
                <w:sz w:val="13"/>
                <w:szCs w:val="13"/>
                <w:color w:val="auto"/>
              </w:rPr>
            </w:pPr>
          </w:p>
        </w:tc>
        <w:tc>
          <w:tcPr>
            <w:tcW w:w="1420" w:type="dxa"/>
            <w:vAlign w:val="bottom"/>
            <w:shd w:val="clear" w:color="auto" w:fill="E0E3F1"/>
          </w:tcPr>
          <w:p>
            <w:pPr>
              <w:jc w:val="center"/>
              <w:spacing w:after="0" w:line="153" w:lineRule="exact"/>
              <w:rPr>
                <w:sz w:val="20"/>
                <w:szCs w:val="20"/>
                <w:color w:val="auto"/>
              </w:rPr>
            </w:pPr>
            <w:r>
              <w:rPr>
                <w:rFonts w:ascii="Arial" w:cs="Arial" w:eastAsia="Arial" w:hAnsi="Arial"/>
                <w:sz w:val="14"/>
                <w:szCs w:val="14"/>
                <w:color w:val="auto"/>
              </w:rPr>
              <w:t>Other accrued</w:t>
            </w:r>
          </w:p>
        </w:tc>
        <w:tc>
          <w:tcPr>
            <w:tcW w:w="120" w:type="dxa"/>
            <w:vAlign w:val="bottom"/>
            <w:shd w:val="clear" w:color="auto" w:fill="E0E3F1"/>
          </w:tcPr>
          <w:p>
            <w:pPr>
              <w:spacing w:after="0"/>
              <w:rPr>
                <w:sz w:val="13"/>
                <w:szCs w:val="13"/>
                <w:color w:val="auto"/>
              </w:rPr>
            </w:pPr>
          </w:p>
        </w:tc>
        <w:tc>
          <w:tcPr>
            <w:tcW w:w="1300" w:type="dxa"/>
            <w:vAlign w:val="bottom"/>
            <w:shd w:val="clear" w:color="auto" w:fill="E0E3F1"/>
          </w:tcPr>
          <w:p>
            <w:pPr>
              <w:spacing w:after="0"/>
              <w:rPr>
                <w:sz w:val="13"/>
                <w:szCs w:val="13"/>
                <w:color w:val="auto"/>
              </w:rPr>
            </w:pPr>
          </w:p>
        </w:tc>
        <w:tc>
          <w:tcPr>
            <w:tcW w:w="280" w:type="dxa"/>
            <w:vAlign w:val="bottom"/>
            <w:shd w:val="clear" w:color="auto" w:fill="E0E3F1"/>
          </w:tcPr>
          <w:p>
            <w:pPr>
              <w:spacing w:after="0"/>
              <w:rPr>
                <w:sz w:val="13"/>
                <w:szCs w:val="13"/>
                <w:color w:val="auto"/>
              </w:rPr>
            </w:pPr>
          </w:p>
        </w:tc>
        <w:tc>
          <w:tcPr>
            <w:tcW w:w="1180" w:type="dxa"/>
            <w:vAlign w:val="bottom"/>
            <w:shd w:val="clear" w:color="auto" w:fill="E0E3F1"/>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660" w:type="dxa"/>
            <w:vAlign w:val="bottom"/>
            <w:vMerge w:val="restart"/>
          </w:tcPr>
          <w:p>
            <w:pPr>
              <w:ind w:left="20"/>
              <w:spacing w:after="0"/>
              <w:rPr>
                <w:sz w:val="20"/>
                <w:szCs w:val="20"/>
                <w:color w:val="auto"/>
              </w:rPr>
            </w:pPr>
            <w:r>
              <w:rPr>
                <w:rFonts w:ascii="Arial" w:cs="Arial" w:eastAsia="Arial" w:hAnsi="Arial"/>
                <w:sz w:val="14"/>
                <w:szCs w:val="14"/>
                <w:color w:val="auto"/>
              </w:rPr>
              <w:t>Cross currency contracts</w:t>
            </w:r>
          </w:p>
        </w:tc>
        <w:tc>
          <w:tcPr>
            <w:tcW w:w="1420" w:type="dxa"/>
            <w:vAlign w:val="bottom"/>
            <w:shd w:val="clear" w:color="auto" w:fill="E0E3F1"/>
          </w:tcPr>
          <w:p>
            <w:pPr>
              <w:jc w:val="center"/>
              <w:spacing w:after="0" w:line="145" w:lineRule="exact"/>
              <w:rPr>
                <w:sz w:val="20"/>
                <w:szCs w:val="20"/>
                <w:color w:val="auto"/>
              </w:rPr>
            </w:pPr>
            <w:r>
              <w:rPr>
                <w:rFonts w:ascii="Arial" w:cs="Arial" w:eastAsia="Arial" w:hAnsi="Arial"/>
                <w:sz w:val="14"/>
                <w:szCs w:val="14"/>
                <w:color w:val="auto"/>
              </w:rPr>
              <w:t>assets/Other long-</w:t>
            </w:r>
          </w:p>
        </w:tc>
        <w:tc>
          <w:tcPr>
            <w:tcW w:w="140" w:type="dxa"/>
            <w:vAlign w:val="bottom"/>
            <w:shd w:val="clear" w:color="auto" w:fill="E0E3F1"/>
          </w:tcPr>
          <w:p>
            <w:pPr>
              <w:spacing w:after="0"/>
              <w:rPr>
                <w:sz w:val="12"/>
                <w:szCs w:val="12"/>
                <w:color w:val="auto"/>
              </w:rPr>
            </w:pPr>
          </w:p>
        </w:tc>
        <w:tc>
          <w:tcPr>
            <w:tcW w:w="1260" w:type="dxa"/>
            <w:vAlign w:val="bottom"/>
            <w:vMerge w:val="restart"/>
            <w:shd w:val="clear" w:color="auto" w:fill="E0E3F1"/>
          </w:tcPr>
          <w:p>
            <w:pPr>
              <w:jc w:val="right"/>
              <w:spacing w:after="0"/>
              <w:rPr>
                <w:sz w:val="20"/>
                <w:szCs w:val="20"/>
                <w:color w:val="auto"/>
              </w:rPr>
            </w:pPr>
            <w:r>
              <w:rPr>
                <w:rFonts w:ascii="Arial" w:cs="Arial" w:eastAsia="Arial" w:hAnsi="Arial"/>
                <w:sz w:val="14"/>
                <w:szCs w:val="14"/>
                <w:color w:val="auto"/>
              </w:rPr>
              <w:t>500.8</w:t>
            </w:r>
          </w:p>
        </w:tc>
        <w:tc>
          <w:tcPr>
            <w:tcW w:w="280" w:type="dxa"/>
            <w:vAlign w:val="bottom"/>
            <w:shd w:val="clear" w:color="auto" w:fill="E0E3F1"/>
          </w:tcPr>
          <w:p>
            <w:pPr>
              <w:spacing w:after="0"/>
              <w:rPr>
                <w:sz w:val="12"/>
                <w:szCs w:val="12"/>
                <w:color w:val="auto"/>
              </w:rPr>
            </w:pPr>
          </w:p>
        </w:tc>
        <w:tc>
          <w:tcPr>
            <w:tcW w:w="1180" w:type="dxa"/>
            <w:vAlign w:val="bottom"/>
            <w:vMerge w:val="restart"/>
            <w:shd w:val="clear" w:color="auto" w:fill="E0E3F1"/>
          </w:tcPr>
          <w:p>
            <w:pPr>
              <w:jc w:val="right"/>
              <w:spacing w:after="0"/>
              <w:rPr>
                <w:sz w:val="20"/>
                <w:szCs w:val="20"/>
                <w:color w:val="auto"/>
              </w:rPr>
            </w:pPr>
            <w:r>
              <w:rPr>
                <w:rFonts w:ascii="Arial" w:cs="Arial" w:eastAsia="Arial" w:hAnsi="Arial"/>
                <w:sz w:val="14"/>
                <w:szCs w:val="14"/>
                <w:color w:val="auto"/>
              </w:rPr>
              <w:t>8.5</w:t>
            </w:r>
          </w:p>
        </w:tc>
        <w:tc>
          <w:tcPr>
            <w:tcW w:w="1420" w:type="dxa"/>
            <w:vAlign w:val="bottom"/>
            <w:shd w:val="clear" w:color="auto" w:fill="E0E3F1"/>
          </w:tcPr>
          <w:p>
            <w:pPr>
              <w:jc w:val="center"/>
              <w:spacing w:after="0" w:line="145" w:lineRule="exact"/>
              <w:rPr>
                <w:sz w:val="20"/>
                <w:szCs w:val="20"/>
                <w:color w:val="auto"/>
              </w:rPr>
            </w:pPr>
            <w:r>
              <w:rPr>
                <w:rFonts w:ascii="Arial" w:cs="Arial" w:eastAsia="Arial" w:hAnsi="Arial"/>
                <w:sz w:val="14"/>
                <w:szCs w:val="14"/>
                <w:color w:val="auto"/>
              </w:rPr>
              <w:t>liabilities/Other long-</w:t>
            </w:r>
          </w:p>
        </w:tc>
        <w:tc>
          <w:tcPr>
            <w:tcW w:w="120" w:type="dxa"/>
            <w:vAlign w:val="bottom"/>
            <w:shd w:val="clear" w:color="auto" w:fill="E0E3F1"/>
          </w:tcPr>
          <w:p>
            <w:pPr>
              <w:spacing w:after="0"/>
              <w:rPr>
                <w:sz w:val="12"/>
                <w:szCs w:val="12"/>
                <w:color w:val="auto"/>
              </w:rPr>
            </w:pPr>
          </w:p>
        </w:tc>
        <w:tc>
          <w:tcPr>
            <w:tcW w:w="1300" w:type="dxa"/>
            <w:vAlign w:val="bottom"/>
            <w:vMerge w:val="restart"/>
            <w:shd w:val="clear" w:color="auto" w:fill="E0E3F1"/>
          </w:tcPr>
          <w:p>
            <w:pPr>
              <w:jc w:val="right"/>
              <w:spacing w:after="0"/>
              <w:rPr>
                <w:sz w:val="20"/>
                <w:szCs w:val="20"/>
                <w:color w:val="auto"/>
              </w:rPr>
            </w:pPr>
            <w:r>
              <w:rPr>
                <w:rFonts w:ascii="Arial" w:cs="Arial" w:eastAsia="Arial" w:hAnsi="Arial"/>
                <w:sz w:val="14"/>
                <w:szCs w:val="14"/>
                <w:color w:val="auto"/>
              </w:rPr>
              <w:t>511.1</w:t>
            </w:r>
          </w:p>
        </w:tc>
        <w:tc>
          <w:tcPr>
            <w:tcW w:w="280" w:type="dxa"/>
            <w:vAlign w:val="bottom"/>
            <w:shd w:val="clear" w:color="auto" w:fill="E0E3F1"/>
          </w:tcPr>
          <w:p>
            <w:pPr>
              <w:spacing w:after="0"/>
              <w:rPr>
                <w:sz w:val="12"/>
                <w:szCs w:val="12"/>
                <w:color w:val="auto"/>
              </w:rPr>
            </w:pPr>
          </w:p>
        </w:tc>
        <w:tc>
          <w:tcPr>
            <w:tcW w:w="1180" w:type="dxa"/>
            <w:vAlign w:val="bottom"/>
            <w:vMerge w:val="restart"/>
            <w:shd w:val="clear" w:color="auto" w:fill="E0E3F1"/>
          </w:tcPr>
          <w:p>
            <w:pPr>
              <w:jc w:val="right"/>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189"/>
        </w:trPr>
        <w:tc>
          <w:tcPr>
            <w:tcW w:w="2660" w:type="dxa"/>
            <w:vAlign w:val="bottom"/>
            <w:tcBorders>
              <w:bottom w:val="single" w:sz="8" w:color="00539B"/>
            </w:tcBorders>
            <w:vMerge w:val="continue"/>
          </w:tcPr>
          <w:p>
            <w:pPr>
              <w:spacing w:after="0"/>
              <w:rPr>
                <w:sz w:val="16"/>
                <w:szCs w:val="16"/>
                <w:color w:val="auto"/>
              </w:rPr>
            </w:pPr>
          </w:p>
        </w:tc>
        <w:tc>
          <w:tcPr>
            <w:tcW w:w="1420" w:type="dxa"/>
            <w:vAlign w:val="bottom"/>
            <w:tcBorders>
              <w:bottom w:val="single" w:sz="8" w:color="00539B"/>
            </w:tcBorders>
            <w:shd w:val="clear" w:color="auto" w:fill="E0E3F1"/>
          </w:tcPr>
          <w:p>
            <w:pPr>
              <w:jc w:val="center"/>
              <w:spacing w:after="0"/>
              <w:rPr>
                <w:sz w:val="20"/>
                <w:szCs w:val="20"/>
                <w:color w:val="auto"/>
              </w:rPr>
            </w:pPr>
            <w:r>
              <w:rPr>
                <w:rFonts w:ascii="Arial" w:cs="Arial" w:eastAsia="Arial" w:hAnsi="Arial"/>
                <w:sz w:val="14"/>
                <w:szCs w:val="14"/>
                <w:color w:val="auto"/>
              </w:rPr>
              <w:t>term assets</w:t>
            </w:r>
          </w:p>
        </w:tc>
        <w:tc>
          <w:tcPr>
            <w:tcW w:w="140" w:type="dxa"/>
            <w:vAlign w:val="bottom"/>
            <w:tcBorders>
              <w:bottom w:val="single" w:sz="8" w:color="00539B"/>
            </w:tcBorders>
            <w:shd w:val="clear" w:color="auto" w:fill="E0E3F1"/>
          </w:tcPr>
          <w:p>
            <w:pPr>
              <w:spacing w:after="0"/>
              <w:rPr>
                <w:sz w:val="16"/>
                <w:szCs w:val="16"/>
                <w:color w:val="auto"/>
              </w:rPr>
            </w:pPr>
          </w:p>
        </w:tc>
        <w:tc>
          <w:tcPr>
            <w:tcW w:w="1260" w:type="dxa"/>
            <w:vAlign w:val="bottom"/>
            <w:tcBorders>
              <w:bottom w:val="single" w:sz="8" w:color="00539B"/>
            </w:tcBorders>
            <w:vMerge w:val="continue"/>
            <w:shd w:val="clear" w:color="auto" w:fill="E0E3F1"/>
          </w:tcPr>
          <w:p>
            <w:pPr>
              <w:spacing w:after="0"/>
              <w:rPr>
                <w:sz w:val="16"/>
                <w:szCs w:val="16"/>
                <w:color w:val="auto"/>
              </w:rPr>
            </w:pPr>
          </w:p>
        </w:tc>
        <w:tc>
          <w:tcPr>
            <w:tcW w:w="280" w:type="dxa"/>
            <w:vAlign w:val="bottom"/>
            <w:tcBorders>
              <w:bottom w:val="single" w:sz="8" w:color="00539B"/>
            </w:tcBorders>
            <w:shd w:val="clear" w:color="auto" w:fill="E0E3F1"/>
          </w:tcPr>
          <w:p>
            <w:pPr>
              <w:spacing w:after="0"/>
              <w:rPr>
                <w:sz w:val="16"/>
                <w:szCs w:val="16"/>
                <w:color w:val="auto"/>
              </w:rPr>
            </w:pPr>
          </w:p>
        </w:tc>
        <w:tc>
          <w:tcPr>
            <w:tcW w:w="1180" w:type="dxa"/>
            <w:vAlign w:val="bottom"/>
            <w:tcBorders>
              <w:bottom w:val="single" w:sz="8" w:color="00539B"/>
            </w:tcBorders>
            <w:vMerge w:val="continue"/>
            <w:shd w:val="clear" w:color="auto" w:fill="E0E3F1"/>
          </w:tcPr>
          <w:p>
            <w:pPr>
              <w:spacing w:after="0"/>
              <w:rPr>
                <w:sz w:val="16"/>
                <w:szCs w:val="16"/>
                <w:color w:val="auto"/>
              </w:rPr>
            </w:pPr>
          </w:p>
        </w:tc>
        <w:tc>
          <w:tcPr>
            <w:tcW w:w="1420" w:type="dxa"/>
            <w:vAlign w:val="bottom"/>
            <w:tcBorders>
              <w:bottom w:val="single" w:sz="8" w:color="00539B"/>
            </w:tcBorders>
            <w:shd w:val="clear" w:color="auto" w:fill="E0E3F1"/>
          </w:tcPr>
          <w:p>
            <w:pPr>
              <w:jc w:val="center"/>
              <w:spacing w:after="0"/>
              <w:rPr>
                <w:sz w:val="20"/>
                <w:szCs w:val="20"/>
                <w:color w:val="auto"/>
              </w:rPr>
            </w:pPr>
            <w:r>
              <w:rPr>
                <w:rFonts w:ascii="Arial" w:cs="Arial" w:eastAsia="Arial" w:hAnsi="Arial"/>
                <w:sz w:val="14"/>
                <w:szCs w:val="14"/>
                <w:color w:val="auto"/>
              </w:rPr>
              <w:t>term liabilities</w:t>
            </w:r>
          </w:p>
        </w:tc>
        <w:tc>
          <w:tcPr>
            <w:tcW w:w="120" w:type="dxa"/>
            <w:vAlign w:val="bottom"/>
            <w:tcBorders>
              <w:bottom w:val="single" w:sz="8" w:color="00539B"/>
            </w:tcBorders>
            <w:shd w:val="clear" w:color="auto" w:fill="E0E3F1"/>
          </w:tcPr>
          <w:p>
            <w:pPr>
              <w:spacing w:after="0"/>
              <w:rPr>
                <w:sz w:val="16"/>
                <w:szCs w:val="16"/>
                <w:color w:val="auto"/>
              </w:rPr>
            </w:pPr>
          </w:p>
        </w:tc>
        <w:tc>
          <w:tcPr>
            <w:tcW w:w="1300" w:type="dxa"/>
            <w:vAlign w:val="bottom"/>
            <w:tcBorders>
              <w:bottom w:val="single" w:sz="8" w:color="00539B"/>
            </w:tcBorders>
            <w:vMerge w:val="continue"/>
            <w:shd w:val="clear" w:color="auto" w:fill="E0E3F1"/>
          </w:tcPr>
          <w:p>
            <w:pPr>
              <w:spacing w:after="0"/>
              <w:rPr>
                <w:sz w:val="16"/>
                <w:szCs w:val="16"/>
                <w:color w:val="auto"/>
              </w:rPr>
            </w:pPr>
          </w:p>
        </w:tc>
        <w:tc>
          <w:tcPr>
            <w:tcW w:w="280" w:type="dxa"/>
            <w:vAlign w:val="bottom"/>
            <w:tcBorders>
              <w:bottom w:val="single" w:sz="8" w:color="00539B"/>
            </w:tcBorders>
            <w:shd w:val="clear" w:color="auto" w:fill="E0E3F1"/>
          </w:tcPr>
          <w:p>
            <w:pPr>
              <w:spacing w:after="0"/>
              <w:rPr>
                <w:sz w:val="16"/>
                <w:szCs w:val="16"/>
                <w:color w:val="auto"/>
              </w:rPr>
            </w:pPr>
          </w:p>
        </w:tc>
        <w:tc>
          <w:tcPr>
            <w:tcW w:w="1180" w:type="dxa"/>
            <w:vAlign w:val="bottom"/>
            <w:tcBorders>
              <w:bottom w:val="single" w:sz="8" w:color="00539B"/>
            </w:tcBorders>
            <w:vMerge w:val="continue"/>
            <w:shd w:val="clear" w:color="auto" w:fill="E0E3F1"/>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6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Total</w:t>
            </w:r>
          </w:p>
        </w:tc>
        <w:tc>
          <w:tcPr>
            <w:tcW w:w="1420" w:type="dxa"/>
            <w:vAlign w:val="bottom"/>
            <w:tcBorders>
              <w:bottom w:val="single" w:sz="8" w:color="00539B"/>
            </w:tcBorders>
            <w:shd w:val="clear" w:color="auto" w:fill="E0E3F1"/>
          </w:tcPr>
          <w:p>
            <w:pPr>
              <w:spacing w:after="0"/>
              <w:rPr>
                <w:sz w:val="17"/>
                <w:szCs w:val="17"/>
                <w:color w:val="auto"/>
              </w:rPr>
            </w:pPr>
          </w:p>
        </w:tc>
        <w:tc>
          <w:tcPr>
            <w:tcW w:w="140" w:type="dxa"/>
            <w:vAlign w:val="bottom"/>
            <w:tcBorders>
              <w:bottom w:val="single" w:sz="8" w:color="00539B"/>
            </w:tcBorders>
            <w:shd w:val="clear" w:color="auto" w:fill="E0E3F1"/>
          </w:tcPr>
          <w:p>
            <w:pPr>
              <w:spacing w:after="0"/>
              <w:rPr>
                <w:sz w:val="17"/>
                <w:szCs w:val="17"/>
                <w:color w:val="auto"/>
              </w:rPr>
            </w:pPr>
          </w:p>
        </w:tc>
        <w:tc>
          <w:tcPr>
            <w:tcW w:w="1260" w:type="dxa"/>
            <w:vAlign w:val="bottom"/>
            <w:tcBorders>
              <w:bottom w:val="single" w:sz="8" w:color="00539B"/>
            </w:tcBorders>
            <w:shd w:val="clear" w:color="auto" w:fill="E0E3F1"/>
          </w:tcPr>
          <w:p>
            <w:pPr>
              <w:spacing w:after="0"/>
              <w:rPr>
                <w:sz w:val="17"/>
                <w:szCs w:val="17"/>
                <w:color w:val="auto"/>
              </w:rPr>
            </w:pPr>
          </w:p>
        </w:tc>
        <w:tc>
          <w:tcPr>
            <w:tcW w:w="280" w:type="dxa"/>
            <w:vAlign w:val="bottom"/>
            <w:tcBorders>
              <w:bottom w:val="single" w:sz="8" w:color="00539B"/>
            </w:tcBorders>
            <w:shd w:val="clear" w:color="auto" w:fill="E0E3F1"/>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15.0</w:t>
            </w:r>
          </w:p>
        </w:tc>
        <w:tc>
          <w:tcPr>
            <w:tcW w:w="1420" w:type="dxa"/>
            <w:vAlign w:val="bottom"/>
            <w:tcBorders>
              <w:bottom w:val="single" w:sz="8" w:color="00539B"/>
            </w:tcBorders>
            <w:shd w:val="clear" w:color="auto" w:fill="E0E3F1"/>
          </w:tcPr>
          <w:p>
            <w:pPr>
              <w:spacing w:after="0"/>
              <w:rPr>
                <w:sz w:val="17"/>
                <w:szCs w:val="17"/>
                <w:color w:val="auto"/>
              </w:rPr>
            </w:pPr>
          </w:p>
        </w:tc>
        <w:tc>
          <w:tcPr>
            <w:tcW w:w="120" w:type="dxa"/>
            <w:vAlign w:val="bottom"/>
            <w:tcBorders>
              <w:bottom w:val="single" w:sz="8" w:color="00539B"/>
            </w:tcBorders>
            <w:shd w:val="clear" w:color="auto" w:fill="E0E3F1"/>
          </w:tcPr>
          <w:p>
            <w:pPr>
              <w:spacing w:after="0"/>
              <w:rPr>
                <w:sz w:val="17"/>
                <w:szCs w:val="17"/>
                <w:color w:val="auto"/>
              </w:rPr>
            </w:pPr>
          </w:p>
        </w:tc>
        <w:tc>
          <w:tcPr>
            <w:tcW w:w="1300" w:type="dxa"/>
            <w:vAlign w:val="bottom"/>
            <w:tcBorders>
              <w:bottom w:val="single" w:sz="8" w:color="00539B"/>
            </w:tcBorders>
            <w:shd w:val="clear" w:color="auto" w:fill="E0E3F1"/>
          </w:tcPr>
          <w:p>
            <w:pPr>
              <w:spacing w:after="0"/>
              <w:rPr>
                <w:sz w:val="17"/>
                <w:szCs w:val="17"/>
                <w:color w:val="auto"/>
              </w:rPr>
            </w:pPr>
          </w:p>
        </w:tc>
        <w:tc>
          <w:tcPr>
            <w:tcW w:w="280" w:type="dxa"/>
            <w:vAlign w:val="bottom"/>
            <w:tcBorders>
              <w:bottom w:val="single" w:sz="8" w:color="00539B"/>
            </w:tcBorders>
            <w:shd w:val="clear" w:color="auto" w:fill="E0E3F1"/>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39.6</w:t>
            </w:r>
          </w:p>
        </w:tc>
        <w:tc>
          <w:tcPr>
            <w:tcW w:w="0" w:type="dxa"/>
            <w:vAlign w:val="bottom"/>
          </w:tcPr>
          <w:p>
            <w:pPr>
              <w:spacing w:after="0"/>
              <w:rPr>
                <w:sz w:val="1"/>
                <w:szCs w:val="1"/>
                <w:color w:val="auto"/>
              </w:rPr>
            </w:pPr>
          </w:p>
        </w:tc>
      </w:tr>
      <w:tr>
        <w:trPr>
          <w:trHeight w:val="153"/>
        </w:trPr>
        <w:tc>
          <w:tcPr>
            <w:tcW w:w="2660" w:type="dxa"/>
            <w:vAlign w:val="bottom"/>
          </w:tcPr>
          <w:p>
            <w:pPr>
              <w:ind w:left="20"/>
              <w:spacing w:after="0" w:line="153" w:lineRule="exact"/>
              <w:rPr>
                <w:sz w:val="20"/>
                <w:szCs w:val="20"/>
                <w:color w:val="auto"/>
              </w:rPr>
            </w:pPr>
            <w:r>
              <w:rPr>
                <w:rFonts w:ascii="Arial" w:cs="Arial" w:eastAsia="Arial" w:hAnsi="Arial"/>
                <w:sz w:val="14"/>
                <w:szCs w:val="14"/>
                <w:color w:val="auto"/>
              </w:rPr>
              <w:t>As of</w:t>
            </w:r>
          </w:p>
        </w:tc>
        <w:tc>
          <w:tcPr>
            <w:tcW w:w="1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660" w:type="dxa"/>
            <w:vAlign w:val="bottom"/>
          </w:tcPr>
          <w:p>
            <w:pPr>
              <w:ind w:left="20"/>
              <w:spacing w:after="0"/>
              <w:rPr>
                <w:sz w:val="20"/>
                <w:szCs w:val="20"/>
                <w:color w:val="auto"/>
              </w:rPr>
            </w:pPr>
            <w:r>
              <w:rPr>
                <w:rFonts w:ascii="Arial" w:cs="Arial" w:eastAsia="Arial" w:hAnsi="Arial"/>
                <w:sz w:val="14"/>
                <w:szCs w:val="14"/>
                <w:color w:val="auto"/>
              </w:rPr>
              <w:t>November 30, 2024:</w:t>
            </w:r>
          </w:p>
        </w:tc>
        <w:tc>
          <w:tcPr>
            <w:tcW w:w="1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66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(millions)</w:t>
            </w:r>
          </w:p>
        </w:tc>
        <w:tc>
          <w:tcPr>
            <w:tcW w:w="1420" w:type="dxa"/>
            <w:vAlign w:val="bottom"/>
            <w:tcBorders>
              <w:bottom w:val="single" w:sz="8" w:color="00539B"/>
            </w:tcBorders>
          </w:tcPr>
          <w:p>
            <w:pPr>
              <w:spacing w:after="0"/>
              <w:rPr>
                <w:sz w:val="17"/>
                <w:szCs w:val="17"/>
                <w:color w:val="auto"/>
              </w:rPr>
            </w:pPr>
          </w:p>
        </w:tc>
        <w:tc>
          <w:tcPr>
            <w:tcW w:w="140" w:type="dxa"/>
            <w:vAlign w:val="bottom"/>
            <w:tcBorders>
              <w:bottom w:val="single" w:sz="8" w:color="00539B"/>
            </w:tcBorders>
          </w:tcPr>
          <w:p>
            <w:pPr>
              <w:spacing w:after="0"/>
              <w:rPr>
                <w:sz w:val="17"/>
                <w:szCs w:val="17"/>
                <w:color w:val="auto"/>
              </w:rPr>
            </w:pPr>
          </w:p>
        </w:tc>
        <w:tc>
          <w:tcPr>
            <w:tcW w:w="1260" w:type="dxa"/>
            <w:vAlign w:val="bottom"/>
            <w:tcBorders>
              <w:bottom w:val="single" w:sz="8" w:color="00539B"/>
            </w:tcBorders>
          </w:tcPr>
          <w:p>
            <w:pPr>
              <w:jc w:val="center"/>
              <w:ind w:right="28"/>
              <w:spacing w:after="0"/>
              <w:rPr>
                <w:sz w:val="20"/>
                <w:szCs w:val="20"/>
                <w:color w:val="auto"/>
              </w:rPr>
            </w:pPr>
            <w:r>
              <w:rPr>
                <w:rFonts w:ascii="Arial" w:cs="Arial" w:eastAsia="Arial" w:hAnsi="Arial"/>
                <w:sz w:val="14"/>
                <w:szCs w:val="14"/>
                <w:color w:val="auto"/>
              </w:rPr>
              <w:t>Asset Derivatives</w:t>
            </w:r>
          </w:p>
        </w:tc>
        <w:tc>
          <w:tcPr>
            <w:tcW w:w="280" w:type="dxa"/>
            <w:vAlign w:val="bottom"/>
            <w:tcBorders>
              <w:bottom w:val="single" w:sz="8" w:color="00539B"/>
            </w:tcBorders>
          </w:tcPr>
          <w:p>
            <w:pPr>
              <w:spacing w:after="0"/>
              <w:rPr>
                <w:sz w:val="17"/>
                <w:szCs w:val="17"/>
                <w:color w:val="auto"/>
              </w:rPr>
            </w:pPr>
          </w:p>
        </w:tc>
        <w:tc>
          <w:tcPr>
            <w:tcW w:w="1180" w:type="dxa"/>
            <w:vAlign w:val="bottom"/>
            <w:tcBorders>
              <w:bottom w:val="single" w:sz="8" w:color="00539B"/>
            </w:tcBorders>
          </w:tcPr>
          <w:p>
            <w:pPr>
              <w:spacing w:after="0"/>
              <w:rPr>
                <w:sz w:val="17"/>
                <w:szCs w:val="17"/>
                <w:color w:val="auto"/>
              </w:rPr>
            </w:pPr>
          </w:p>
        </w:tc>
        <w:tc>
          <w:tcPr>
            <w:tcW w:w="1420" w:type="dxa"/>
            <w:vAlign w:val="bottom"/>
            <w:tcBorders>
              <w:bottom w:val="single" w:sz="8" w:color="00539B"/>
            </w:tcBorders>
          </w:tcPr>
          <w:p>
            <w:pPr>
              <w:spacing w:after="0"/>
              <w:rPr>
                <w:sz w:val="17"/>
                <w:szCs w:val="17"/>
                <w:color w:val="auto"/>
              </w:rPr>
            </w:pPr>
          </w:p>
        </w:tc>
        <w:tc>
          <w:tcPr>
            <w:tcW w:w="120" w:type="dxa"/>
            <w:vAlign w:val="bottom"/>
            <w:tcBorders>
              <w:bottom w:val="single" w:sz="8" w:color="00539B"/>
            </w:tcBorders>
          </w:tcPr>
          <w:p>
            <w:pPr>
              <w:spacing w:after="0"/>
              <w:rPr>
                <w:sz w:val="17"/>
                <w:szCs w:val="17"/>
                <w:color w:val="auto"/>
              </w:rPr>
            </w:pPr>
          </w:p>
        </w:tc>
        <w:tc>
          <w:tcPr>
            <w:tcW w:w="1300" w:type="dxa"/>
            <w:vAlign w:val="bottom"/>
            <w:tcBorders>
              <w:bottom w:val="single" w:sz="8" w:color="00539B"/>
            </w:tcBorders>
          </w:tcPr>
          <w:p>
            <w:pPr>
              <w:jc w:val="center"/>
              <w:ind w:right="8"/>
              <w:spacing w:after="0"/>
              <w:rPr>
                <w:sz w:val="20"/>
                <w:szCs w:val="20"/>
                <w:color w:val="auto"/>
              </w:rPr>
            </w:pPr>
            <w:r>
              <w:rPr>
                <w:rFonts w:ascii="Arial" w:cs="Arial" w:eastAsia="Arial" w:hAnsi="Arial"/>
                <w:sz w:val="14"/>
                <w:szCs w:val="14"/>
                <w:color w:val="auto"/>
              </w:rPr>
              <w:t>Liability Derivatives</w:t>
            </w:r>
          </w:p>
        </w:tc>
        <w:tc>
          <w:tcPr>
            <w:tcW w:w="280" w:type="dxa"/>
            <w:vAlign w:val="bottom"/>
            <w:tcBorders>
              <w:bottom w:val="single" w:sz="8" w:color="00539B"/>
            </w:tcBorders>
          </w:tcPr>
          <w:p>
            <w:pPr>
              <w:spacing w:after="0"/>
              <w:rPr>
                <w:sz w:val="17"/>
                <w:szCs w:val="17"/>
                <w:color w:val="auto"/>
              </w:rPr>
            </w:pPr>
          </w:p>
        </w:tc>
        <w:tc>
          <w:tcPr>
            <w:tcW w:w="1180" w:type="dxa"/>
            <w:vAlign w:val="bottom"/>
            <w:tcBorders>
              <w:bottom w:val="single" w:sz="8" w:color="00539B"/>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660" w:type="dxa"/>
            <w:vAlign w:val="bottom"/>
            <w:vMerge w:val="restart"/>
          </w:tcPr>
          <w:p>
            <w:pPr>
              <w:ind w:left="20"/>
              <w:spacing w:after="0"/>
              <w:rPr>
                <w:sz w:val="20"/>
                <w:szCs w:val="20"/>
                <w:color w:val="auto"/>
              </w:rPr>
            </w:pPr>
            <w:r>
              <w:rPr>
                <w:rFonts w:ascii="Arial" w:cs="Arial" w:eastAsia="Arial" w:hAnsi="Arial"/>
                <w:sz w:val="14"/>
                <w:szCs w:val="14"/>
                <w:color w:val="auto"/>
              </w:rPr>
              <w:t>Derivatives</w:t>
            </w:r>
          </w:p>
        </w:tc>
        <w:tc>
          <w:tcPr>
            <w:tcW w:w="1420" w:type="dxa"/>
            <w:vAlign w:val="bottom"/>
          </w:tcPr>
          <w:p>
            <w:pPr>
              <w:jc w:val="center"/>
              <w:spacing w:after="0" w:line="153" w:lineRule="exact"/>
              <w:rPr>
                <w:sz w:val="20"/>
                <w:szCs w:val="20"/>
                <w:color w:val="auto"/>
              </w:rPr>
            </w:pPr>
            <w:r>
              <w:rPr>
                <w:rFonts w:ascii="Arial" w:cs="Arial" w:eastAsia="Arial" w:hAnsi="Arial"/>
                <w:sz w:val="14"/>
                <w:szCs w:val="14"/>
                <w:color w:val="auto"/>
              </w:rPr>
              <w:t>Balance sheet</w:t>
            </w:r>
          </w:p>
        </w:tc>
        <w:tc>
          <w:tcPr>
            <w:tcW w:w="140" w:type="dxa"/>
            <w:vAlign w:val="bottom"/>
          </w:tcPr>
          <w:p>
            <w:pPr>
              <w:spacing w:after="0"/>
              <w:rPr>
                <w:sz w:val="13"/>
                <w:szCs w:val="13"/>
                <w:color w:val="auto"/>
              </w:rPr>
            </w:pPr>
          </w:p>
        </w:tc>
        <w:tc>
          <w:tcPr>
            <w:tcW w:w="1260" w:type="dxa"/>
            <w:vAlign w:val="bottom"/>
            <w:vMerge w:val="restart"/>
          </w:tcPr>
          <w:p>
            <w:pPr>
              <w:jc w:val="center"/>
              <w:ind w:right="28"/>
              <w:spacing w:after="0"/>
              <w:rPr>
                <w:sz w:val="20"/>
                <w:szCs w:val="20"/>
                <w:color w:val="auto"/>
              </w:rPr>
            </w:pPr>
            <w:r>
              <w:rPr>
                <w:rFonts w:ascii="Arial" w:cs="Arial" w:eastAsia="Arial" w:hAnsi="Arial"/>
                <w:sz w:val="14"/>
                <w:szCs w:val="14"/>
                <w:color w:val="auto"/>
              </w:rPr>
              <w:t>Notional amount</w:t>
            </w:r>
          </w:p>
        </w:tc>
        <w:tc>
          <w:tcPr>
            <w:tcW w:w="280" w:type="dxa"/>
            <w:vAlign w:val="bottom"/>
          </w:tcPr>
          <w:p>
            <w:pPr>
              <w:spacing w:after="0"/>
              <w:rPr>
                <w:sz w:val="13"/>
                <w:szCs w:val="13"/>
                <w:color w:val="auto"/>
              </w:rPr>
            </w:pPr>
          </w:p>
        </w:tc>
        <w:tc>
          <w:tcPr>
            <w:tcW w:w="1180" w:type="dxa"/>
            <w:vAlign w:val="bottom"/>
            <w:vMerge w:val="restart"/>
          </w:tcPr>
          <w:p>
            <w:pPr>
              <w:jc w:val="right"/>
              <w:ind w:right="328"/>
              <w:spacing w:after="0"/>
              <w:rPr>
                <w:sz w:val="20"/>
                <w:szCs w:val="20"/>
                <w:color w:val="auto"/>
              </w:rPr>
            </w:pPr>
            <w:r>
              <w:rPr>
                <w:rFonts w:ascii="Arial" w:cs="Arial" w:eastAsia="Arial" w:hAnsi="Arial"/>
                <w:sz w:val="14"/>
                <w:szCs w:val="14"/>
                <w:color w:val="auto"/>
              </w:rPr>
              <w:t>Fair value</w:t>
            </w:r>
          </w:p>
        </w:tc>
        <w:tc>
          <w:tcPr>
            <w:tcW w:w="1420" w:type="dxa"/>
            <w:vAlign w:val="bottom"/>
          </w:tcPr>
          <w:p>
            <w:pPr>
              <w:jc w:val="center"/>
              <w:spacing w:after="0" w:line="153" w:lineRule="exact"/>
              <w:rPr>
                <w:sz w:val="20"/>
                <w:szCs w:val="20"/>
                <w:color w:val="auto"/>
              </w:rPr>
            </w:pPr>
            <w:r>
              <w:rPr>
                <w:rFonts w:ascii="Arial" w:cs="Arial" w:eastAsia="Arial" w:hAnsi="Arial"/>
                <w:sz w:val="14"/>
                <w:szCs w:val="14"/>
                <w:color w:val="auto"/>
              </w:rPr>
              <w:t>Balance sheet</w:t>
            </w:r>
          </w:p>
        </w:tc>
        <w:tc>
          <w:tcPr>
            <w:tcW w:w="120" w:type="dxa"/>
            <w:vAlign w:val="bottom"/>
          </w:tcPr>
          <w:p>
            <w:pPr>
              <w:spacing w:after="0"/>
              <w:rPr>
                <w:sz w:val="13"/>
                <w:szCs w:val="13"/>
                <w:color w:val="auto"/>
              </w:rPr>
            </w:pPr>
          </w:p>
        </w:tc>
        <w:tc>
          <w:tcPr>
            <w:tcW w:w="1300" w:type="dxa"/>
            <w:vAlign w:val="bottom"/>
            <w:vMerge w:val="restart"/>
          </w:tcPr>
          <w:p>
            <w:pPr>
              <w:jc w:val="center"/>
              <w:ind w:right="8"/>
              <w:spacing w:after="0"/>
              <w:rPr>
                <w:sz w:val="20"/>
                <w:szCs w:val="20"/>
                <w:color w:val="auto"/>
              </w:rPr>
            </w:pPr>
            <w:r>
              <w:rPr>
                <w:rFonts w:ascii="Arial" w:cs="Arial" w:eastAsia="Arial" w:hAnsi="Arial"/>
                <w:sz w:val="14"/>
                <w:szCs w:val="14"/>
                <w:color w:val="auto"/>
              </w:rPr>
              <w:t>Notional amount</w:t>
            </w:r>
          </w:p>
        </w:tc>
        <w:tc>
          <w:tcPr>
            <w:tcW w:w="280" w:type="dxa"/>
            <w:vAlign w:val="bottom"/>
          </w:tcPr>
          <w:p>
            <w:pPr>
              <w:spacing w:after="0"/>
              <w:rPr>
                <w:sz w:val="13"/>
                <w:szCs w:val="13"/>
                <w:color w:val="auto"/>
              </w:rPr>
            </w:pPr>
          </w:p>
        </w:tc>
        <w:tc>
          <w:tcPr>
            <w:tcW w:w="1180" w:type="dxa"/>
            <w:vAlign w:val="bottom"/>
            <w:vMerge w:val="restart"/>
          </w:tcPr>
          <w:p>
            <w:pPr>
              <w:jc w:val="right"/>
              <w:ind w:right="328"/>
              <w:spacing w:after="0"/>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185"/>
        </w:trPr>
        <w:tc>
          <w:tcPr>
            <w:tcW w:w="2660" w:type="dxa"/>
            <w:vAlign w:val="bottom"/>
            <w:tcBorders>
              <w:bottom w:val="single" w:sz="8" w:color="00539B"/>
            </w:tcBorders>
            <w:vMerge w:val="continue"/>
          </w:tcPr>
          <w:p>
            <w:pPr>
              <w:spacing w:after="0"/>
              <w:rPr>
                <w:sz w:val="16"/>
                <w:szCs w:val="16"/>
                <w:color w:val="auto"/>
              </w:rPr>
            </w:pPr>
          </w:p>
        </w:tc>
        <w:tc>
          <w:tcPr>
            <w:tcW w:w="1420" w:type="dxa"/>
            <w:vAlign w:val="bottom"/>
            <w:tcBorders>
              <w:bottom w:val="single" w:sz="8" w:color="00539B"/>
            </w:tcBorders>
          </w:tcPr>
          <w:p>
            <w:pPr>
              <w:jc w:val="center"/>
              <w:spacing w:after="0"/>
              <w:rPr>
                <w:sz w:val="20"/>
                <w:szCs w:val="20"/>
                <w:color w:val="auto"/>
              </w:rPr>
            </w:pPr>
            <w:r>
              <w:rPr>
                <w:rFonts w:ascii="Arial" w:cs="Arial" w:eastAsia="Arial" w:hAnsi="Arial"/>
                <w:sz w:val="14"/>
                <w:szCs w:val="14"/>
                <w:color w:val="auto"/>
              </w:rPr>
              <w:t>location</w:t>
            </w:r>
          </w:p>
        </w:tc>
        <w:tc>
          <w:tcPr>
            <w:tcW w:w="140" w:type="dxa"/>
            <w:vAlign w:val="bottom"/>
            <w:tcBorders>
              <w:bottom w:val="single" w:sz="8" w:color="00539B"/>
            </w:tcBorders>
          </w:tcPr>
          <w:p>
            <w:pPr>
              <w:spacing w:after="0"/>
              <w:rPr>
                <w:sz w:val="16"/>
                <w:szCs w:val="16"/>
                <w:color w:val="auto"/>
              </w:rPr>
            </w:pPr>
          </w:p>
        </w:tc>
        <w:tc>
          <w:tcPr>
            <w:tcW w:w="1260" w:type="dxa"/>
            <w:vAlign w:val="bottom"/>
            <w:tcBorders>
              <w:bottom w:val="single" w:sz="8" w:color="00539B"/>
            </w:tcBorders>
            <w:vMerge w:val="continue"/>
          </w:tcPr>
          <w:p>
            <w:pPr>
              <w:spacing w:after="0"/>
              <w:rPr>
                <w:sz w:val="16"/>
                <w:szCs w:val="16"/>
                <w:color w:val="auto"/>
              </w:rPr>
            </w:pPr>
          </w:p>
        </w:tc>
        <w:tc>
          <w:tcPr>
            <w:tcW w:w="280" w:type="dxa"/>
            <w:vAlign w:val="bottom"/>
            <w:tcBorders>
              <w:bottom w:val="single" w:sz="8" w:color="00539B"/>
            </w:tcBorders>
          </w:tcPr>
          <w:p>
            <w:pPr>
              <w:spacing w:after="0"/>
              <w:rPr>
                <w:sz w:val="16"/>
                <w:szCs w:val="16"/>
                <w:color w:val="auto"/>
              </w:rPr>
            </w:pPr>
          </w:p>
        </w:tc>
        <w:tc>
          <w:tcPr>
            <w:tcW w:w="1180" w:type="dxa"/>
            <w:vAlign w:val="bottom"/>
            <w:tcBorders>
              <w:bottom w:val="single" w:sz="8" w:color="00539B"/>
            </w:tcBorders>
            <w:vMerge w:val="continue"/>
          </w:tcPr>
          <w:p>
            <w:pPr>
              <w:spacing w:after="0"/>
              <w:rPr>
                <w:sz w:val="16"/>
                <w:szCs w:val="16"/>
                <w:color w:val="auto"/>
              </w:rPr>
            </w:pPr>
          </w:p>
        </w:tc>
        <w:tc>
          <w:tcPr>
            <w:tcW w:w="1420" w:type="dxa"/>
            <w:vAlign w:val="bottom"/>
            <w:tcBorders>
              <w:bottom w:val="single" w:sz="8" w:color="00539B"/>
            </w:tcBorders>
          </w:tcPr>
          <w:p>
            <w:pPr>
              <w:jc w:val="center"/>
              <w:spacing w:after="0"/>
              <w:rPr>
                <w:sz w:val="20"/>
                <w:szCs w:val="20"/>
                <w:color w:val="auto"/>
              </w:rPr>
            </w:pPr>
            <w:r>
              <w:rPr>
                <w:rFonts w:ascii="Arial" w:cs="Arial" w:eastAsia="Arial" w:hAnsi="Arial"/>
                <w:sz w:val="14"/>
                <w:szCs w:val="14"/>
                <w:color w:val="auto"/>
              </w:rPr>
              <w:t>location</w:t>
            </w:r>
          </w:p>
        </w:tc>
        <w:tc>
          <w:tcPr>
            <w:tcW w:w="120" w:type="dxa"/>
            <w:vAlign w:val="bottom"/>
            <w:tcBorders>
              <w:bottom w:val="single" w:sz="8" w:color="00539B"/>
            </w:tcBorders>
          </w:tcPr>
          <w:p>
            <w:pPr>
              <w:spacing w:after="0"/>
              <w:rPr>
                <w:sz w:val="16"/>
                <w:szCs w:val="16"/>
                <w:color w:val="auto"/>
              </w:rPr>
            </w:pPr>
          </w:p>
        </w:tc>
        <w:tc>
          <w:tcPr>
            <w:tcW w:w="1300" w:type="dxa"/>
            <w:vAlign w:val="bottom"/>
            <w:tcBorders>
              <w:bottom w:val="single" w:sz="8" w:color="00539B"/>
            </w:tcBorders>
            <w:vMerge w:val="continue"/>
          </w:tcPr>
          <w:p>
            <w:pPr>
              <w:spacing w:after="0"/>
              <w:rPr>
                <w:sz w:val="16"/>
                <w:szCs w:val="16"/>
                <w:color w:val="auto"/>
              </w:rPr>
            </w:pPr>
          </w:p>
        </w:tc>
        <w:tc>
          <w:tcPr>
            <w:tcW w:w="280" w:type="dxa"/>
            <w:vAlign w:val="bottom"/>
            <w:tcBorders>
              <w:bottom w:val="single" w:sz="8" w:color="00539B"/>
            </w:tcBorders>
          </w:tcPr>
          <w:p>
            <w:pPr>
              <w:spacing w:after="0"/>
              <w:rPr>
                <w:sz w:val="16"/>
                <w:szCs w:val="16"/>
                <w:color w:val="auto"/>
              </w:rPr>
            </w:pPr>
          </w:p>
        </w:tc>
        <w:tc>
          <w:tcPr>
            <w:tcW w:w="1180" w:type="dxa"/>
            <w:vAlign w:val="bottom"/>
            <w:tcBorders>
              <w:bottom w:val="single" w:sz="8" w:color="00539B"/>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660" w:type="dxa"/>
            <w:vAlign w:val="bottom"/>
          </w:tcPr>
          <w:p>
            <w:pPr>
              <w:spacing w:after="0"/>
              <w:rPr>
                <w:sz w:val="12"/>
                <w:szCs w:val="12"/>
                <w:color w:val="auto"/>
              </w:rPr>
            </w:pPr>
          </w:p>
        </w:tc>
        <w:tc>
          <w:tcPr>
            <w:tcW w:w="1420" w:type="dxa"/>
            <w:vAlign w:val="bottom"/>
          </w:tcPr>
          <w:p>
            <w:pPr>
              <w:ind w:left="260"/>
              <w:spacing w:after="0" w:line="147" w:lineRule="exact"/>
              <w:rPr>
                <w:sz w:val="20"/>
                <w:szCs w:val="20"/>
                <w:color w:val="auto"/>
              </w:rPr>
            </w:pPr>
            <w:r>
              <w:rPr>
                <w:rFonts w:ascii="Arial" w:cs="Arial" w:eastAsia="Arial" w:hAnsi="Arial"/>
                <w:sz w:val="14"/>
                <w:szCs w:val="14"/>
                <w:color w:val="auto"/>
              </w:rPr>
              <w:t>Other current</w:t>
            </w: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20" w:type="dxa"/>
            <w:vAlign w:val="bottom"/>
          </w:tcPr>
          <w:p>
            <w:pPr>
              <w:jc w:val="center"/>
              <w:spacing w:after="0" w:line="147" w:lineRule="exact"/>
              <w:rPr>
                <w:sz w:val="20"/>
                <w:szCs w:val="20"/>
                <w:color w:val="auto"/>
              </w:rPr>
            </w:pPr>
            <w:r>
              <w:rPr>
                <w:rFonts w:ascii="Arial" w:cs="Arial" w:eastAsia="Arial" w:hAnsi="Arial"/>
                <w:sz w:val="14"/>
                <w:szCs w:val="14"/>
                <w:color w:val="auto"/>
              </w:rPr>
              <w:t>Other accrued</w:t>
            </w: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60" w:type="dxa"/>
            <w:vAlign w:val="bottom"/>
            <w:vMerge w:val="restart"/>
          </w:tcPr>
          <w:p>
            <w:pPr>
              <w:ind w:left="20"/>
              <w:spacing w:after="0"/>
              <w:rPr>
                <w:sz w:val="20"/>
                <w:szCs w:val="20"/>
                <w:color w:val="auto"/>
              </w:rPr>
            </w:pPr>
            <w:r>
              <w:rPr>
                <w:rFonts w:ascii="Arial" w:cs="Arial" w:eastAsia="Arial" w:hAnsi="Arial"/>
                <w:sz w:val="14"/>
                <w:szCs w:val="14"/>
                <w:color w:val="auto"/>
              </w:rPr>
              <w:t>Interest rate contracts</w:t>
            </w:r>
          </w:p>
        </w:tc>
        <w:tc>
          <w:tcPr>
            <w:tcW w:w="1420" w:type="dxa"/>
            <w:vAlign w:val="bottom"/>
          </w:tcPr>
          <w:p>
            <w:pPr>
              <w:jc w:val="center"/>
              <w:spacing w:after="0" w:line="145" w:lineRule="exact"/>
              <w:rPr>
                <w:sz w:val="20"/>
                <w:szCs w:val="20"/>
                <w:color w:val="auto"/>
              </w:rPr>
            </w:pPr>
            <w:r>
              <w:rPr>
                <w:rFonts w:ascii="Arial" w:cs="Arial" w:eastAsia="Arial" w:hAnsi="Arial"/>
                <w:sz w:val="14"/>
                <w:szCs w:val="14"/>
                <w:color w:val="auto"/>
              </w:rPr>
              <w:t>assets/Other long-</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8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center"/>
              <w:spacing w:after="0" w:line="145" w:lineRule="exact"/>
              <w:rPr>
                <w:sz w:val="20"/>
                <w:szCs w:val="20"/>
                <w:color w:val="auto"/>
              </w:rPr>
            </w:pPr>
            <w:r>
              <w:rPr>
                <w:rFonts w:ascii="Arial" w:cs="Arial" w:eastAsia="Arial" w:hAnsi="Arial"/>
                <w:sz w:val="14"/>
                <w:szCs w:val="14"/>
                <w:color w:val="auto"/>
              </w:rPr>
              <w:t>liabilities/Other long-</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600.0</w:t>
            </w:r>
          </w:p>
        </w:tc>
        <w:tc>
          <w:tcPr>
            <w:tcW w:w="28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37.9</w:t>
            </w:r>
          </w:p>
        </w:tc>
        <w:tc>
          <w:tcPr>
            <w:tcW w:w="0" w:type="dxa"/>
            <w:vAlign w:val="bottom"/>
          </w:tcPr>
          <w:p>
            <w:pPr>
              <w:spacing w:after="0"/>
              <w:rPr>
                <w:sz w:val="1"/>
                <w:szCs w:val="1"/>
                <w:color w:val="auto"/>
              </w:rPr>
            </w:pPr>
          </w:p>
        </w:tc>
      </w:tr>
      <w:tr>
        <w:trPr>
          <w:trHeight w:val="190"/>
        </w:trPr>
        <w:tc>
          <w:tcPr>
            <w:tcW w:w="2660" w:type="dxa"/>
            <w:vAlign w:val="bottom"/>
            <w:vMerge w:val="continue"/>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rPr>
              <w:t>term assets</w:t>
            </w:r>
          </w:p>
        </w:tc>
        <w:tc>
          <w:tcPr>
            <w:tcW w:w="14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rPr>
              <w:t>term liabilities</w:t>
            </w:r>
          </w:p>
        </w:tc>
        <w:tc>
          <w:tcPr>
            <w:tcW w:w="12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660" w:type="dxa"/>
            <w:vAlign w:val="bottom"/>
            <w:vMerge w:val="restart"/>
          </w:tcPr>
          <w:p>
            <w:pPr>
              <w:ind w:left="20"/>
              <w:spacing w:after="0"/>
              <w:rPr>
                <w:sz w:val="20"/>
                <w:szCs w:val="20"/>
                <w:color w:val="auto"/>
              </w:rPr>
            </w:pPr>
            <w:r>
              <w:rPr>
                <w:rFonts w:ascii="Arial" w:cs="Arial" w:eastAsia="Arial" w:hAnsi="Arial"/>
                <w:sz w:val="14"/>
                <w:szCs w:val="14"/>
                <w:color w:val="auto"/>
              </w:rPr>
              <w:t>Foreign exchange contracts</w:t>
            </w:r>
          </w:p>
        </w:tc>
        <w:tc>
          <w:tcPr>
            <w:tcW w:w="1420" w:type="dxa"/>
            <w:vAlign w:val="bottom"/>
            <w:vMerge w:val="restart"/>
          </w:tcPr>
          <w:p>
            <w:pPr>
              <w:jc w:val="center"/>
              <w:spacing w:after="0"/>
              <w:rPr>
                <w:sz w:val="20"/>
                <w:szCs w:val="20"/>
                <w:color w:val="auto"/>
              </w:rPr>
            </w:pPr>
            <w:r>
              <w:rPr>
                <w:rFonts w:ascii="Arial" w:cs="Arial" w:eastAsia="Arial" w:hAnsi="Arial"/>
                <w:sz w:val="14"/>
                <w:szCs w:val="14"/>
                <w:color w:val="auto"/>
              </w:rPr>
              <w:t>Other current assets</w:t>
            </w:r>
          </w:p>
        </w:tc>
        <w:tc>
          <w:tcPr>
            <w:tcW w:w="14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374.4</w:t>
            </w:r>
          </w:p>
        </w:tc>
        <w:tc>
          <w:tcPr>
            <w:tcW w:w="28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5.2</w:t>
            </w:r>
          </w:p>
        </w:tc>
        <w:tc>
          <w:tcPr>
            <w:tcW w:w="1420" w:type="dxa"/>
            <w:vAlign w:val="bottom"/>
          </w:tcPr>
          <w:p>
            <w:pPr>
              <w:jc w:val="center"/>
              <w:spacing w:after="0" w:line="151" w:lineRule="exact"/>
              <w:rPr>
                <w:sz w:val="20"/>
                <w:szCs w:val="20"/>
                <w:color w:val="auto"/>
              </w:rPr>
            </w:pPr>
            <w:r>
              <w:rPr>
                <w:rFonts w:ascii="Arial" w:cs="Arial" w:eastAsia="Arial" w:hAnsi="Arial"/>
                <w:sz w:val="14"/>
                <w:szCs w:val="14"/>
                <w:color w:val="auto"/>
              </w:rPr>
              <w:t>Other accrued</w:t>
            </w:r>
          </w:p>
        </w:tc>
        <w:tc>
          <w:tcPr>
            <w:tcW w:w="12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659.8</w:t>
            </w:r>
          </w:p>
        </w:tc>
        <w:tc>
          <w:tcPr>
            <w:tcW w:w="28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89"/>
        </w:trPr>
        <w:tc>
          <w:tcPr>
            <w:tcW w:w="2660" w:type="dxa"/>
            <w:vAlign w:val="bottom"/>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rPr>
              <w:t>liabilities</w:t>
            </w:r>
          </w:p>
        </w:tc>
        <w:tc>
          <w:tcPr>
            <w:tcW w:w="12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color w:val="auto"/>
              </w:rPr>
              <w:t>Other current</w:t>
            </w: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color w:val="auto"/>
              </w:rPr>
              <w:t>Other accrued</w:t>
            </w: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60" w:type="dxa"/>
            <w:vAlign w:val="bottom"/>
            <w:vMerge w:val="restart"/>
          </w:tcPr>
          <w:p>
            <w:pPr>
              <w:ind w:left="20"/>
              <w:spacing w:after="0"/>
              <w:rPr>
                <w:sz w:val="20"/>
                <w:szCs w:val="20"/>
                <w:color w:val="auto"/>
              </w:rPr>
            </w:pPr>
            <w:r>
              <w:rPr>
                <w:rFonts w:ascii="Arial" w:cs="Arial" w:eastAsia="Arial" w:hAnsi="Arial"/>
                <w:sz w:val="14"/>
                <w:szCs w:val="14"/>
                <w:color w:val="auto"/>
              </w:rPr>
              <w:t>Cross currency contracts</w:t>
            </w:r>
          </w:p>
        </w:tc>
        <w:tc>
          <w:tcPr>
            <w:tcW w:w="1420" w:type="dxa"/>
            <w:vAlign w:val="bottom"/>
          </w:tcPr>
          <w:p>
            <w:pPr>
              <w:jc w:val="center"/>
              <w:spacing w:after="0" w:line="145" w:lineRule="exact"/>
              <w:rPr>
                <w:sz w:val="20"/>
                <w:szCs w:val="20"/>
                <w:color w:val="auto"/>
              </w:rPr>
            </w:pPr>
            <w:r>
              <w:rPr>
                <w:rFonts w:ascii="Arial" w:cs="Arial" w:eastAsia="Arial" w:hAnsi="Arial"/>
                <w:sz w:val="14"/>
                <w:szCs w:val="14"/>
                <w:color w:val="auto"/>
              </w:rPr>
              <w:t>assets/Other long-</w:t>
            </w:r>
          </w:p>
        </w:tc>
        <w:tc>
          <w:tcPr>
            <w:tcW w:w="140" w:type="dxa"/>
            <w:vAlign w:val="bottom"/>
          </w:tcPr>
          <w:p>
            <w:pPr>
              <w:spacing w:after="0"/>
              <w:rPr>
                <w:sz w:val="12"/>
                <w:szCs w:val="12"/>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945.5</w:t>
            </w:r>
          </w:p>
        </w:tc>
        <w:tc>
          <w:tcPr>
            <w:tcW w:w="28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36.8</w:t>
            </w:r>
          </w:p>
        </w:tc>
        <w:tc>
          <w:tcPr>
            <w:tcW w:w="1420" w:type="dxa"/>
            <w:vAlign w:val="bottom"/>
          </w:tcPr>
          <w:p>
            <w:pPr>
              <w:jc w:val="center"/>
              <w:spacing w:after="0" w:line="145" w:lineRule="exact"/>
              <w:rPr>
                <w:sz w:val="20"/>
                <w:szCs w:val="20"/>
                <w:color w:val="auto"/>
              </w:rPr>
            </w:pPr>
            <w:r>
              <w:rPr>
                <w:rFonts w:ascii="Arial" w:cs="Arial" w:eastAsia="Arial" w:hAnsi="Arial"/>
                <w:sz w:val="14"/>
                <w:szCs w:val="14"/>
                <w:color w:val="auto"/>
              </w:rPr>
              <w:t>liabilities/Other long-</w:t>
            </w:r>
          </w:p>
        </w:tc>
        <w:tc>
          <w:tcPr>
            <w:tcW w:w="12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660" w:type="dxa"/>
            <w:vAlign w:val="bottom"/>
            <w:tcBorders>
              <w:bottom w:val="single" w:sz="8" w:color="00539B"/>
            </w:tcBorders>
            <w:vMerge w:val="continue"/>
          </w:tcPr>
          <w:p>
            <w:pPr>
              <w:spacing w:after="0"/>
              <w:rPr>
                <w:sz w:val="16"/>
                <w:szCs w:val="16"/>
                <w:color w:val="auto"/>
              </w:rPr>
            </w:pPr>
          </w:p>
        </w:tc>
        <w:tc>
          <w:tcPr>
            <w:tcW w:w="1420" w:type="dxa"/>
            <w:vAlign w:val="bottom"/>
            <w:tcBorders>
              <w:bottom w:val="single" w:sz="8" w:color="00539B"/>
            </w:tcBorders>
          </w:tcPr>
          <w:p>
            <w:pPr>
              <w:jc w:val="center"/>
              <w:spacing w:after="0"/>
              <w:rPr>
                <w:sz w:val="20"/>
                <w:szCs w:val="20"/>
                <w:color w:val="auto"/>
              </w:rPr>
            </w:pPr>
            <w:r>
              <w:rPr>
                <w:rFonts w:ascii="Arial" w:cs="Arial" w:eastAsia="Arial" w:hAnsi="Arial"/>
                <w:sz w:val="14"/>
                <w:szCs w:val="14"/>
                <w:color w:val="auto"/>
              </w:rPr>
              <w:t>term assets</w:t>
            </w:r>
          </w:p>
        </w:tc>
        <w:tc>
          <w:tcPr>
            <w:tcW w:w="140" w:type="dxa"/>
            <w:vAlign w:val="bottom"/>
            <w:tcBorders>
              <w:bottom w:val="single" w:sz="8" w:color="00539B"/>
            </w:tcBorders>
          </w:tcPr>
          <w:p>
            <w:pPr>
              <w:spacing w:after="0"/>
              <w:rPr>
                <w:sz w:val="16"/>
                <w:szCs w:val="16"/>
                <w:color w:val="auto"/>
              </w:rPr>
            </w:pPr>
          </w:p>
        </w:tc>
        <w:tc>
          <w:tcPr>
            <w:tcW w:w="1260" w:type="dxa"/>
            <w:vAlign w:val="bottom"/>
            <w:tcBorders>
              <w:bottom w:val="single" w:sz="8" w:color="00539B"/>
            </w:tcBorders>
            <w:vMerge w:val="continue"/>
          </w:tcPr>
          <w:p>
            <w:pPr>
              <w:spacing w:after="0"/>
              <w:rPr>
                <w:sz w:val="16"/>
                <w:szCs w:val="16"/>
                <w:color w:val="auto"/>
              </w:rPr>
            </w:pPr>
          </w:p>
        </w:tc>
        <w:tc>
          <w:tcPr>
            <w:tcW w:w="280" w:type="dxa"/>
            <w:vAlign w:val="bottom"/>
            <w:tcBorders>
              <w:bottom w:val="single" w:sz="8" w:color="00539B"/>
            </w:tcBorders>
          </w:tcPr>
          <w:p>
            <w:pPr>
              <w:spacing w:after="0"/>
              <w:rPr>
                <w:sz w:val="16"/>
                <w:szCs w:val="16"/>
                <w:color w:val="auto"/>
              </w:rPr>
            </w:pPr>
          </w:p>
        </w:tc>
        <w:tc>
          <w:tcPr>
            <w:tcW w:w="1180" w:type="dxa"/>
            <w:vAlign w:val="bottom"/>
            <w:tcBorders>
              <w:bottom w:val="single" w:sz="8" w:color="00539B"/>
            </w:tcBorders>
            <w:vMerge w:val="continue"/>
          </w:tcPr>
          <w:p>
            <w:pPr>
              <w:spacing w:after="0"/>
              <w:rPr>
                <w:sz w:val="16"/>
                <w:szCs w:val="16"/>
                <w:color w:val="auto"/>
              </w:rPr>
            </w:pPr>
          </w:p>
        </w:tc>
        <w:tc>
          <w:tcPr>
            <w:tcW w:w="1420" w:type="dxa"/>
            <w:vAlign w:val="bottom"/>
            <w:tcBorders>
              <w:bottom w:val="single" w:sz="8" w:color="00539B"/>
            </w:tcBorders>
          </w:tcPr>
          <w:p>
            <w:pPr>
              <w:jc w:val="center"/>
              <w:spacing w:after="0"/>
              <w:rPr>
                <w:sz w:val="20"/>
                <w:szCs w:val="20"/>
                <w:color w:val="auto"/>
              </w:rPr>
            </w:pPr>
            <w:r>
              <w:rPr>
                <w:rFonts w:ascii="Arial" w:cs="Arial" w:eastAsia="Arial" w:hAnsi="Arial"/>
                <w:sz w:val="14"/>
                <w:szCs w:val="14"/>
                <w:color w:val="auto"/>
              </w:rPr>
              <w:t>term liabilities</w:t>
            </w:r>
          </w:p>
        </w:tc>
        <w:tc>
          <w:tcPr>
            <w:tcW w:w="120" w:type="dxa"/>
            <w:vAlign w:val="bottom"/>
            <w:tcBorders>
              <w:bottom w:val="single" w:sz="8" w:color="00539B"/>
            </w:tcBorders>
          </w:tcPr>
          <w:p>
            <w:pPr>
              <w:spacing w:after="0"/>
              <w:rPr>
                <w:sz w:val="16"/>
                <w:szCs w:val="16"/>
                <w:color w:val="auto"/>
              </w:rPr>
            </w:pPr>
          </w:p>
        </w:tc>
        <w:tc>
          <w:tcPr>
            <w:tcW w:w="1300" w:type="dxa"/>
            <w:vAlign w:val="bottom"/>
            <w:tcBorders>
              <w:bottom w:val="single" w:sz="8" w:color="00539B"/>
            </w:tcBorders>
            <w:vMerge w:val="continue"/>
          </w:tcPr>
          <w:p>
            <w:pPr>
              <w:spacing w:after="0"/>
              <w:rPr>
                <w:sz w:val="16"/>
                <w:szCs w:val="16"/>
                <w:color w:val="auto"/>
              </w:rPr>
            </w:pPr>
          </w:p>
        </w:tc>
        <w:tc>
          <w:tcPr>
            <w:tcW w:w="280" w:type="dxa"/>
            <w:vAlign w:val="bottom"/>
            <w:tcBorders>
              <w:bottom w:val="single" w:sz="8" w:color="00539B"/>
            </w:tcBorders>
          </w:tcPr>
          <w:p>
            <w:pPr>
              <w:spacing w:after="0"/>
              <w:rPr>
                <w:sz w:val="16"/>
                <w:szCs w:val="16"/>
                <w:color w:val="auto"/>
              </w:rPr>
            </w:pPr>
          </w:p>
        </w:tc>
        <w:tc>
          <w:tcPr>
            <w:tcW w:w="1180" w:type="dxa"/>
            <w:vAlign w:val="bottom"/>
            <w:tcBorders>
              <w:bottom w:val="single" w:sz="8" w:color="00539B"/>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6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Total</w:t>
            </w:r>
          </w:p>
        </w:tc>
        <w:tc>
          <w:tcPr>
            <w:tcW w:w="1420" w:type="dxa"/>
            <w:vAlign w:val="bottom"/>
            <w:tcBorders>
              <w:bottom w:val="single" w:sz="8" w:color="00539B"/>
            </w:tcBorders>
          </w:tcPr>
          <w:p>
            <w:pPr>
              <w:spacing w:after="0"/>
              <w:rPr>
                <w:sz w:val="17"/>
                <w:szCs w:val="17"/>
                <w:color w:val="auto"/>
              </w:rPr>
            </w:pPr>
          </w:p>
        </w:tc>
        <w:tc>
          <w:tcPr>
            <w:tcW w:w="140" w:type="dxa"/>
            <w:vAlign w:val="bottom"/>
            <w:tcBorders>
              <w:bottom w:val="single" w:sz="8" w:color="00539B"/>
            </w:tcBorders>
          </w:tcPr>
          <w:p>
            <w:pPr>
              <w:spacing w:after="0"/>
              <w:rPr>
                <w:sz w:val="17"/>
                <w:szCs w:val="17"/>
                <w:color w:val="auto"/>
              </w:rPr>
            </w:pPr>
          </w:p>
        </w:tc>
        <w:tc>
          <w:tcPr>
            <w:tcW w:w="1260" w:type="dxa"/>
            <w:vAlign w:val="bottom"/>
            <w:tcBorders>
              <w:bottom w:val="single" w:sz="8" w:color="00539B"/>
            </w:tcBorders>
          </w:tcPr>
          <w:p>
            <w:pPr>
              <w:spacing w:after="0"/>
              <w:rPr>
                <w:sz w:val="17"/>
                <w:szCs w:val="17"/>
                <w:color w:val="auto"/>
              </w:rPr>
            </w:pPr>
          </w:p>
        </w:tc>
        <w:tc>
          <w:tcPr>
            <w:tcW w:w="280" w:type="dxa"/>
            <w:vAlign w:val="bottom"/>
            <w:tcBorders>
              <w:bottom w:val="single" w:sz="8" w:color="00539B"/>
            </w:tcBorders>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42.0</w:t>
            </w:r>
          </w:p>
        </w:tc>
        <w:tc>
          <w:tcPr>
            <w:tcW w:w="1420" w:type="dxa"/>
            <w:vAlign w:val="bottom"/>
            <w:tcBorders>
              <w:bottom w:val="single" w:sz="8" w:color="00539B"/>
            </w:tcBorders>
          </w:tcPr>
          <w:p>
            <w:pPr>
              <w:spacing w:after="0"/>
              <w:rPr>
                <w:sz w:val="17"/>
                <w:szCs w:val="17"/>
                <w:color w:val="auto"/>
              </w:rPr>
            </w:pPr>
          </w:p>
        </w:tc>
        <w:tc>
          <w:tcPr>
            <w:tcW w:w="120" w:type="dxa"/>
            <w:vAlign w:val="bottom"/>
            <w:tcBorders>
              <w:bottom w:val="single" w:sz="8" w:color="00539B"/>
            </w:tcBorders>
          </w:tcPr>
          <w:p>
            <w:pPr>
              <w:spacing w:after="0"/>
              <w:rPr>
                <w:sz w:val="17"/>
                <w:szCs w:val="17"/>
                <w:color w:val="auto"/>
              </w:rPr>
            </w:pPr>
          </w:p>
        </w:tc>
        <w:tc>
          <w:tcPr>
            <w:tcW w:w="1300" w:type="dxa"/>
            <w:vAlign w:val="bottom"/>
            <w:tcBorders>
              <w:bottom w:val="single" w:sz="8" w:color="00539B"/>
            </w:tcBorders>
          </w:tcPr>
          <w:p>
            <w:pPr>
              <w:spacing w:after="0"/>
              <w:rPr>
                <w:sz w:val="17"/>
                <w:szCs w:val="17"/>
                <w:color w:val="auto"/>
              </w:rPr>
            </w:pPr>
          </w:p>
        </w:tc>
        <w:tc>
          <w:tcPr>
            <w:tcW w:w="280" w:type="dxa"/>
            <w:vAlign w:val="bottom"/>
            <w:tcBorders>
              <w:bottom w:val="single" w:sz="8" w:color="00539B"/>
            </w:tcBorders>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50.4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73"/>
          </w:cols>
          <w:pgMar w:left="287" w:top="1052" w:right="339" w:bottom="1440" w:gutter="0" w:footer="0" w:header="0"/>
        </w:sectPr>
      </w:pPr>
    </w:p>
    <w:bookmarkStart w:id="64" w:name="page65"/>
    <w:bookmarkEnd w:id="64"/>
    <w:p>
      <w:pPr>
        <w:ind w:right="20"/>
        <w:spacing w:after="0" w:line="287" w:lineRule="auto"/>
        <w:rPr>
          <w:sz w:val="20"/>
          <w:szCs w:val="20"/>
          <w:color w:val="auto"/>
        </w:rPr>
      </w:pPr>
      <w:r>
        <w:rPr>
          <w:rFonts w:ascii="Arial" w:cs="Arial" w:eastAsia="Arial" w:hAnsi="Arial"/>
          <w:sz w:val="18"/>
          <w:szCs w:val="18"/>
          <w:color w:val="auto"/>
        </w:rPr>
        <w:t>The following tables disclose the impact of derivative instruments on our consolidated income statement, other comprehensive income (OCI), and accumulated other comprehensive income (AOCI) for the years ended November 30, 2025, 2024, and 2023:</w:t>
      </w:r>
    </w:p>
    <w:p>
      <w:pPr>
        <w:spacing w:after="0" w:line="149" w:lineRule="exact"/>
        <w:rPr>
          <w:sz w:val="20"/>
          <w:szCs w:val="20"/>
          <w:color w:val="auto"/>
        </w:rPr>
      </w:pPr>
    </w:p>
    <w:p>
      <w:pPr>
        <w:ind w:left="20"/>
        <w:spacing w:after="0"/>
        <w:rPr>
          <w:sz w:val="20"/>
          <w:szCs w:val="20"/>
          <w:color w:val="auto"/>
        </w:rPr>
      </w:pPr>
      <w:r>
        <w:rPr>
          <w:rFonts w:ascii="Arial" w:cs="Arial" w:eastAsia="Arial" w:hAnsi="Arial"/>
          <w:sz w:val="14"/>
          <w:szCs w:val="14"/>
          <w:color w:val="auto"/>
        </w:rPr>
        <w:t>Fair value hedges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0628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3"/>
          </w:tcPr>
          <w:p>
            <w:pPr>
              <w:jc w:val="center"/>
              <w:ind w:right="88"/>
              <w:spacing w:after="0"/>
              <w:rPr>
                <w:sz w:val="20"/>
                <w:szCs w:val="20"/>
                <w:color w:val="auto"/>
              </w:rPr>
            </w:pPr>
            <w:r>
              <w:rPr>
                <w:rFonts w:ascii="Arial" w:cs="Arial" w:eastAsia="Arial" w:hAnsi="Arial"/>
                <w:sz w:val="14"/>
                <w:szCs w:val="14"/>
                <w:color w:val="auto"/>
              </w:rPr>
              <w:t>Income statement</w:t>
            </w:r>
          </w:p>
        </w:tc>
        <w:tc>
          <w:tcPr>
            <w:tcW w:w="260" w:type="dxa"/>
            <w:vAlign w:val="bottom"/>
            <w:tcBorders>
              <w:bottom w:val="single" w:sz="8" w:color="00539B"/>
            </w:tcBorders>
          </w:tcPr>
          <w:p>
            <w:pPr>
              <w:spacing w:after="0"/>
              <w:rPr>
                <w:sz w:val="16"/>
                <w:szCs w:val="16"/>
                <w:color w:val="auto"/>
              </w:rPr>
            </w:pPr>
          </w:p>
        </w:tc>
        <w:tc>
          <w:tcPr>
            <w:tcW w:w="700" w:type="dxa"/>
            <w:vAlign w:val="bottom"/>
            <w:tcBorders>
              <w:bottom w:val="single" w:sz="8" w:color="00539B"/>
            </w:tcBorders>
          </w:tcPr>
          <w:p>
            <w:pPr>
              <w:spacing w:after="0"/>
              <w:rPr>
                <w:sz w:val="16"/>
                <w:szCs w:val="16"/>
                <w:color w:val="auto"/>
              </w:rPr>
            </w:pPr>
          </w:p>
        </w:tc>
        <w:tc>
          <w:tcPr>
            <w:tcW w:w="440" w:type="dxa"/>
            <w:vAlign w:val="bottom"/>
            <w:tcBorders>
              <w:bottom w:val="single" w:sz="8" w:color="00539B"/>
            </w:tcBorders>
          </w:tcPr>
          <w:p>
            <w:pPr>
              <w:spacing w:after="0"/>
              <w:rPr>
                <w:sz w:val="16"/>
                <w:szCs w:val="16"/>
                <w:color w:val="auto"/>
              </w:rPr>
            </w:pPr>
          </w:p>
        </w:tc>
        <w:tc>
          <w:tcPr>
            <w:tcW w:w="20" w:type="dxa"/>
            <w:vAlign w:val="bottom"/>
            <w:tcBorders>
              <w:bottom w:val="single" w:sz="8" w:color="00539B"/>
            </w:tcBorders>
          </w:tcPr>
          <w:p>
            <w:pPr>
              <w:spacing w:after="0"/>
              <w:rPr>
                <w:sz w:val="16"/>
                <w:szCs w:val="16"/>
                <w:color w:val="auto"/>
              </w:rPr>
            </w:pPr>
          </w:p>
        </w:tc>
        <w:tc>
          <w:tcPr>
            <w:tcW w:w="140" w:type="dxa"/>
            <w:vAlign w:val="bottom"/>
            <w:tcBorders>
              <w:bottom w:val="single" w:sz="8" w:color="00539B"/>
            </w:tcBorders>
          </w:tcPr>
          <w:p>
            <w:pPr>
              <w:spacing w:after="0"/>
              <w:rPr>
                <w:sz w:val="16"/>
                <w:szCs w:val="16"/>
                <w:color w:val="auto"/>
              </w:rPr>
            </w:pPr>
          </w:p>
        </w:tc>
        <w:tc>
          <w:tcPr>
            <w:tcW w:w="140" w:type="dxa"/>
            <w:vAlign w:val="bottom"/>
            <w:tcBorders>
              <w:bottom w:val="single" w:sz="8" w:color="00539B"/>
            </w:tcBorders>
          </w:tcPr>
          <w:p>
            <w:pPr>
              <w:spacing w:after="0"/>
              <w:rPr>
                <w:sz w:val="16"/>
                <w:szCs w:val="16"/>
                <w:color w:val="auto"/>
              </w:rPr>
            </w:pPr>
          </w:p>
        </w:tc>
        <w:tc>
          <w:tcPr>
            <w:tcW w:w="740" w:type="dxa"/>
            <w:vAlign w:val="bottom"/>
            <w:tcBorders>
              <w:bottom w:val="single" w:sz="8" w:color="00539B"/>
            </w:tcBorders>
            <w:gridSpan w:val="2"/>
          </w:tcPr>
          <w:p>
            <w:pPr>
              <w:jc w:val="center"/>
              <w:ind w:left="28"/>
              <w:spacing w:after="0"/>
              <w:rPr>
                <w:sz w:val="20"/>
                <w:szCs w:val="20"/>
                <w:color w:val="auto"/>
              </w:rPr>
            </w:pPr>
            <w:r>
              <w:rPr>
                <w:rFonts w:ascii="Arial" w:cs="Arial" w:eastAsia="Arial" w:hAnsi="Arial"/>
                <w:sz w:val="14"/>
                <w:szCs w:val="14"/>
                <w:color w:val="auto"/>
              </w:rPr>
              <w:t>Expense</w:t>
            </w:r>
          </w:p>
        </w:tc>
        <w:tc>
          <w:tcPr>
            <w:tcW w:w="360" w:type="dxa"/>
            <w:vAlign w:val="bottom"/>
            <w:tcBorders>
              <w:bottom w:val="single" w:sz="8" w:color="00539B"/>
            </w:tcBorders>
          </w:tcPr>
          <w:p>
            <w:pPr>
              <w:spacing w:after="0"/>
              <w:rPr>
                <w:sz w:val="16"/>
                <w:szCs w:val="16"/>
                <w:color w:val="auto"/>
              </w:rPr>
            </w:pPr>
          </w:p>
        </w:tc>
        <w:tc>
          <w:tcPr>
            <w:tcW w:w="360" w:type="dxa"/>
            <w:vAlign w:val="bottom"/>
            <w:tcBorders>
              <w:bottom w:val="single" w:sz="8" w:color="00539B"/>
            </w:tcBorders>
          </w:tcPr>
          <w:p>
            <w:pPr>
              <w:spacing w:after="0"/>
              <w:rPr>
                <w:sz w:val="16"/>
                <w:szCs w:val="16"/>
                <w:color w:val="auto"/>
              </w:rPr>
            </w:pPr>
          </w:p>
        </w:tc>
        <w:tc>
          <w:tcPr>
            <w:tcW w:w="180" w:type="dxa"/>
            <w:vAlign w:val="bottom"/>
            <w:tcBorders>
              <w:bottom w:val="single" w:sz="8" w:color="00539B"/>
            </w:tcBorders>
          </w:tcPr>
          <w:p>
            <w:pPr>
              <w:spacing w:after="0"/>
              <w:rPr>
                <w:sz w:val="16"/>
                <w:szCs w:val="16"/>
                <w:color w:val="auto"/>
              </w:rPr>
            </w:pPr>
          </w:p>
        </w:tc>
        <w:tc>
          <w:tcPr>
            <w:tcW w:w="160" w:type="dxa"/>
            <w:vAlign w:val="bottom"/>
            <w:tcBorders>
              <w:bottom w:val="single" w:sz="8" w:color="00539B"/>
            </w:tcBorders>
          </w:tcPr>
          <w:p>
            <w:pPr>
              <w:spacing w:after="0"/>
              <w:rPr>
                <w:sz w:val="16"/>
                <w:szCs w:val="16"/>
                <w:color w:val="auto"/>
              </w:rPr>
            </w:pPr>
          </w:p>
        </w:tc>
        <w:tc>
          <w:tcPr>
            <w:tcW w:w="740" w:type="dxa"/>
            <w:vAlign w:val="bottom"/>
            <w:tcBorders>
              <w:bottom w:val="single" w:sz="8" w:color="00539B"/>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0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Derivative</w:t>
            </w:r>
          </w:p>
        </w:tc>
        <w:tc>
          <w:tcPr>
            <w:tcW w:w="1440" w:type="dxa"/>
            <w:vAlign w:val="bottom"/>
            <w:tcBorders>
              <w:bottom w:val="single" w:sz="8" w:color="00539B"/>
            </w:tcBorders>
          </w:tcPr>
          <w:p>
            <w:pPr>
              <w:spacing w:after="0"/>
              <w:rPr>
                <w:sz w:val="17"/>
                <w:szCs w:val="17"/>
                <w:color w:val="auto"/>
              </w:rPr>
            </w:pPr>
          </w:p>
        </w:tc>
        <w:tc>
          <w:tcPr>
            <w:tcW w:w="200" w:type="dxa"/>
            <w:vAlign w:val="bottom"/>
            <w:tcBorders>
              <w:bottom w:val="single" w:sz="8" w:color="00539B"/>
            </w:tcBorders>
          </w:tcPr>
          <w:p>
            <w:pPr>
              <w:spacing w:after="0"/>
              <w:rPr>
                <w:sz w:val="17"/>
                <w:szCs w:val="17"/>
                <w:color w:val="auto"/>
              </w:rPr>
            </w:pPr>
          </w:p>
        </w:tc>
        <w:tc>
          <w:tcPr>
            <w:tcW w:w="700" w:type="dxa"/>
            <w:vAlign w:val="bottom"/>
            <w:tcBorders>
              <w:bottom w:val="single" w:sz="8" w:color="00539B"/>
            </w:tcBorders>
          </w:tcPr>
          <w:p>
            <w:pPr>
              <w:spacing w:after="0"/>
              <w:rPr>
                <w:sz w:val="17"/>
                <w:szCs w:val="17"/>
                <w:color w:val="auto"/>
              </w:rPr>
            </w:pPr>
          </w:p>
        </w:tc>
        <w:tc>
          <w:tcPr>
            <w:tcW w:w="180" w:type="dxa"/>
            <w:vAlign w:val="bottom"/>
            <w:tcBorders>
              <w:bottom w:val="single" w:sz="8" w:color="00539B"/>
            </w:tcBorders>
          </w:tcPr>
          <w:p>
            <w:pPr>
              <w:spacing w:after="0"/>
              <w:rPr>
                <w:sz w:val="17"/>
                <w:szCs w:val="17"/>
                <w:color w:val="auto"/>
              </w:rPr>
            </w:pPr>
          </w:p>
        </w:tc>
        <w:tc>
          <w:tcPr>
            <w:tcW w:w="700" w:type="dxa"/>
            <w:vAlign w:val="bottom"/>
            <w:tcBorders>
              <w:bottom w:val="single" w:sz="8" w:color="00539B"/>
            </w:tcBorders>
          </w:tcPr>
          <w:p>
            <w:pPr>
              <w:spacing w:after="0"/>
              <w:rPr>
                <w:sz w:val="17"/>
                <w:szCs w:val="17"/>
                <w:color w:val="auto"/>
              </w:rPr>
            </w:pPr>
          </w:p>
        </w:tc>
        <w:tc>
          <w:tcPr>
            <w:tcW w:w="400" w:type="dxa"/>
            <w:vAlign w:val="bottom"/>
            <w:tcBorders>
              <w:bottom w:val="single" w:sz="8" w:color="00539B"/>
            </w:tcBorders>
          </w:tcPr>
          <w:p>
            <w:pPr>
              <w:spacing w:after="0"/>
              <w:rPr>
                <w:sz w:val="17"/>
                <w:szCs w:val="17"/>
                <w:color w:val="auto"/>
              </w:rPr>
            </w:pPr>
          </w:p>
        </w:tc>
        <w:tc>
          <w:tcPr>
            <w:tcW w:w="300" w:type="dxa"/>
            <w:vAlign w:val="bottom"/>
            <w:tcBorders>
              <w:bottom w:val="single" w:sz="8" w:color="00539B"/>
            </w:tcBorders>
          </w:tcPr>
          <w:p>
            <w:pPr>
              <w:spacing w:after="0"/>
              <w:rPr>
                <w:sz w:val="17"/>
                <w:szCs w:val="17"/>
                <w:color w:val="auto"/>
              </w:rPr>
            </w:pPr>
          </w:p>
        </w:tc>
        <w:tc>
          <w:tcPr>
            <w:tcW w:w="160" w:type="dxa"/>
            <w:vAlign w:val="bottom"/>
            <w:tcBorders>
              <w:bottom w:val="single" w:sz="8" w:color="00539B"/>
            </w:tcBorders>
          </w:tcPr>
          <w:p>
            <w:pPr>
              <w:spacing w:after="0"/>
              <w:rPr>
                <w:sz w:val="17"/>
                <w:szCs w:val="17"/>
                <w:color w:val="auto"/>
              </w:rPr>
            </w:pPr>
          </w:p>
        </w:tc>
        <w:tc>
          <w:tcPr>
            <w:tcW w:w="300" w:type="dxa"/>
            <w:vAlign w:val="bottom"/>
            <w:tcBorders>
              <w:bottom w:val="single" w:sz="8" w:color="00539B"/>
            </w:tcBorders>
          </w:tcPr>
          <w:p>
            <w:pPr>
              <w:spacing w:after="0"/>
              <w:rPr>
                <w:sz w:val="17"/>
                <w:szCs w:val="17"/>
                <w:color w:val="auto"/>
              </w:rPr>
            </w:pPr>
          </w:p>
        </w:tc>
        <w:tc>
          <w:tcPr>
            <w:tcW w:w="1080" w:type="dxa"/>
            <w:vAlign w:val="bottom"/>
            <w:tcBorders>
              <w:bottom w:val="single" w:sz="8" w:color="00539B"/>
            </w:tcBorders>
            <w:gridSpan w:val="2"/>
          </w:tcPr>
          <w:p>
            <w:pPr>
              <w:jc w:val="center"/>
              <w:ind w:right="388"/>
              <w:spacing w:after="0"/>
              <w:rPr>
                <w:sz w:val="20"/>
                <w:szCs w:val="20"/>
                <w:color w:val="auto"/>
              </w:rPr>
            </w:pPr>
            <w:r>
              <w:rPr>
                <w:rFonts w:ascii="Arial" w:cs="Arial" w:eastAsia="Arial" w:hAnsi="Arial"/>
                <w:sz w:val="14"/>
                <w:szCs w:val="14"/>
                <w:color w:val="auto"/>
              </w:rPr>
              <w:t>location</w:t>
            </w:r>
          </w:p>
        </w:tc>
        <w:tc>
          <w:tcPr>
            <w:tcW w:w="260" w:type="dxa"/>
            <w:vAlign w:val="bottom"/>
            <w:tcBorders>
              <w:bottom w:val="single" w:sz="8" w:color="00539B"/>
            </w:tcBorders>
            <w:shd w:val="clear" w:color="auto" w:fill="E0E3F1"/>
          </w:tcPr>
          <w:p>
            <w:pPr>
              <w:spacing w:after="0"/>
              <w:rPr>
                <w:sz w:val="17"/>
                <w:szCs w:val="17"/>
                <w:color w:val="auto"/>
              </w:rPr>
            </w:pPr>
          </w:p>
        </w:tc>
        <w:tc>
          <w:tcPr>
            <w:tcW w:w="700" w:type="dxa"/>
            <w:vAlign w:val="bottom"/>
            <w:tcBorders>
              <w:bottom w:val="single" w:sz="8" w:color="00539B"/>
            </w:tcBorders>
            <w:shd w:val="clear" w:color="auto" w:fill="E0E3F1"/>
          </w:tcPr>
          <w:p>
            <w:pPr>
              <w:jc w:val="right"/>
              <w:ind w:right="28"/>
              <w:spacing w:after="0"/>
              <w:rPr>
                <w:sz w:val="20"/>
                <w:szCs w:val="20"/>
                <w:color w:val="auto"/>
              </w:rPr>
            </w:pPr>
            <w:r>
              <w:rPr>
                <w:rFonts w:ascii="Arial" w:cs="Arial" w:eastAsia="Arial" w:hAnsi="Arial"/>
                <w:sz w:val="14"/>
                <w:szCs w:val="14"/>
                <w:color w:val="auto"/>
              </w:rPr>
              <w:t>2025</w:t>
            </w:r>
          </w:p>
        </w:tc>
        <w:tc>
          <w:tcPr>
            <w:tcW w:w="440" w:type="dxa"/>
            <w:vAlign w:val="bottom"/>
            <w:tcBorders>
              <w:bottom w:val="single" w:sz="8" w:color="00539B"/>
            </w:tcBorders>
            <w:shd w:val="clear" w:color="auto" w:fill="E0E3F1"/>
          </w:tcPr>
          <w:p>
            <w:pPr>
              <w:spacing w:after="0"/>
              <w:rPr>
                <w:sz w:val="17"/>
                <w:szCs w:val="17"/>
                <w:color w:val="auto"/>
              </w:rPr>
            </w:pPr>
          </w:p>
        </w:tc>
        <w:tc>
          <w:tcPr>
            <w:tcW w:w="20" w:type="dxa"/>
            <w:vAlign w:val="bottom"/>
            <w:tcBorders>
              <w:bottom w:val="single" w:sz="8" w:color="00539B"/>
            </w:tcBorders>
          </w:tcPr>
          <w:p>
            <w:pPr>
              <w:spacing w:after="0"/>
              <w:rPr>
                <w:sz w:val="17"/>
                <w:szCs w:val="17"/>
                <w:color w:val="auto"/>
              </w:rPr>
            </w:pPr>
          </w:p>
        </w:tc>
        <w:tc>
          <w:tcPr>
            <w:tcW w:w="140" w:type="dxa"/>
            <w:vAlign w:val="bottom"/>
            <w:tcBorders>
              <w:bottom w:val="single" w:sz="8" w:color="00539B"/>
            </w:tcBorders>
          </w:tcPr>
          <w:p>
            <w:pPr>
              <w:spacing w:after="0"/>
              <w:rPr>
                <w:sz w:val="17"/>
                <w:szCs w:val="17"/>
                <w:color w:val="auto"/>
              </w:rPr>
            </w:pPr>
          </w:p>
        </w:tc>
        <w:tc>
          <w:tcPr>
            <w:tcW w:w="140" w:type="dxa"/>
            <w:vAlign w:val="bottom"/>
            <w:tcBorders>
              <w:bottom w:val="single" w:sz="8" w:color="00539B"/>
            </w:tcBorders>
          </w:tcPr>
          <w:p>
            <w:pPr>
              <w:spacing w:after="0"/>
              <w:rPr>
                <w:sz w:val="17"/>
                <w:szCs w:val="17"/>
                <w:color w:val="auto"/>
              </w:rPr>
            </w:pPr>
          </w:p>
        </w:tc>
        <w:tc>
          <w:tcPr>
            <w:tcW w:w="740" w:type="dxa"/>
            <w:vAlign w:val="bottom"/>
            <w:tcBorders>
              <w:bottom w:val="single" w:sz="8" w:color="00539B"/>
            </w:tcBorders>
            <w:gridSpan w:val="2"/>
          </w:tcPr>
          <w:p>
            <w:pPr>
              <w:jc w:val="center"/>
              <w:spacing w:after="0"/>
              <w:rPr>
                <w:sz w:val="20"/>
                <w:szCs w:val="20"/>
                <w:color w:val="auto"/>
              </w:rPr>
            </w:pPr>
            <w:r>
              <w:rPr>
                <w:rFonts w:ascii="Arial" w:cs="Arial" w:eastAsia="Arial" w:hAnsi="Arial"/>
                <w:sz w:val="14"/>
                <w:szCs w:val="14"/>
                <w:color w:val="auto"/>
              </w:rPr>
              <w:t>2024</w:t>
            </w:r>
          </w:p>
        </w:tc>
        <w:tc>
          <w:tcPr>
            <w:tcW w:w="360" w:type="dxa"/>
            <w:vAlign w:val="bottom"/>
            <w:tcBorders>
              <w:bottom w:val="single" w:sz="8" w:color="00539B"/>
            </w:tcBorders>
          </w:tcPr>
          <w:p>
            <w:pPr>
              <w:spacing w:after="0"/>
              <w:rPr>
                <w:sz w:val="17"/>
                <w:szCs w:val="17"/>
                <w:color w:val="auto"/>
              </w:rPr>
            </w:pPr>
          </w:p>
        </w:tc>
        <w:tc>
          <w:tcPr>
            <w:tcW w:w="360" w:type="dxa"/>
            <w:vAlign w:val="bottom"/>
            <w:tcBorders>
              <w:bottom w:val="single" w:sz="8" w:color="00539B"/>
            </w:tcBorders>
          </w:tcPr>
          <w:p>
            <w:pPr>
              <w:spacing w:after="0"/>
              <w:rPr>
                <w:sz w:val="17"/>
                <w:szCs w:val="17"/>
                <w:color w:val="auto"/>
              </w:rPr>
            </w:pPr>
          </w:p>
        </w:tc>
        <w:tc>
          <w:tcPr>
            <w:tcW w:w="180" w:type="dxa"/>
            <w:vAlign w:val="bottom"/>
            <w:tcBorders>
              <w:bottom w:val="single" w:sz="8" w:color="00539B"/>
            </w:tcBorders>
          </w:tcPr>
          <w:p>
            <w:pPr>
              <w:spacing w:after="0"/>
              <w:rPr>
                <w:sz w:val="17"/>
                <w:szCs w:val="17"/>
                <w:color w:val="auto"/>
              </w:rPr>
            </w:pPr>
          </w:p>
        </w:tc>
        <w:tc>
          <w:tcPr>
            <w:tcW w:w="900" w:type="dxa"/>
            <w:vAlign w:val="bottom"/>
            <w:tcBorders>
              <w:bottom w:val="single" w:sz="8" w:color="00539B"/>
            </w:tcBorders>
            <w:gridSpan w:val="2"/>
          </w:tcPr>
          <w:p>
            <w:pPr>
              <w:ind w:left="20"/>
              <w:spacing w:after="0"/>
              <w:rPr>
                <w:sz w:val="20"/>
                <w:szCs w:val="20"/>
                <w:color w:val="auto"/>
              </w:rPr>
            </w:pPr>
            <w:r>
              <w:rPr>
                <w:rFonts w:ascii="Arial" w:cs="Arial" w:eastAsia="Arial" w:hAnsi="Arial"/>
                <w:sz w:val="14"/>
                <w:szCs w:val="14"/>
                <w:color w:val="auto"/>
              </w:rPr>
              <w:t>2023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0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Interest rate contracts</w:t>
            </w:r>
          </w:p>
        </w:tc>
        <w:tc>
          <w:tcPr>
            <w:tcW w:w="1440" w:type="dxa"/>
            <w:vAlign w:val="bottom"/>
            <w:tcBorders>
              <w:bottom w:val="single" w:sz="8" w:color="00539B"/>
            </w:tcBorders>
          </w:tcPr>
          <w:p>
            <w:pPr>
              <w:spacing w:after="0"/>
              <w:rPr>
                <w:sz w:val="17"/>
                <w:szCs w:val="17"/>
                <w:color w:val="auto"/>
              </w:rPr>
            </w:pPr>
          </w:p>
        </w:tc>
        <w:tc>
          <w:tcPr>
            <w:tcW w:w="200" w:type="dxa"/>
            <w:vAlign w:val="bottom"/>
            <w:tcBorders>
              <w:bottom w:val="single" w:sz="8" w:color="00539B"/>
            </w:tcBorders>
          </w:tcPr>
          <w:p>
            <w:pPr>
              <w:spacing w:after="0"/>
              <w:rPr>
                <w:sz w:val="17"/>
                <w:szCs w:val="17"/>
                <w:color w:val="auto"/>
              </w:rPr>
            </w:pPr>
          </w:p>
        </w:tc>
        <w:tc>
          <w:tcPr>
            <w:tcW w:w="700" w:type="dxa"/>
            <w:vAlign w:val="bottom"/>
            <w:tcBorders>
              <w:bottom w:val="single" w:sz="8" w:color="00539B"/>
            </w:tcBorders>
          </w:tcPr>
          <w:p>
            <w:pPr>
              <w:spacing w:after="0"/>
              <w:rPr>
                <w:sz w:val="17"/>
                <w:szCs w:val="17"/>
                <w:color w:val="auto"/>
              </w:rPr>
            </w:pPr>
          </w:p>
        </w:tc>
        <w:tc>
          <w:tcPr>
            <w:tcW w:w="180" w:type="dxa"/>
            <w:vAlign w:val="bottom"/>
            <w:tcBorders>
              <w:bottom w:val="single" w:sz="8" w:color="00539B"/>
            </w:tcBorders>
          </w:tcPr>
          <w:p>
            <w:pPr>
              <w:spacing w:after="0"/>
              <w:rPr>
                <w:sz w:val="17"/>
                <w:szCs w:val="17"/>
                <w:color w:val="auto"/>
              </w:rPr>
            </w:pPr>
          </w:p>
        </w:tc>
        <w:tc>
          <w:tcPr>
            <w:tcW w:w="700" w:type="dxa"/>
            <w:vAlign w:val="bottom"/>
            <w:tcBorders>
              <w:bottom w:val="single" w:sz="8" w:color="00539B"/>
            </w:tcBorders>
          </w:tcPr>
          <w:p>
            <w:pPr>
              <w:spacing w:after="0"/>
              <w:rPr>
                <w:sz w:val="17"/>
                <w:szCs w:val="17"/>
                <w:color w:val="auto"/>
              </w:rPr>
            </w:pPr>
          </w:p>
        </w:tc>
        <w:tc>
          <w:tcPr>
            <w:tcW w:w="400" w:type="dxa"/>
            <w:vAlign w:val="bottom"/>
            <w:tcBorders>
              <w:bottom w:val="single" w:sz="8" w:color="00539B"/>
            </w:tcBorders>
          </w:tcPr>
          <w:p>
            <w:pPr>
              <w:spacing w:after="0"/>
              <w:rPr>
                <w:sz w:val="17"/>
                <w:szCs w:val="17"/>
                <w:color w:val="auto"/>
              </w:rPr>
            </w:pPr>
          </w:p>
        </w:tc>
        <w:tc>
          <w:tcPr>
            <w:tcW w:w="300" w:type="dxa"/>
            <w:vAlign w:val="bottom"/>
            <w:tcBorders>
              <w:bottom w:val="single" w:sz="8" w:color="00539B"/>
            </w:tcBorders>
          </w:tcPr>
          <w:p>
            <w:pPr>
              <w:spacing w:after="0"/>
              <w:rPr>
                <w:sz w:val="17"/>
                <w:szCs w:val="17"/>
                <w:color w:val="auto"/>
              </w:rPr>
            </w:pPr>
          </w:p>
        </w:tc>
        <w:tc>
          <w:tcPr>
            <w:tcW w:w="160" w:type="dxa"/>
            <w:vAlign w:val="bottom"/>
            <w:tcBorders>
              <w:bottom w:val="single" w:sz="8" w:color="00539B"/>
            </w:tcBorders>
          </w:tcPr>
          <w:p>
            <w:pPr>
              <w:spacing w:after="0"/>
              <w:rPr>
                <w:sz w:val="17"/>
                <w:szCs w:val="17"/>
                <w:color w:val="auto"/>
              </w:rPr>
            </w:pPr>
          </w:p>
        </w:tc>
        <w:tc>
          <w:tcPr>
            <w:tcW w:w="1380" w:type="dxa"/>
            <w:vAlign w:val="bottom"/>
            <w:tcBorders>
              <w:bottom w:val="single" w:sz="8" w:color="00539B"/>
            </w:tcBorders>
            <w:gridSpan w:val="3"/>
          </w:tcPr>
          <w:p>
            <w:pPr>
              <w:jc w:val="center"/>
              <w:ind w:right="88"/>
              <w:spacing w:after="0"/>
              <w:rPr>
                <w:sz w:val="20"/>
                <w:szCs w:val="20"/>
                <w:color w:val="auto"/>
              </w:rPr>
            </w:pPr>
            <w:r>
              <w:rPr>
                <w:rFonts w:ascii="Arial" w:cs="Arial" w:eastAsia="Arial" w:hAnsi="Arial"/>
                <w:sz w:val="14"/>
                <w:szCs w:val="14"/>
                <w:color w:val="auto"/>
              </w:rPr>
              <w:t>Interest expense</w:t>
            </w:r>
          </w:p>
        </w:tc>
        <w:tc>
          <w:tcPr>
            <w:tcW w:w="260" w:type="dxa"/>
            <w:vAlign w:val="bottom"/>
            <w:tcBorders>
              <w:bottom w:val="single" w:sz="8" w:color="00539B"/>
            </w:tcBorders>
            <w:shd w:val="clear" w:color="auto" w:fill="E0E3F1"/>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00539B"/>
            </w:tcBorders>
            <w:gridSpan w:val="2"/>
            <w:shd w:val="clear" w:color="auto" w:fill="E0E3F1"/>
          </w:tcPr>
          <w:p>
            <w:pPr>
              <w:jc w:val="right"/>
              <w:spacing w:after="0"/>
              <w:rPr>
                <w:sz w:val="20"/>
                <w:szCs w:val="20"/>
                <w:color w:val="auto"/>
              </w:rPr>
            </w:pPr>
            <w:r>
              <w:rPr>
                <w:rFonts w:ascii="Arial" w:cs="Arial" w:eastAsia="Arial" w:hAnsi="Arial"/>
                <w:sz w:val="14"/>
                <w:szCs w:val="14"/>
                <w:color w:val="auto"/>
              </w:rPr>
              <w:t>(14.1)</w:t>
            </w:r>
          </w:p>
        </w:tc>
        <w:tc>
          <w:tcPr>
            <w:tcW w:w="20" w:type="dxa"/>
            <w:vAlign w:val="bottom"/>
            <w:tcBorders>
              <w:bottom w:val="single" w:sz="8" w:color="00539B"/>
            </w:tcBorders>
          </w:tcPr>
          <w:p>
            <w:pPr>
              <w:spacing w:after="0"/>
              <w:rPr>
                <w:sz w:val="17"/>
                <w:szCs w:val="17"/>
                <w:color w:val="auto"/>
              </w:rPr>
            </w:pPr>
          </w:p>
        </w:tc>
        <w:tc>
          <w:tcPr>
            <w:tcW w:w="14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w w:val="76"/>
              </w:rPr>
              <w:t>$</w:t>
            </w:r>
          </w:p>
        </w:tc>
        <w:tc>
          <w:tcPr>
            <w:tcW w:w="140" w:type="dxa"/>
            <w:vAlign w:val="bottom"/>
            <w:tcBorders>
              <w:bottom w:val="single" w:sz="8" w:color="00539B"/>
            </w:tcBorders>
          </w:tcPr>
          <w:p>
            <w:pPr>
              <w:spacing w:after="0"/>
              <w:rPr>
                <w:sz w:val="17"/>
                <w:szCs w:val="17"/>
                <w:color w:val="auto"/>
              </w:rPr>
            </w:pPr>
          </w:p>
        </w:tc>
        <w:tc>
          <w:tcPr>
            <w:tcW w:w="360" w:type="dxa"/>
            <w:vAlign w:val="bottom"/>
            <w:tcBorders>
              <w:bottom w:val="single" w:sz="8" w:color="00539B"/>
            </w:tcBorders>
          </w:tcPr>
          <w:p>
            <w:pPr>
              <w:spacing w:after="0"/>
              <w:rPr>
                <w:sz w:val="17"/>
                <w:szCs w:val="17"/>
                <w:color w:val="auto"/>
              </w:rPr>
            </w:pPr>
          </w:p>
        </w:tc>
        <w:tc>
          <w:tcPr>
            <w:tcW w:w="380" w:type="dxa"/>
            <w:vAlign w:val="bottom"/>
            <w:tcBorders>
              <w:bottom w:val="single" w:sz="8" w:color="00539B"/>
            </w:tcBorders>
          </w:tcPr>
          <w:p>
            <w:pPr>
              <w:spacing w:after="0"/>
              <w:rPr>
                <w:sz w:val="17"/>
                <w:szCs w:val="17"/>
                <w:color w:val="auto"/>
              </w:rPr>
            </w:pPr>
          </w:p>
        </w:tc>
        <w:tc>
          <w:tcPr>
            <w:tcW w:w="36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w w:val="87"/>
              </w:rPr>
              <w:t>(19.7)</w:t>
            </w:r>
          </w:p>
        </w:tc>
        <w:tc>
          <w:tcPr>
            <w:tcW w:w="360" w:type="dxa"/>
            <w:vAlign w:val="bottom"/>
            <w:tcBorders>
              <w:bottom w:val="single" w:sz="8" w:color="00539B"/>
            </w:tcBorders>
          </w:tcPr>
          <w:p>
            <w:pPr>
              <w:jc w:val="right"/>
              <w:ind w:right="18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00539B"/>
            </w:tcBorders>
          </w:tcPr>
          <w:p>
            <w:pPr>
              <w:spacing w:after="0"/>
              <w:rPr>
                <w:sz w:val="17"/>
                <w:szCs w:val="17"/>
                <w:color w:val="auto"/>
              </w:rPr>
            </w:pPr>
          </w:p>
        </w:tc>
        <w:tc>
          <w:tcPr>
            <w:tcW w:w="160" w:type="dxa"/>
            <w:vAlign w:val="bottom"/>
            <w:tcBorders>
              <w:bottom w:val="single" w:sz="8" w:color="00539B"/>
            </w:tcBorders>
          </w:tcPr>
          <w:p>
            <w:pPr>
              <w:spacing w:after="0"/>
              <w:rPr>
                <w:sz w:val="17"/>
                <w:szCs w:val="17"/>
                <w:color w:val="auto"/>
              </w:rPr>
            </w:pPr>
          </w:p>
        </w:tc>
        <w:tc>
          <w:tcPr>
            <w:tcW w:w="74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(17.7)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500" w:type="dxa"/>
            <w:vAlign w:val="bottom"/>
            <w:tcBorders>
              <w:bottom w:val="single" w:sz="8" w:color="00539B"/>
            </w:tcBorders>
          </w:tcPr>
          <w:p>
            <w:pPr>
              <w:spacing w:after="0"/>
              <w:rPr>
                <w:sz w:val="24"/>
                <w:szCs w:val="24"/>
                <w:color w:val="auto"/>
              </w:rPr>
            </w:pPr>
          </w:p>
        </w:tc>
        <w:tc>
          <w:tcPr>
            <w:tcW w:w="1440" w:type="dxa"/>
            <w:vAlign w:val="bottom"/>
            <w:tcBorders>
              <w:bottom w:val="single" w:sz="8" w:color="00539B"/>
            </w:tcBorders>
          </w:tcPr>
          <w:p>
            <w:pPr>
              <w:spacing w:after="0"/>
              <w:rPr>
                <w:sz w:val="24"/>
                <w:szCs w:val="24"/>
                <w:color w:val="auto"/>
              </w:rPr>
            </w:pPr>
          </w:p>
        </w:tc>
        <w:tc>
          <w:tcPr>
            <w:tcW w:w="200" w:type="dxa"/>
            <w:vAlign w:val="bottom"/>
            <w:tcBorders>
              <w:bottom w:val="single" w:sz="8" w:color="00539B"/>
            </w:tcBorders>
          </w:tcPr>
          <w:p>
            <w:pPr>
              <w:spacing w:after="0"/>
              <w:rPr>
                <w:sz w:val="24"/>
                <w:szCs w:val="24"/>
                <w:color w:val="auto"/>
              </w:rPr>
            </w:pPr>
          </w:p>
        </w:tc>
        <w:tc>
          <w:tcPr>
            <w:tcW w:w="880" w:type="dxa"/>
            <w:vAlign w:val="bottom"/>
            <w:tcBorders>
              <w:bottom w:val="single" w:sz="8" w:color="00539B"/>
            </w:tcBorders>
            <w:gridSpan w:val="2"/>
          </w:tcPr>
          <w:p>
            <w:pPr>
              <w:spacing w:after="0"/>
              <w:rPr>
                <w:sz w:val="24"/>
                <w:szCs w:val="24"/>
                <w:color w:val="auto"/>
              </w:rPr>
            </w:pPr>
          </w:p>
        </w:tc>
        <w:tc>
          <w:tcPr>
            <w:tcW w:w="1100" w:type="dxa"/>
            <w:vAlign w:val="bottom"/>
            <w:tcBorders>
              <w:bottom w:val="single" w:sz="8" w:color="00539B"/>
            </w:tcBorders>
            <w:gridSpan w:val="2"/>
          </w:tcPr>
          <w:p>
            <w:pPr>
              <w:spacing w:after="0"/>
              <w:rPr>
                <w:sz w:val="24"/>
                <w:szCs w:val="24"/>
                <w:color w:val="auto"/>
              </w:rPr>
            </w:pPr>
          </w:p>
        </w:tc>
        <w:tc>
          <w:tcPr>
            <w:tcW w:w="300" w:type="dxa"/>
            <w:vAlign w:val="bottom"/>
            <w:tcBorders>
              <w:bottom w:val="single" w:sz="8" w:color="00539B"/>
            </w:tcBorders>
          </w:tcPr>
          <w:p>
            <w:pPr>
              <w:spacing w:after="0"/>
              <w:rPr>
                <w:sz w:val="24"/>
                <w:szCs w:val="24"/>
                <w:color w:val="auto"/>
              </w:rPr>
            </w:pPr>
          </w:p>
        </w:tc>
        <w:tc>
          <w:tcPr>
            <w:tcW w:w="160" w:type="dxa"/>
            <w:vAlign w:val="bottom"/>
            <w:tcBorders>
              <w:bottom w:val="single" w:sz="8" w:color="00539B"/>
            </w:tcBorders>
          </w:tcPr>
          <w:p>
            <w:pPr>
              <w:spacing w:after="0"/>
              <w:rPr>
                <w:sz w:val="24"/>
                <w:szCs w:val="24"/>
                <w:color w:val="auto"/>
              </w:rPr>
            </w:pPr>
          </w:p>
        </w:tc>
        <w:tc>
          <w:tcPr>
            <w:tcW w:w="300" w:type="dxa"/>
            <w:vAlign w:val="bottom"/>
            <w:tcBorders>
              <w:bottom w:val="single" w:sz="8" w:color="00539B"/>
            </w:tcBorders>
          </w:tcPr>
          <w:p>
            <w:pPr>
              <w:spacing w:after="0"/>
              <w:rPr>
                <w:sz w:val="24"/>
                <w:szCs w:val="24"/>
                <w:color w:val="auto"/>
              </w:rPr>
            </w:pPr>
          </w:p>
        </w:tc>
        <w:tc>
          <w:tcPr>
            <w:tcW w:w="360" w:type="dxa"/>
            <w:vAlign w:val="bottom"/>
            <w:tcBorders>
              <w:bottom w:val="single" w:sz="8" w:color="00539B"/>
            </w:tcBorders>
          </w:tcPr>
          <w:p>
            <w:pPr>
              <w:spacing w:after="0"/>
              <w:rPr>
                <w:sz w:val="24"/>
                <w:szCs w:val="24"/>
                <w:color w:val="auto"/>
              </w:rPr>
            </w:pPr>
          </w:p>
        </w:tc>
        <w:tc>
          <w:tcPr>
            <w:tcW w:w="720" w:type="dxa"/>
            <w:vAlign w:val="bottom"/>
            <w:tcBorders>
              <w:bottom w:val="single" w:sz="8" w:color="00539B"/>
            </w:tcBorders>
          </w:tcPr>
          <w:p>
            <w:pPr>
              <w:spacing w:after="0"/>
              <w:rPr>
                <w:sz w:val="24"/>
                <w:szCs w:val="24"/>
                <w:color w:val="auto"/>
              </w:rPr>
            </w:pPr>
          </w:p>
        </w:tc>
        <w:tc>
          <w:tcPr>
            <w:tcW w:w="260" w:type="dxa"/>
            <w:vAlign w:val="bottom"/>
            <w:tcBorders>
              <w:bottom w:val="single" w:sz="8" w:color="00539B"/>
            </w:tcBorders>
          </w:tcPr>
          <w:p>
            <w:pPr>
              <w:spacing w:after="0"/>
              <w:rPr>
                <w:sz w:val="24"/>
                <w:szCs w:val="24"/>
                <w:color w:val="auto"/>
              </w:rPr>
            </w:pPr>
          </w:p>
        </w:tc>
        <w:tc>
          <w:tcPr>
            <w:tcW w:w="700" w:type="dxa"/>
            <w:vAlign w:val="bottom"/>
            <w:tcBorders>
              <w:bottom w:val="single" w:sz="8" w:color="00539B"/>
            </w:tcBorders>
          </w:tcPr>
          <w:p>
            <w:pPr>
              <w:spacing w:after="0"/>
              <w:rPr>
                <w:sz w:val="24"/>
                <w:szCs w:val="24"/>
                <w:color w:val="auto"/>
              </w:rPr>
            </w:pPr>
          </w:p>
        </w:tc>
        <w:tc>
          <w:tcPr>
            <w:tcW w:w="440" w:type="dxa"/>
            <w:vAlign w:val="bottom"/>
            <w:tcBorders>
              <w:bottom w:val="single" w:sz="8" w:color="00539B"/>
            </w:tcBorders>
          </w:tcPr>
          <w:p>
            <w:pPr>
              <w:spacing w:after="0"/>
              <w:rPr>
                <w:sz w:val="24"/>
                <w:szCs w:val="24"/>
                <w:color w:val="auto"/>
              </w:rPr>
            </w:pPr>
          </w:p>
        </w:tc>
        <w:tc>
          <w:tcPr>
            <w:tcW w:w="20" w:type="dxa"/>
            <w:vAlign w:val="bottom"/>
            <w:tcBorders>
              <w:bottom w:val="single" w:sz="8" w:color="00539B"/>
            </w:tcBorders>
          </w:tcPr>
          <w:p>
            <w:pPr>
              <w:spacing w:after="0"/>
              <w:rPr>
                <w:sz w:val="24"/>
                <w:szCs w:val="24"/>
                <w:color w:val="auto"/>
              </w:rPr>
            </w:pPr>
          </w:p>
        </w:tc>
        <w:tc>
          <w:tcPr>
            <w:tcW w:w="140" w:type="dxa"/>
            <w:vAlign w:val="bottom"/>
            <w:tcBorders>
              <w:bottom w:val="single" w:sz="8" w:color="00539B"/>
            </w:tcBorders>
          </w:tcPr>
          <w:p>
            <w:pPr>
              <w:spacing w:after="0"/>
              <w:rPr>
                <w:sz w:val="24"/>
                <w:szCs w:val="24"/>
                <w:color w:val="auto"/>
              </w:rPr>
            </w:pPr>
          </w:p>
        </w:tc>
        <w:tc>
          <w:tcPr>
            <w:tcW w:w="140" w:type="dxa"/>
            <w:vAlign w:val="bottom"/>
            <w:tcBorders>
              <w:bottom w:val="single" w:sz="8" w:color="00539B"/>
            </w:tcBorders>
          </w:tcPr>
          <w:p>
            <w:pPr>
              <w:spacing w:after="0"/>
              <w:rPr>
                <w:sz w:val="24"/>
                <w:szCs w:val="24"/>
                <w:color w:val="auto"/>
              </w:rPr>
            </w:pPr>
          </w:p>
        </w:tc>
        <w:tc>
          <w:tcPr>
            <w:tcW w:w="360" w:type="dxa"/>
            <w:vAlign w:val="bottom"/>
            <w:tcBorders>
              <w:bottom w:val="single" w:sz="8" w:color="00539B"/>
            </w:tcBorders>
          </w:tcPr>
          <w:p>
            <w:pPr>
              <w:spacing w:after="0"/>
              <w:rPr>
                <w:sz w:val="24"/>
                <w:szCs w:val="24"/>
                <w:color w:val="auto"/>
              </w:rPr>
            </w:pPr>
          </w:p>
        </w:tc>
        <w:tc>
          <w:tcPr>
            <w:tcW w:w="2180" w:type="dxa"/>
            <w:vAlign w:val="bottom"/>
            <w:tcBorders>
              <w:bottom w:val="single" w:sz="8" w:color="00539B"/>
            </w:tcBorders>
            <w:gridSpan w:val="6"/>
          </w:tcPr>
          <w:p>
            <w:pPr>
              <w:spacing w:after="0"/>
              <w:rPr>
                <w:sz w:val="24"/>
                <w:szCs w:val="24"/>
                <w:color w:val="auto"/>
              </w:rPr>
            </w:pPr>
          </w:p>
        </w:tc>
        <w:tc>
          <w:tcPr>
            <w:tcW w:w="20" w:type="dxa"/>
            <w:vAlign w:val="bottom"/>
            <w:tcBorders>
              <w:bottom w:val="single" w:sz="8" w:color="00539B"/>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5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rPr>
              <w:t>Income statement</w:t>
            </w:r>
          </w:p>
        </w:tc>
        <w:tc>
          <w:tcPr>
            <w:tcW w:w="200" w:type="dxa"/>
            <w:vAlign w:val="bottom"/>
            <w:tcBorders>
              <w:bottom w:val="single" w:sz="8" w:color="00539B"/>
            </w:tcBorders>
          </w:tcPr>
          <w:p>
            <w:pPr>
              <w:spacing w:after="0"/>
              <w:rPr>
                <w:sz w:val="24"/>
                <w:szCs w:val="24"/>
                <w:color w:val="auto"/>
              </w:rPr>
            </w:pPr>
          </w:p>
        </w:tc>
        <w:tc>
          <w:tcPr>
            <w:tcW w:w="1980" w:type="dxa"/>
            <w:vAlign w:val="bottom"/>
            <w:tcBorders>
              <w:bottom w:val="single" w:sz="8" w:color="00539B"/>
            </w:tcBorders>
            <w:gridSpan w:val="4"/>
          </w:tcPr>
          <w:p>
            <w:pPr>
              <w:jc w:val="right"/>
              <w:spacing w:after="0"/>
              <w:rPr>
                <w:sz w:val="20"/>
                <w:szCs w:val="20"/>
                <w:color w:val="auto"/>
              </w:rPr>
            </w:pPr>
            <w:r>
              <w:rPr>
                <w:rFonts w:ascii="Arial" w:cs="Arial" w:eastAsia="Arial" w:hAnsi="Arial"/>
                <w:sz w:val="14"/>
                <w:szCs w:val="14"/>
                <w:color w:val="auto"/>
              </w:rPr>
              <w:t>Loss recognized in income</w:t>
            </w:r>
          </w:p>
        </w:tc>
        <w:tc>
          <w:tcPr>
            <w:tcW w:w="300" w:type="dxa"/>
            <w:vAlign w:val="bottom"/>
            <w:tcBorders>
              <w:bottom w:val="single" w:sz="8" w:color="00539B"/>
            </w:tcBorders>
          </w:tcPr>
          <w:p>
            <w:pPr>
              <w:spacing w:after="0"/>
              <w:rPr>
                <w:sz w:val="24"/>
                <w:szCs w:val="24"/>
                <w:color w:val="auto"/>
              </w:rPr>
            </w:pPr>
          </w:p>
        </w:tc>
        <w:tc>
          <w:tcPr>
            <w:tcW w:w="160" w:type="dxa"/>
            <w:vAlign w:val="bottom"/>
            <w:tcBorders>
              <w:bottom w:val="single" w:sz="8" w:color="00539B"/>
            </w:tcBorders>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gridSpan w:val="3"/>
          </w:tcPr>
          <w:p>
            <w:pPr>
              <w:jc w:val="center"/>
              <w:ind w:right="20"/>
              <w:spacing w:after="0"/>
              <w:rPr>
                <w:sz w:val="20"/>
                <w:szCs w:val="20"/>
                <w:color w:val="auto"/>
              </w:rPr>
            </w:pPr>
            <w:r>
              <w:rPr>
                <w:rFonts w:ascii="Arial" w:cs="Arial" w:eastAsia="Arial" w:hAnsi="Arial"/>
                <w:sz w:val="14"/>
                <w:szCs w:val="14"/>
                <w:color w:val="auto"/>
              </w:rPr>
              <w:t>Income statement</w:t>
            </w:r>
          </w:p>
        </w:tc>
        <w:tc>
          <w:tcPr>
            <w:tcW w:w="140" w:type="dxa"/>
            <w:vAlign w:val="bottom"/>
          </w:tcPr>
          <w:p>
            <w:pPr>
              <w:spacing w:after="0"/>
              <w:rPr>
                <w:sz w:val="24"/>
                <w:szCs w:val="24"/>
                <w:color w:val="auto"/>
              </w:rPr>
            </w:pPr>
          </w:p>
        </w:tc>
        <w:tc>
          <w:tcPr>
            <w:tcW w:w="140" w:type="dxa"/>
            <w:vAlign w:val="bottom"/>
            <w:tcBorders>
              <w:bottom w:val="single" w:sz="8" w:color="00539B"/>
            </w:tcBorders>
          </w:tcPr>
          <w:p>
            <w:pPr>
              <w:spacing w:after="0"/>
              <w:rPr>
                <w:sz w:val="24"/>
                <w:szCs w:val="24"/>
                <w:color w:val="auto"/>
              </w:rPr>
            </w:pPr>
          </w:p>
        </w:tc>
        <w:tc>
          <w:tcPr>
            <w:tcW w:w="360" w:type="dxa"/>
            <w:vAlign w:val="bottom"/>
            <w:tcBorders>
              <w:bottom w:val="single" w:sz="8" w:color="00539B"/>
            </w:tcBorders>
          </w:tcPr>
          <w:p>
            <w:pPr>
              <w:spacing w:after="0"/>
              <w:rPr>
                <w:sz w:val="24"/>
                <w:szCs w:val="24"/>
                <w:color w:val="auto"/>
              </w:rPr>
            </w:pPr>
          </w:p>
        </w:tc>
        <w:tc>
          <w:tcPr>
            <w:tcW w:w="2180" w:type="dxa"/>
            <w:vAlign w:val="bottom"/>
            <w:tcBorders>
              <w:bottom w:val="single" w:sz="8" w:color="00539B"/>
            </w:tcBorders>
            <w:gridSpan w:val="6"/>
          </w:tcPr>
          <w:p>
            <w:pPr>
              <w:jc w:val="right"/>
              <w:ind w:right="408"/>
              <w:spacing w:after="0"/>
              <w:rPr>
                <w:sz w:val="20"/>
                <w:szCs w:val="20"/>
                <w:color w:val="auto"/>
              </w:rPr>
            </w:pPr>
            <w:r>
              <w:rPr>
                <w:rFonts w:ascii="Arial" w:cs="Arial" w:eastAsia="Arial" w:hAnsi="Arial"/>
                <w:sz w:val="14"/>
                <w:szCs w:val="14"/>
                <w:color w:val="auto"/>
              </w:rPr>
              <w:t>Gain recognized in income</w:t>
            </w:r>
          </w:p>
        </w:tc>
        <w:tc>
          <w:tcPr>
            <w:tcW w:w="20" w:type="dxa"/>
            <w:vAlign w:val="bottom"/>
            <w:tcBorders>
              <w:bottom w:val="single" w:sz="8" w:color="00539B"/>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50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Derivative</w:t>
            </w:r>
          </w:p>
        </w:tc>
        <w:tc>
          <w:tcPr>
            <w:tcW w:w="1440" w:type="dxa"/>
            <w:vAlign w:val="bottom"/>
            <w:tcBorders>
              <w:bottom w:val="single" w:sz="8" w:color="00539B"/>
            </w:tcBorders>
          </w:tcPr>
          <w:p>
            <w:pPr>
              <w:jc w:val="center"/>
              <w:spacing w:after="0"/>
              <w:rPr>
                <w:sz w:val="20"/>
                <w:szCs w:val="20"/>
                <w:color w:val="auto"/>
              </w:rPr>
            </w:pPr>
            <w:r>
              <w:rPr>
                <w:rFonts w:ascii="Arial" w:cs="Arial" w:eastAsia="Arial" w:hAnsi="Arial"/>
                <w:sz w:val="14"/>
                <w:szCs w:val="14"/>
                <w:color w:val="auto"/>
              </w:rPr>
              <w:t>location</w:t>
            </w:r>
          </w:p>
        </w:tc>
        <w:tc>
          <w:tcPr>
            <w:tcW w:w="200" w:type="dxa"/>
            <w:vAlign w:val="bottom"/>
            <w:tcBorders>
              <w:bottom w:val="single" w:sz="8" w:color="00539B"/>
            </w:tcBorders>
            <w:shd w:val="clear" w:color="auto" w:fill="E0E3F1"/>
          </w:tcPr>
          <w:p>
            <w:pPr>
              <w:spacing w:after="0"/>
              <w:rPr>
                <w:sz w:val="17"/>
                <w:szCs w:val="17"/>
                <w:color w:val="auto"/>
              </w:rPr>
            </w:pPr>
          </w:p>
        </w:tc>
        <w:tc>
          <w:tcPr>
            <w:tcW w:w="700" w:type="dxa"/>
            <w:vAlign w:val="bottom"/>
            <w:tcBorders>
              <w:bottom w:val="single" w:sz="8" w:color="00539B"/>
            </w:tcBorders>
            <w:shd w:val="clear" w:color="auto" w:fill="E0E3F1"/>
          </w:tcPr>
          <w:p>
            <w:pPr>
              <w:jc w:val="right"/>
              <w:ind w:right="228"/>
              <w:spacing w:after="0"/>
              <w:rPr>
                <w:sz w:val="20"/>
                <w:szCs w:val="20"/>
                <w:color w:val="auto"/>
              </w:rPr>
            </w:pPr>
            <w:r>
              <w:rPr>
                <w:rFonts w:ascii="Arial" w:cs="Arial" w:eastAsia="Arial" w:hAnsi="Arial"/>
                <w:sz w:val="14"/>
                <w:szCs w:val="14"/>
                <w:color w:val="auto"/>
              </w:rPr>
              <w:t>2025</w:t>
            </w:r>
          </w:p>
        </w:tc>
        <w:tc>
          <w:tcPr>
            <w:tcW w:w="180" w:type="dxa"/>
            <w:vAlign w:val="bottom"/>
            <w:tcBorders>
              <w:bottom w:val="single" w:sz="8" w:color="00539B"/>
            </w:tcBorders>
          </w:tcPr>
          <w:p>
            <w:pPr>
              <w:spacing w:after="0"/>
              <w:rPr>
                <w:sz w:val="17"/>
                <w:szCs w:val="17"/>
                <w:color w:val="auto"/>
              </w:rPr>
            </w:pPr>
          </w:p>
        </w:tc>
        <w:tc>
          <w:tcPr>
            <w:tcW w:w="700" w:type="dxa"/>
            <w:vAlign w:val="bottom"/>
            <w:tcBorders>
              <w:bottom w:val="single" w:sz="8" w:color="00539B"/>
            </w:tcBorders>
          </w:tcPr>
          <w:p>
            <w:pPr>
              <w:jc w:val="right"/>
              <w:ind w:right="208"/>
              <w:spacing w:after="0"/>
              <w:rPr>
                <w:sz w:val="20"/>
                <w:szCs w:val="20"/>
                <w:color w:val="auto"/>
              </w:rPr>
            </w:pPr>
            <w:r>
              <w:rPr>
                <w:rFonts w:ascii="Arial" w:cs="Arial" w:eastAsia="Arial" w:hAnsi="Arial"/>
                <w:sz w:val="14"/>
                <w:szCs w:val="14"/>
                <w:color w:val="auto"/>
              </w:rPr>
              <w:t>2024</w:t>
            </w:r>
          </w:p>
        </w:tc>
        <w:tc>
          <w:tcPr>
            <w:tcW w:w="700" w:type="dxa"/>
            <w:vAlign w:val="bottom"/>
            <w:tcBorders>
              <w:bottom w:val="single" w:sz="8" w:color="00539B"/>
            </w:tcBorders>
            <w:gridSpan w:val="2"/>
          </w:tcPr>
          <w:p>
            <w:pPr>
              <w:jc w:val="right"/>
              <w:ind w:right="48"/>
              <w:spacing w:after="0"/>
              <w:rPr>
                <w:sz w:val="20"/>
                <w:szCs w:val="20"/>
                <w:color w:val="auto"/>
              </w:rPr>
            </w:pPr>
            <w:r>
              <w:rPr>
                <w:rFonts w:ascii="Arial" w:cs="Arial" w:eastAsia="Arial" w:hAnsi="Arial"/>
                <w:sz w:val="14"/>
                <w:szCs w:val="14"/>
                <w:color w:val="auto"/>
              </w:rPr>
              <w:t>2023</w:t>
            </w:r>
          </w:p>
        </w:tc>
        <w:tc>
          <w:tcPr>
            <w:tcW w:w="160" w:type="dxa"/>
            <w:vAlign w:val="bottom"/>
            <w:tcBorders>
              <w:bottom w:val="single" w:sz="8" w:color="00539B"/>
            </w:tcBorders>
          </w:tcPr>
          <w:p>
            <w:pPr>
              <w:spacing w:after="0"/>
              <w:rPr>
                <w:sz w:val="17"/>
                <w:szCs w:val="17"/>
                <w:color w:val="auto"/>
              </w:rPr>
            </w:pPr>
          </w:p>
        </w:tc>
        <w:tc>
          <w:tcPr>
            <w:tcW w:w="1380" w:type="dxa"/>
            <w:vAlign w:val="bottom"/>
            <w:tcBorders>
              <w:bottom w:val="single" w:sz="8" w:color="00539B"/>
            </w:tcBorders>
            <w:gridSpan w:val="3"/>
          </w:tcPr>
          <w:p>
            <w:pPr>
              <w:jc w:val="center"/>
              <w:ind w:right="448"/>
              <w:spacing w:after="0"/>
              <w:rPr>
                <w:sz w:val="20"/>
                <w:szCs w:val="20"/>
                <w:color w:val="auto"/>
              </w:rPr>
            </w:pPr>
            <w:r>
              <w:rPr>
                <w:rFonts w:ascii="Arial" w:cs="Arial" w:eastAsia="Arial" w:hAnsi="Arial"/>
                <w:sz w:val="14"/>
                <w:szCs w:val="14"/>
                <w:color w:val="auto"/>
              </w:rPr>
              <w:t>Hedged Item</w:t>
            </w:r>
          </w:p>
        </w:tc>
        <w:tc>
          <w:tcPr>
            <w:tcW w:w="260" w:type="dxa"/>
            <w:vAlign w:val="bottom"/>
            <w:tcBorders>
              <w:bottom w:val="single" w:sz="8" w:color="00539B"/>
            </w:tcBorders>
          </w:tcPr>
          <w:p>
            <w:pPr>
              <w:spacing w:after="0"/>
              <w:rPr>
                <w:sz w:val="17"/>
                <w:szCs w:val="17"/>
                <w:color w:val="auto"/>
              </w:rPr>
            </w:pPr>
          </w:p>
        </w:tc>
        <w:tc>
          <w:tcPr>
            <w:tcW w:w="1160" w:type="dxa"/>
            <w:vAlign w:val="bottom"/>
            <w:tcBorders>
              <w:bottom w:val="single" w:sz="8" w:color="00539B"/>
            </w:tcBorders>
            <w:gridSpan w:val="3"/>
          </w:tcPr>
          <w:p>
            <w:pPr>
              <w:jc w:val="center"/>
              <w:ind w:right="20"/>
              <w:spacing w:after="0"/>
              <w:rPr>
                <w:sz w:val="20"/>
                <w:szCs w:val="20"/>
                <w:color w:val="auto"/>
              </w:rPr>
            </w:pPr>
            <w:r>
              <w:rPr>
                <w:rFonts w:ascii="Arial" w:cs="Arial" w:eastAsia="Arial" w:hAnsi="Arial"/>
                <w:sz w:val="14"/>
                <w:szCs w:val="14"/>
                <w:color w:val="auto"/>
              </w:rPr>
              <w:t>location</w:t>
            </w:r>
          </w:p>
        </w:tc>
        <w:tc>
          <w:tcPr>
            <w:tcW w:w="140" w:type="dxa"/>
            <w:vAlign w:val="bottom"/>
            <w:tcBorders>
              <w:bottom w:val="single" w:sz="8" w:color="00539B"/>
            </w:tcBorders>
          </w:tcPr>
          <w:p>
            <w:pPr>
              <w:spacing w:after="0"/>
              <w:rPr>
                <w:sz w:val="17"/>
                <w:szCs w:val="17"/>
                <w:color w:val="auto"/>
              </w:rPr>
            </w:pPr>
          </w:p>
        </w:tc>
        <w:tc>
          <w:tcPr>
            <w:tcW w:w="140" w:type="dxa"/>
            <w:vAlign w:val="bottom"/>
            <w:tcBorders>
              <w:bottom w:val="single" w:sz="8" w:color="00539B"/>
            </w:tcBorders>
            <w:shd w:val="clear" w:color="auto" w:fill="E0E3F1"/>
          </w:tcPr>
          <w:p>
            <w:pPr>
              <w:spacing w:after="0"/>
              <w:rPr>
                <w:sz w:val="17"/>
                <w:szCs w:val="17"/>
                <w:color w:val="auto"/>
              </w:rPr>
            </w:pPr>
          </w:p>
        </w:tc>
        <w:tc>
          <w:tcPr>
            <w:tcW w:w="740" w:type="dxa"/>
            <w:vAlign w:val="bottom"/>
            <w:tcBorders>
              <w:bottom w:val="single" w:sz="8" w:color="00539B"/>
              <w:right w:val="single" w:sz="8" w:color="E0E3F1"/>
            </w:tcBorders>
            <w:gridSpan w:val="2"/>
            <w:shd w:val="clear" w:color="auto" w:fill="E0E3F1"/>
          </w:tcPr>
          <w:p>
            <w:pPr>
              <w:jc w:val="right"/>
              <w:ind w:right="208"/>
              <w:spacing w:after="0"/>
              <w:rPr>
                <w:sz w:val="20"/>
                <w:szCs w:val="20"/>
                <w:color w:val="auto"/>
              </w:rPr>
            </w:pPr>
            <w:r>
              <w:rPr>
                <w:rFonts w:ascii="Arial" w:cs="Arial" w:eastAsia="Arial" w:hAnsi="Arial"/>
                <w:sz w:val="14"/>
                <w:szCs w:val="14"/>
                <w:color w:val="auto"/>
              </w:rPr>
              <w:t>2025</w:t>
            </w:r>
          </w:p>
        </w:tc>
        <w:tc>
          <w:tcPr>
            <w:tcW w:w="720" w:type="dxa"/>
            <w:vAlign w:val="bottom"/>
            <w:tcBorders>
              <w:bottom w:val="single" w:sz="8" w:color="00539B"/>
            </w:tcBorders>
            <w:gridSpan w:val="2"/>
          </w:tcPr>
          <w:p>
            <w:pPr>
              <w:jc w:val="right"/>
              <w:ind w:right="48"/>
              <w:spacing w:after="0"/>
              <w:rPr>
                <w:sz w:val="20"/>
                <w:szCs w:val="20"/>
                <w:color w:val="auto"/>
              </w:rPr>
            </w:pPr>
            <w:r>
              <w:rPr>
                <w:rFonts w:ascii="Arial" w:cs="Arial" w:eastAsia="Arial" w:hAnsi="Arial"/>
                <w:sz w:val="14"/>
                <w:szCs w:val="14"/>
                <w:color w:val="auto"/>
              </w:rPr>
              <w:t>2024</w:t>
            </w:r>
          </w:p>
        </w:tc>
        <w:tc>
          <w:tcPr>
            <w:tcW w:w="180" w:type="dxa"/>
            <w:vAlign w:val="bottom"/>
            <w:tcBorders>
              <w:bottom w:val="single" w:sz="8" w:color="00539B"/>
            </w:tcBorders>
          </w:tcPr>
          <w:p>
            <w:pPr>
              <w:spacing w:after="0"/>
              <w:rPr>
                <w:sz w:val="17"/>
                <w:szCs w:val="17"/>
                <w:color w:val="auto"/>
              </w:rPr>
            </w:pPr>
          </w:p>
        </w:tc>
        <w:tc>
          <w:tcPr>
            <w:tcW w:w="160" w:type="dxa"/>
            <w:vAlign w:val="bottom"/>
            <w:tcBorders>
              <w:bottom w:val="single" w:sz="8" w:color="00539B"/>
            </w:tcBorders>
          </w:tcPr>
          <w:p>
            <w:pPr>
              <w:spacing w:after="0"/>
              <w:rPr>
                <w:sz w:val="17"/>
                <w:szCs w:val="17"/>
                <w:color w:val="auto"/>
              </w:rPr>
            </w:pPr>
          </w:p>
        </w:tc>
        <w:tc>
          <w:tcPr>
            <w:tcW w:w="740" w:type="dxa"/>
            <w:vAlign w:val="bottom"/>
            <w:tcBorders>
              <w:bottom w:val="single" w:sz="8" w:color="00539B"/>
            </w:tcBorders>
          </w:tcPr>
          <w:p>
            <w:pPr>
              <w:jc w:val="right"/>
              <w:ind w:right="208"/>
              <w:spacing w:after="0"/>
              <w:rPr>
                <w:sz w:val="20"/>
                <w:szCs w:val="20"/>
                <w:color w:val="auto"/>
              </w:rPr>
            </w:pPr>
            <w:r>
              <w:rPr>
                <w:rFonts w:ascii="Arial" w:cs="Arial" w:eastAsia="Arial" w:hAnsi="Arial"/>
                <w:sz w:val="14"/>
                <w:szCs w:val="14"/>
                <w:color w:val="auto"/>
              </w:rPr>
              <w:t>2023</w:t>
            </w:r>
          </w:p>
        </w:tc>
        <w:tc>
          <w:tcPr>
            <w:tcW w:w="20" w:type="dxa"/>
            <w:vAlign w:val="bottom"/>
            <w:tcBorders>
              <w:bottom w:val="single" w:sz="8" w:color="00539B"/>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1500" w:type="dxa"/>
            <w:vAlign w:val="bottom"/>
          </w:tcPr>
          <w:p>
            <w:pPr>
              <w:ind w:left="20"/>
              <w:spacing w:after="0" w:line="147" w:lineRule="exact"/>
              <w:rPr>
                <w:sz w:val="20"/>
                <w:szCs w:val="20"/>
                <w:color w:val="auto"/>
              </w:rPr>
            </w:pPr>
            <w:r>
              <w:rPr>
                <w:rFonts w:ascii="Arial" w:cs="Arial" w:eastAsia="Arial" w:hAnsi="Arial"/>
                <w:sz w:val="14"/>
                <w:szCs w:val="14"/>
                <w:color w:val="auto"/>
              </w:rPr>
              <w:t>Foreign exchange</w:t>
            </w:r>
          </w:p>
        </w:tc>
        <w:tc>
          <w:tcPr>
            <w:tcW w:w="1440" w:type="dxa"/>
            <w:vAlign w:val="bottom"/>
            <w:vMerge w:val="restart"/>
          </w:tcPr>
          <w:p>
            <w:pPr>
              <w:ind w:left="100"/>
              <w:spacing w:after="0"/>
              <w:rPr>
                <w:sz w:val="20"/>
                <w:szCs w:val="20"/>
                <w:color w:val="auto"/>
              </w:rPr>
            </w:pPr>
            <w:r>
              <w:rPr>
                <w:rFonts w:ascii="Arial" w:cs="Arial" w:eastAsia="Arial" w:hAnsi="Arial"/>
                <w:sz w:val="14"/>
                <w:szCs w:val="14"/>
                <w:color w:val="auto"/>
              </w:rPr>
              <w:t>Other income, net</w:t>
            </w:r>
          </w:p>
        </w:tc>
        <w:tc>
          <w:tcPr>
            <w:tcW w:w="200" w:type="dxa"/>
            <w:vAlign w:val="bottom"/>
            <w:vMerge w:val="restart"/>
            <w:shd w:val="clear" w:color="auto" w:fill="E0E3F1"/>
          </w:tcPr>
          <w:p>
            <w:pPr>
              <w:jc w:val="right"/>
              <w:ind w:right="42"/>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E0E3F1"/>
          </w:tcPr>
          <w:p>
            <w:pPr>
              <w:jc w:val="right"/>
              <w:spacing w:after="0"/>
              <w:rPr>
                <w:sz w:val="20"/>
                <w:szCs w:val="20"/>
                <w:color w:val="auto"/>
              </w:rPr>
            </w:pPr>
            <w:r>
              <w:rPr>
                <w:rFonts w:ascii="Arial" w:cs="Arial" w:eastAsia="Arial" w:hAnsi="Arial"/>
                <w:sz w:val="14"/>
                <w:szCs w:val="14"/>
                <w:color w:val="auto"/>
              </w:rPr>
              <w:t>(8.6)</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(9.0)</w:t>
            </w:r>
          </w:p>
        </w:tc>
        <w:tc>
          <w:tcPr>
            <w:tcW w:w="400" w:type="dxa"/>
            <w:vAlign w:val="bottom"/>
            <w:vMerge w:val="restart"/>
          </w:tcPr>
          <w:p>
            <w:pPr>
              <w:jc w:val="right"/>
              <w:ind w:right="248"/>
              <w:spacing w:after="0"/>
              <w:rPr>
                <w:sz w:val="20"/>
                <w:szCs w:val="20"/>
                <w:color w:val="auto"/>
              </w:rPr>
            </w:pPr>
            <w:r>
              <w:rPr>
                <w:rFonts w:ascii="Arial" w:cs="Arial" w:eastAsia="Arial" w:hAnsi="Arial"/>
                <w:sz w:val="14"/>
                <w:szCs w:val="14"/>
                <w:color w:val="auto"/>
                <w:w w:val="76"/>
              </w:rPr>
              <w:t>$</w:t>
            </w:r>
          </w:p>
        </w:tc>
        <w:tc>
          <w:tcPr>
            <w:tcW w:w="1840" w:type="dxa"/>
            <w:vAlign w:val="bottom"/>
            <w:gridSpan w:val="5"/>
            <w:vMerge w:val="restart"/>
          </w:tcPr>
          <w:p>
            <w:pPr>
              <w:jc w:val="center"/>
              <w:spacing w:after="0"/>
              <w:rPr>
                <w:sz w:val="20"/>
                <w:szCs w:val="20"/>
                <w:color w:val="auto"/>
              </w:rPr>
            </w:pPr>
            <w:r>
              <w:rPr>
                <w:rFonts w:ascii="Arial" w:cs="Arial" w:eastAsia="Arial" w:hAnsi="Arial"/>
                <w:sz w:val="14"/>
                <w:szCs w:val="14"/>
                <w:color w:val="auto"/>
              </w:rPr>
              <w:t>(16.2) Intercompany loans</w:t>
            </w:r>
          </w:p>
        </w:tc>
        <w:tc>
          <w:tcPr>
            <w:tcW w:w="1420" w:type="dxa"/>
            <w:vAlign w:val="bottom"/>
            <w:gridSpan w:val="4"/>
            <w:vMerge w:val="restart"/>
          </w:tcPr>
          <w:p>
            <w:pPr>
              <w:jc w:val="center"/>
              <w:spacing w:after="0"/>
              <w:rPr>
                <w:sz w:val="20"/>
                <w:szCs w:val="20"/>
                <w:color w:val="auto"/>
              </w:rPr>
            </w:pPr>
            <w:r>
              <w:rPr>
                <w:rFonts w:ascii="Arial" w:cs="Arial" w:eastAsia="Arial" w:hAnsi="Arial"/>
                <w:sz w:val="14"/>
                <w:szCs w:val="14"/>
                <w:color w:val="auto"/>
              </w:rPr>
              <w:t>Other income, net</w:t>
            </w:r>
          </w:p>
        </w:tc>
        <w:tc>
          <w:tcPr>
            <w:tcW w:w="140" w:type="dxa"/>
            <w:vAlign w:val="bottom"/>
          </w:tcPr>
          <w:p>
            <w:pPr>
              <w:spacing w:after="0"/>
              <w:rPr>
                <w:sz w:val="12"/>
                <w:szCs w:val="12"/>
                <w:color w:val="auto"/>
              </w:rPr>
            </w:pPr>
          </w:p>
        </w:tc>
        <w:tc>
          <w:tcPr>
            <w:tcW w:w="140" w:type="dxa"/>
            <w:vAlign w:val="bottom"/>
            <w:vMerge w:val="restart"/>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right w:val="single" w:sz="8" w:color="E0E3F1"/>
            </w:tcBorders>
            <w:shd w:val="clear" w:color="auto" w:fill="E0E3F1"/>
          </w:tcPr>
          <w:p>
            <w:pPr>
              <w:spacing w:after="0"/>
              <w:rPr>
                <w:sz w:val="12"/>
                <w:szCs w:val="12"/>
                <w:color w:val="auto"/>
              </w:rPr>
            </w:pPr>
          </w:p>
        </w:tc>
        <w:tc>
          <w:tcPr>
            <w:tcW w:w="380" w:type="dxa"/>
            <w:vAlign w:val="bottom"/>
            <w:tcBorders>
              <w:right w:val="single" w:sz="8" w:color="E0E3F1"/>
            </w:tcBorders>
            <w:vMerge w:val="restart"/>
            <w:shd w:val="clear" w:color="auto" w:fill="E0E3F1"/>
          </w:tcPr>
          <w:p>
            <w:pPr>
              <w:jc w:val="right"/>
              <w:ind w:right="8"/>
              <w:spacing w:after="0"/>
              <w:rPr>
                <w:sz w:val="20"/>
                <w:szCs w:val="20"/>
                <w:color w:val="auto"/>
              </w:rPr>
            </w:pPr>
            <w:r>
              <w:rPr>
                <w:rFonts w:ascii="Arial" w:cs="Arial" w:eastAsia="Arial" w:hAnsi="Arial"/>
                <w:sz w:val="14"/>
                <w:szCs w:val="14"/>
                <w:color w:val="auto"/>
              </w:rPr>
              <w:t>7.6</w:t>
            </w:r>
          </w:p>
        </w:tc>
        <w:tc>
          <w:tcPr>
            <w:tcW w:w="360" w:type="dxa"/>
            <w:vAlign w:val="bottom"/>
            <w:vMerge w:val="restart"/>
          </w:tcPr>
          <w:p>
            <w:pPr>
              <w:jc w:val="right"/>
              <w:ind w:right="208"/>
              <w:spacing w:after="0"/>
              <w:rPr>
                <w:sz w:val="20"/>
                <w:szCs w:val="20"/>
                <w:color w:val="auto"/>
              </w:rPr>
            </w:pPr>
            <w:r>
              <w:rPr>
                <w:rFonts w:ascii="Arial" w:cs="Arial" w:eastAsia="Arial" w:hAnsi="Arial"/>
                <w:sz w:val="14"/>
                <w:szCs w:val="14"/>
                <w:color w:val="auto"/>
                <w:w w:val="76"/>
              </w:rPr>
              <w:t>$</w:t>
            </w:r>
          </w:p>
        </w:tc>
        <w:tc>
          <w:tcPr>
            <w:tcW w:w="54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4.0</w:t>
            </w:r>
          </w:p>
        </w:tc>
        <w:tc>
          <w:tcPr>
            <w:tcW w:w="1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15.6</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50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contracts</w:t>
            </w:r>
          </w:p>
        </w:tc>
        <w:tc>
          <w:tcPr>
            <w:tcW w:w="1440" w:type="dxa"/>
            <w:vAlign w:val="bottom"/>
            <w:tcBorders>
              <w:bottom w:val="single" w:sz="8" w:color="00539B"/>
            </w:tcBorders>
            <w:vMerge w:val="continue"/>
          </w:tcPr>
          <w:p>
            <w:pPr>
              <w:spacing w:after="0"/>
              <w:rPr>
                <w:sz w:val="16"/>
                <w:szCs w:val="16"/>
                <w:color w:val="auto"/>
              </w:rPr>
            </w:pPr>
          </w:p>
        </w:tc>
        <w:tc>
          <w:tcPr>
            <w:tcW w:w="200" w:type="dxa"/>
            <w:vAlign w:val="bottom"/>
            <w:tcBorders>
              <w:bottom w:val="single" w:sz="8" w:color="00539B"/>
            </w:tcBorders>
            <w:vMerge w:val="continue"/>
            <w:shd w:val="clear" w:color="auto" w:fill="E0E3F1"/>
          </w:tcPr>
          <w:p>
            <w:pPr>
              <w:spacing w:after="0"/>
              <w:rPr>
                <w:sz w:val="16"/>
                <w:szCs w:val="16"/>
                <w:color w:val="auto"/>
              </w:rPr>
            </w:pPr>
          </w:p>
        </w:tc>
        <w:tc>
          <w:tcPr>
            <w:tcW w:w="700" w:type="dxa"/>
            <w:vAlign w:val="bottom"/>
            <w:tcBorders>
              <w:bottom w:val="single" w:sz="8" w:color="00539B"/>
            </w:tcBorders>
            <w:vMerge w:val="continue"/>
            <w:shd w:val="clear" w:color="auto" w:fill="E0E3F1"/>
          </w:tcPr>
          <w:p>
            <w:pPr>
              <w:spacing w:after="0"/>
              <w:rPr>
                <w:sz w:val="16"/>
                <w:szCs w:val="16"/>
                <w:color w:val="auto"/>
              </w:rPr>
            </w:pPr>
          </w:p>
        </w:tc>
        <w:tc>
          <w:tcPr>
            <w:tcW w:w="180" w:type="dxa"/>
            <w:vAlign w:val="bottom"/>
            <w:tcBorders>
              <w:bottom w:val="single" w:sz="8" w:color="00539B"/>
            </w:tcBorders>
            <w:vMerge w:val="continue"/>
          </w:tcPr>
          <w:p>
            <w:pPr>
              <w:spacing w:after="0"/>
              <w:rPr>
                <w:sz w:val="16"/>
                <w:szCs w:val="16"/>
                <w:color w:val="auto"/>
              </w:rPr>
            </w:pPr>
          </w:p>
        </w:tc>
        <w:tc>
          <w:tcPr>
            <w:tcW w:w="700" w:type="dxa"/>
            <w:vAlign w:val="bottom"/>
            <w:tcBorders>
              <w:bottom w:val="single" w:sz="8" w:color="00539B"/>
            </w:tcBorders>
            <w:vMerge w:val="continue"/>
          </w:tcPr>
          <w:p>
            <w:pPr>
              <w:spacing w:after="0"/>
              <w:rPr>
                <w:sz w:val="16"/>
                <w:szCs w:val="16"/>
                <w:color w:val="auto"/>
              </w:rPr>
            </w:pPr>
          </w:p>
        </w:tc>
        <w:tc>
          <w:tcPr>
            <w:tcW w:w="400" w:type="dxa"/>
            <w:vAlign w:val="bottom"/>
            <w:tcBorders>
              <w:bottom w:val="single" w:sz="8" w:color="00539B"/>
            </w:tcBorders>
            <w:vMerge w:val="continue"/>
          </w:tcPr>
          <w:p>
            <w:pPr>
              <w:spacing w:after="0"/>
              <w:rPr>
                <w:sz w:val="16"/>
                <w:szCs w:val="16"/>
                <w:color w:val="auto"/>
              </w:rPr>
            </w:pPr>
          </w:p>
        </w:tc>
        <w:tc>
          <w:tcPr>
            <w:tcW w:w="1840" w:type="dxa"/>
            <w:vAlign w:val="bottom"/>
            <w:tcBorders>
              <w:bottom w:val="single" w:sz="8" w:color="00539B"/>
            </w:tcBorders>
            <w:gridSpan w:val="5"/>
            <w:vMerge w:val="continue"/>
          </w:tcPr>
          <w:p>
            <w:pPr>
              <w:spacing w:after="0"/>
              <w:rPr>
                <w:sz w:val="16"/>
                <w:szCs w:val="16"/>
                <w:color w:val="auto"/>
              </w:rPr>
            </w:pPr>
          </w:p>
        </w:tc>
        <w:tc>
          <w:tcPr>
            <w:tcW w:w="1420" w:type="dxa"/>
            <w:vAlign w:val="bottom"/>
            <w:tcBorders>
              <w:bottom w:val="single" w:sz="8" w:color="00539B"/>
            </w:tcBorders>
            <w:gridSpan w:val="4"/>
            <w:vMerge w:val="continue"/>
          </w:tcPr>
          <w:p>
            <w:pPr>
              <w:spacing w:after="0"/>
              <w:rPr>
                <w:sz w:val="16"/>
                <w:szCs w:val="16"/>
                <w:color w:val="auto"/>
              </w:rPr>
            </w:pPr>
          </w:p>
        </w:tc>
        <w:tc>
          <w:tcPr>
            <w:tcW w:w="140" w:type="dxa"/>
            <w:vAlign w:val="bottom"/>
            <w:tcBorders>
              <w:bottom w:val="single" w:sz="8" w:color="00539B"/>
            </w:tcBorders>
          </w:tcPr>
          <w:p>
            <w:pPr>
              <w:spacing w:after="0"/>
              <w:rPr>
                <w:sz w:val="16"/>
                <w:szCs w:val="16"/>
                <w:color w:val="auto"/>
              </w:rPr>
            </w:pPr>
          </w:p>
        </w:tc>
        <w:tc>
          <w:tcPr>
            <w:tcW w:w="140" w:type="dxa"/>
            <w:vAlign w:val="bottom"/>
            <w:tcBorders>
              <w:bottom w:val="single" w:sz="8" w:color="00539B"/>
            </w:tcBorders>
            <w:vMerge w:val="continue"/>
            <w:shd w:val="clear" w:color="auto" w:fill="E0E3F1"/>
          </w:tcPr>
          <w:p>
            <w:pPr>
              <w:spacing w:after="0"/>
              <w:rPr>
                <w:sz w:val="16"/>
                <w:szCs w:val="16"/>
                <w:color w:val="auto"/>
              </w:rPr>
            </w:pPr>
          </w:p>
        </w:tc>
        <w:tc>
          <w:tcPr>
            <w:tcW w:w="360" w:type="dxa"/>
            <w:vAlign w:val="bottom"/>
            <w:tcBorders>
              <w:bottom w:val="single" w:sz="8" w:color="00539B"/>
              <w:right w:val="single" w:sz="8" w:color="E0E3F1"/>
            </w:tcBorders>
            <w:shd w:val="clear" w:color="auto" w:fill="E0E3F1"/>
          </w:tcPr>
          <w:p>
            <w:pPr>
              <w:spacing w:after="0"/>
              <w:rPr>
                <w:sz w:val="16"/>
                <w:szCs w:val="16"/>
                <w:color w:val="auto"/>
              </w:rPr>
            </w:pPr>
          </w:p>
        </w:tc>
        <w:tc>
          <w:tcPr>
            <w:tcW w:w="380" w:type="dxa"/>
            <w:vAlign w:val="bottom"/>
            <w:tcBorders>
              <w:bottom w:val="single" w:sz="8" w:color="00539B"/>
              <w:right w:val="single" w:sz="8" w:color="E0E3F1"/>
            </w:tcBorders>
            <w:vMerge w:val="continue"/>
            <w:shd w:val="clear" w:color="auto" w:fill="E0E3F1"/>
          </w:tcPr>
          <w:p>
            <w:pPr>
              <w:spacing w:after="0"/>
              <w:rPr>
                <w:sz w:val="16"/>
                <w:szCs w:val="16"/>
                <w:color w:val="auto"/>
              </w:rPr>
            </w:pPr>
          </w:p>
        </w:tc>
        <w:tc>
          <w:tcPr>
            <w:tcW w:w="360" w:type="dxa"/>
            <w:vAlign w:val="bottom"/>
            <w:tcBorders>
              <w:bottom w:val="single" w:sz="8" w:color="00539B"/>
            </w:tcBorders>
            <w:vMerge w:val="continue"/>
          </w:tcPr>
          <w:p>
            <w:pPr>
              <w:spacing w:after="0"/>
              <w:rPr>
                <w:sz w:val="16"/>
                <w:szCs w:val="16"/>
                <w:color w:val="auto"/>
              </w:rPr>
            </w:pPr>
          </w:p>
        </w:tc>
        <w:tc>
          <w:tcPr>
            <w:tcW w:w="540" w:type="dxa"/>
            <w:vAlign w:val="bottom"/>
            <w:tcBorders>
              <w:bottom w:val="single" w:sz="8" w:color="00539B"/>
            </w:tcBorders>
            <w:gridSpan w:val="2"/>
            <w:vMerge w:val="continue"/>
          </w:tcPr>
          <w:p>
            <w:pPr>
              <w:spacing w:after="0"/>
              <w:rPr>
                <w:sz w:val="16"/>
                <w:szCs w:val="16"/>
                <w:color w:val="auto"/>
              </w:rPr>
            </w:pPr>
          </w:p>
        </w:tc>
        <w:tc>
          <w:tcPr>
            <w:tcW w:w="160" w:type="dxa"/>
            <w:vAlign w:val="bottom"/>
            <w:tcBorders>
              <w:bottom w:val="single" w:sz="8" w:color="00539B"/>
            </w:tcBorders>
            <w:vMerge w:val="continue"/>
          </w:tcPr>
          <w:p>
            <w:pPr>
              <w:spacing w:after="0"/>
              <w:rPr>
                <w:sz w:val="16"/>
                <w:szCs w:val="16"/>
                <w:color w:val="auto"/>
              </w:rPr>
            </w:pPr>
          </w:p>
        </w:tc>
        <w:tc>
          <w:tcPr>
            <w:tcW w:w="740" w:type="dxa"/>
            <w:vAlign w:val="bottom"/>
            <w:tcBorders>
              <w:bottom w:val="single" w:sz="8" w:color="00539B"/>
            </w:tcBorders>
            <w:vMerge w:val="continue"/>
          </w:tcPr>
          <w:p>
            <w:pPr>
              <w:spacing w:after="0"/>
              <w:rPr>
                <w:sz w:val="16"/>
                <w:szCs w:val="16"/>
                <w:color w:val="auto"/>
              </w:rPr>
            </w:pPr>
          </w:p>
        </w:tc>
        <w:tc>
          <w:tcPr>
            <w:tcW w:w="20" w:type="dxa"/>
            <w:vAlign w:val="bottom"/>
            <w:tcBorders>
              <w:bottom w:val="single" w:sz="8" w:color="00539B"/>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3140" w:type="dxa"/>
            <w:vAlign w:val="bottom"/>
            <w:tcBorders>
              <w:bottom w:val="single" w:sz="8" w:color="00539B"/>
            </w:tcBorders>
            <w:gridSpan w:val="3"/>
          </w:tcPr>
          <w:p>
            <w:pPr>
              <w:ind w:left="20"/>
              <w:spacing w:after="0"/>
              <w:rPr>
                <w:sz w:val="20"/>
                <w:szCs w:val="20"/>
                <w:color w:val="auto"/>
              </w:rPr>
            </w:pPr>
            <w:r>
              <w:rPr>
                <w:rFonts w:ascii="Arial" w:cs="Arial" w:eastAsia="Arial" w:hAnsi="Arial"/>
                <w:sz w:val="14"/>
                <w:szCs w:val="14"/>
                <w:color w:val="auto"/>
              </w:rPr>
              <w:t>Cash flow hedges (millions)</w:t>
            </w:r>
          </w:p>
        </w:tc>
        <w:tc>
          <w:tcPr>
            <w:tcW w:w="700" w:type="dxa"/>
            <w:vAlign w:val="bottom"/>
            <w:tcBorders>
              <w:bottom w:val="single" w:sz="8" w:color="00539B"/>
            </w:tcBorders>
          </w:tcPr>
          <w:p>
            <w:pPr>
              <w:spacing w:after="0"/>
              <w:rPr>
                <w:sz w:val="24"/>
                <w:szCs w:val="24"/>
                <w:color w:val="auto"/>
              </w:rPr>
            </w:pPr>
          </w:p>
        </w:tc>
        <w:tc>
          <w:tcPr>
            <w:tcW w:w="180" w:type="dxa"/>
            <w:vAlign w:val="bottom"/>
            <w:tcBorders>
              <w:bottom w:val="single" w:sz="8" w:color="00539B"/>
            </w:tcBorders>
          </w:tcPr>
          <w:p>
            <w:pPr>
              <w:spacing w:after="0"/>
              <w:rPr>
                <w:sz w:val="24"/>
                <w:szCs w:val="24"/>
                <w:color w:val="auto"/>
              </w:rPr>
            </w:pPr>
          </w:p>
        </w:tc>
        <w:tc>
          <w:tcPr>
            <w:tcW w:w="700" w:type="dxa"/>
            <w:vAlign w:val="bottom"/>
            <w:tcBorders>
              <w:bottom w:val="single" w:sz="8" w:color="00539B"/>
            </w:tcBorders>
          </w:tcPr>
          <w:p>
            <w:pPr>
              <w:spacing w:after="0"/>
              <w:rPr>
                <w:sz w:val="24"/>
                <w:szCs w:val="24"/>
                <w:color w:val="auto"/>
              </w:rPr>
            </w:pPr>
          </w:p>
        </w:tc>
        <w:tc>
          <w:tcPr>
            <w:tcW w:w="400" w:type="dxa"/>
            <w:vAlign w:val="bottom"/>
            <w:tcBorders>
              <w:bottom w:val="single" w:sz="8" w:color="00539B"/>
            </w:tcBorders>
          </w:tcPr>
          <w:p>
            <w:pPr>
              <w:spacing w:after="0"/>
              <w:rPr>
                <w:sz w:val="24"/>
                <w:szCs w:val="24"/>
                <w:color w:val="auto"/>
              </w:rPr>
            </w:pPr>
          </w:p>
        </w:tc>
        <w:tc>
          <w:tcPr>
            <w:tcW w:w="300" w:type="dxa"/>
            <w:vAlign w:val="bottom"/>
            <w:tcBorders>
              <w:bottom w:val="single" w:sz="8" w:color="00539B"/>
            </w:tcBorders>
          </w:tcPr>
          <w:p>
            <w:pPr>
              <w:spacing w:after="0"/>
              <w:rPr>
                <w:sz w:val="24"/>
                <w:szCs w:val="24"/>
                <w:color w:val="auto"/>
              </w:rPr>
            </w:pPr>
          </w:p>
        </w:tc>
        <w:tc>
          <w:tcPr>
            <w:tcW w:w="160" w:type="dxa"/>
            <w:vAlign w:val="bottom"/>
            <w:tcBorders>
              <w:bottom w:val="single" w:sz="8" w:color="00539B"/>
            </w:tcBorders>
          </w:tcPr>
          <w:p>
            <w:pPr>
              <w:spacing w:after="0"/>
              <w:rPr>
                <w:sz w:val="24"/>
                <w:szCs w:val="24"/>
                <w:color w:val="auto"/>
              </w:rPr>
            </w:pPr>
          </w:p>
        </w:tc>
        <w:tc>
          <w:tcPr>
            <w:tcW w:w="300" w:type="dxa"/>
            <w:vAlign w:val="bottom"/>
            <w:tcBorders>
              <w:bottom w:val="single" w:sz="8" w:color="00539B"/>
            </w:tcBorders>
          </w:tcPr>
          <w:p>
            <w:pPr>
              <w:spacing w:after="0"/>
              <w:rPr>
                <w:sz w:val="24"/>
                <w:szCs w:val="24"/>
                <w:color w:val="auto"/>
              </w:rPr>
            </w:pPr>
          </w:p>
        </w:tc>
        <w:tc>
          <w:tcPr>
            <w:tcW w:w="360" w:type="dxa"/>
            <w:vAlign w:val="bottom"/>
            <w:tcBorders>
              <w:bottom w:val="single" w:sz="8" w:color="00539B"/>
            </w:tcBorders>
          </w:tcPr>
          <w:p>
            <w:pPr>
              <w:spacing w:after="0"/>
              <w:rPr>
                <w:sz w:val="24"/>
                <w:szCs w:val="24"/>
                <w:color w:val="auto"/>
              </w:rPr>
            </w:pPr>
          </w:p>
        </w:tc>
        <w:tc>
          <w:tcPr>
            <w:tcW w:w="720" w:type="dxa"/>
            <w:vAlign w:val="bottom"/>
            <w:tcBorders>
              <w:bottom w:val="single" w:sz="8" w:color="00539B"/>
            </w:tcBorders>
          </w:tcPr>
          <w:p>
            <w:pPr>
              <w:spacing w:after="0"/>
              <w:rPr>
                <w:sz w:val="24"/>
                <w:szCs w:val="24"/>
                <w:color w:val="auto"/>
              </w:rPr>
            </w:pPr>
          </w:p>
        </w:tc>
        <w:tc>
          <w:tcPr>
            <w:tcW w:w="260" w:type="dxa"/>
            <w:vAlign w:val="bottom"/>
            <w:tcBorders>
              <w:bottom w:val="single" w:sz="8" w:color="00539B"/>
            </w:tcBorders>
          </w:tcPr>
          <w:p>
            <w:pPr>
              <w:spacing w:after="0"/>
              <w:rPr>
                <w:sz w:val="24"/>
                <w:szCs w:val="24"/>
                <w:color w:val="auto"/>
              </w:rPr>
            </w:pPr>
          </w:p>
        </w:tc>
        <w:tc>
          <w:tcPr>
            <w:tcW w:w="700" w:type="dxa"/>
            <w:vAlign w:val="bottom"/>
            <w:tcBorders>
              <w:bottom w:val="single" w:sz="8" w:color="00539B"/>
            </w:tcBorders>
          </w:tcPr>
          <w:p>
            <w:pPr>
              <w:spacing w:after="0"/>
              <w:rPr>
                <w:sz w:val="24"/>
                <w:szCs w:val="24"/>
                <w:color w:val="auto"/>
              </w:rPr>
            </w:pPr>
          </w:p>
        </w:tc>
        <w:tc>
          <w:tcPr>
            <w:tcW w:w="440" w:type="dxa"/>
            <w:vAlign w:val="bottom"/>
            <w:tcBorders>
              <w:bottom w:val="single" w:sz="8" w:color="00539B"/>
            </w:tcBorders>
          </w:tcPr>
          <w:p>
            <w:pPr>
              <w:spacing w:after="0"/>
              <w:rPr>
                <w:sz w:val="24"/>
                <w:szCs w:val="24"/>
                <w:color w:val="auto"/>
              </w:rPr>
            </w:pPr>
          </w:p>
        </w:tc>
        <w:tc>
          <w:tcPr>
            <w:tcW w:w="20" w:type="dxa"/>
            <w:vAlign w:val="bottom"/>
            <w:tcBorders>
              <w:bottom w:val="single" w:sz="8" w:color="00539B"/>
            </w:tcBorders>
          </w:tcPr>
          <w:p>
            <w:pPr>
              <w:spacing w:after="0"/>
              <w:rPr>
                <w:sz w:val="24"/>
                <w:szCs w:val="24"/>
                <w:color w:val="auto"/>
              </w:rPr>
            </w:pPr>
          </w:p>
        </w:tc>
        <w:tc>
          <w:tcPr>
            <w:tcW w:w="140" w:type="dxa"/>
            <w:vAlign w:val="bottom"/>
            <w:tcBorders>
              <w:bottom w:val="single" w:sz="8" w:color="00539B"/>
            </w:tcBorders>
          </w:tcPr>
          <w:p>
            <w:pPr>
              <w:spacing w:after="0"/>
              <w:rPr>
                <w:sz w:val="24"/>
                <w:szCs w:val="24"/>
                <w:color w:val="auto"/>
              </w:rPr>
            </w:pPr>
          </w:p>
        </w:tc>
        <w:tc>
          <w:tcPr>
            <w:tcW w:w="140" w:type="dxa"/>
            <w:vAlign w:val="bottom"/>
            <w:tcBorders>
              <w:bottom w:val="single" w:sz="8" w:color="00539B"/>
            </w:tcBorders>
          </w:tcPr>
          <w:p>
            <w:pPr>
              <w:spacing w:after="0"/>
              <w:rPr>
                <w:sz w:val="24"/>
                <w:szCs w:val="24"/>
                <w:color w:val="auto"/>
              </w:rPr>
            </w:pPr>
          </w:p>
        </w:tc>
        <w:tc>
          <w:tcPr>
            <w:tcW w:w="360" w:type="dxa"/>
            <w:vAlign w:val="bottom"/>
            <w:tcBorders>
              <w:bottom w:val="single" w:sz="8" w:color="00539B"/>
            </w:tcBorders>
          </w:tcPr>
          <w:p>
            <w:pPr>
              <w:spacing w:after="0"/>
              <w:rPr>
                <w:sz w:val="24"/>
                <w:szCs w:val="24"/>
                <w:color w:val="auto"/>
              </w:rPr>
            </w:pPr>
          </w:p>
        </w:tc>
        <w:tc>
          <w:tcPr>
            <w:tcW w:w="380" w:type="dxa"/>
            <w:vAlign w:val="bottom"/>
            <w:tcBorders>
              <w:bottom w:val="single" w:sz="8" w:color="00539B"/>
            </w:tcBorders>
          </w:tcPr>
          <w:p>
            <w:pPr>
              <w:spacing w:after="0"/>
              <w:rPr>
                <w:sz w:val="24"/>
                <w:szCs w:val="24"/>
                <w:color w:val="auto"/>
              </w:rPr>
            </w:pPr>
          </w:p>
        </w:tc>
        <w:tc>
          <w:tcPr>
            <w:tcW w:w="360" w:type="dxa"/>
            <w:vAlign w:val="bottom"/>
            <w:tcBorders>
              <w:bottom w:val="single" w:sz="8" w:color="00539B"/>
            </w:tcBorders>
          </w:tcPr>
          <w:p>
            <w:pPr>
              <w:spacing w:after="0"/>
              <w:rPr>
                <w:sz w:val="24"/>
                <w:szCs w:val="24"/>
                <w:color w:val="auto"/>
              </w:rPr>
            </w:pPr>
          </w:p>
        </w:tc>
        <w:tc>
          <w:tcPr>
            <w:tcW w:w="360" w:type="dxa"/>
            <w:vAlign w:val="bottom"/>
            <w:tcBorders>
              <w:bottom w:val="single" w:sz="8" w:color="00539B"/>
            </w:tcBorders>
          </w:tcPr>
          <w:p>
            <w:pPr>
              <w:spacing w:after="0"/>
              <w:rPr>
                <w:sz w:val="24"/>
                <w:szCs w:val="24"/>
                <w:color w:val="auto"/>
              </w:rPr>
            </w:pPr>
          </w:p>
        </w:tc>
        <w:tc>
          <w:tcPr>
            <w:tcW w:w="180" w:type="dxa"/>
            <w:vAlign w:val="bottom"/>
            <w:tcBorders>
              <w:bottom w:val="single" w:sz="8" w:color="00539B"/>
            </w:tcBorders>
          </w:tcPr>
          <w:p>
            <w:pPr>
              <w:spacing w:after="0"/>
              <w:rPr>
                <w:sz w:val="24"/>
                <w:szCs w:val="24"/>
                <w:color w:val="auto"/>
              </w:rPr>
            </w:pPr>
          </w:p>
        </w:tc>
        <w:tc>
          <w:tcPr>
            <w:tcW w:w="160" w:type="dxa"/>
            <w:vAlign w:val="bottom"/>
            <w:tcBorders>
              <w:bottom w:val="single" w:sz="8" w:color="00539B"/>
            </w:tcBorders>
          </w:tcPr>
          <w:p>
            <w:pPr>
              <w:spacing w:after="0"/>
              <w:rPr>
                <w:sz w:val="24"/>
                <w:szCs w:val="24"/>
                <w:color w:val="auto"/>
              </w:rPr>
            </w:pPr>
          </w:p>
        </w:tc>
        <w:tc>
          <w:tcPr>
            <w:tcW w:w="740" w:type="dxa"/>
            <w:vAlign w:val="bottom"/>
            <w:tcBorders>
              <w:bottom w:val="single" w:sz="8" w:color="00539B"/>
            </w:tcBorders>
          </w:tcPr>
          <w:p>
            <w:pPr>
              <w:spacing w:after="0"/>
              <w:rPr>
                <w:sz w:val="24"/>
                <w:szCs w:val="24"/>
                <w:color w:val="auto"/>
              </w:rPr>
            </w:pPr>
          </w:p>
        </w:tc>
        <w:tc>
          <w:tcPr>
            <w:tcW w:w="20" w:type="dxa"/>
            <w:vAlign w:val="bottom"/>
            <w:tcBorders>
              <w:bottom w:val="single" w:sz="8" w:color="00539B"/>
            </w:tcBorders>
          </w:tcPr>
          <w:p>
            <w:pPr>
              <w:spacing w:after="0"/>
              <w:rPr>
                <w:sz w:val="24"/>
                <w:szCs w:val="24"/>
                <w:color w:val="auto"/>
              </w:rPr>
            </w:pPr>
          </w:p>
        </w:tc>
        <w:tc>
          <w:tcPr>
            <w:tcW w:w="20" w:type="dxa"/>
            <w:vAlign w:val="bottom"/>
            <w:tcBorders>
              <w:bottom w:val="single" w:sz="8" w:color="00539B"/>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5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center"/>
              <w:ind w:left="328"/>
              <w:spacing w:after="0"/>
              <w:rPr>
                <w:sz w:val="20"/>
                <w:szCs w:val="20"/>
                <w:color w:val="auto"/>
              </w:rPr>
            </w:pPr>
            <w:r>
              <w:rPr>
                <w:rFonts w:ascii="Arial" w:cs="Arial" w:eastAsia="Arial" w:hAnsi="Arial"/>
                <w:sz w:val="14"/>
                <w:szCs w:val="14"/>
                <w:color w:val="auto"/>
              </w:rPr>
              <w:t>Loss</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gridSpan w:val="3"/>
          </w:tcPr>
          <w:p>
            <w:pPr>
              <w:jc w:val="center"/>
              <w:spacing w:after="0"/>
              <w:rPr>
                <w:sz w:val="20"/>
                <w:szCs w:val="20"/>
                <w:color w:val="auto"/>
              </w:rPr>
            </w:pPr>
            <w:r>
              <w:rPr>
                <w:rFonts w:ascii="Arial" w:cs="Arial" w:eastAsia="Arial" w:hAnsi="Arial"/>
                <w:sz w:val="14"/>
                <w:szCs w:val="14"/>
                <w:color w:val="auto"/>
              </w:rPr>
              <w:t>Gain (loss)</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0" w:type="dxa"/>
            <w:vAlign w:val="bottom"/>
            <w:tcBorders>
              <w:bottom w:val="single" w:sz="8" w:color="00539B"/>
            </w:tcBorders>
          </w:tcPr>
          <w:p>
            <w:pPr>
              <w:spacing w:after="0"/>
              <w:rPr>
                <w:sz w:val="19"/>
                <w:szCs w:val="19"/>
                <w:color w:val="auto"/>
              </w:rPr>
            </w:pPr>
          </w:p>
        </w:tc>
        <w:tc>
          <w:tcPr>
            <w:tcW w:w="700" w:type="dxa"/>
            <w:vAlign w:val="bottom"/>
            <w:tcBorders>
              <w:bottom w:val="single" w:sz="8" w:color="00539B"/>
            </w:tcBorders>
          </w:tcPr>
          <w:p>
            <w:pPr>
              <w:spacing w:after="0"/>
              <w:rPr>
                <w:sz w:val="19"/>
                <w:szCs w:val="19"/>
                <w:color w:val="auto"/>
              </w:rPr>
            </w:pPr>
          </w:p>
        </w:tc>
        <w:tc>
          <w:tcPr>
            <w:tcW w:w="180" w:type="dxa"/>
            <w:vAlign w:val="bottom"/>
            <w:tcBorders>
              <w:bottom w:val="single" w:sz="8" w:color="00539B"/>
            </w:tcBorders>
          </w:tcPr>
          <w:p>
            <w:pPr>
              <w:spacing w:after="0"/>
              <w:rPr>
                <w:sz w:val="19"/>
                <w:szCs w:val="19"/>
                <w:color w:val="auto"/>
              </w:rPr>
            </w:pPr>
          </w:p>
        </w:tc>
        <w:tc>
          <w:tcPr>
            <w:tcW w:w="1400" w:type="dxa"/>
            <w:vAlign w:val="bottom"/>
            <w:tcBorders>
              <w:bottom w:val="single" w:sz="8" w:color="00539B"/>
            </w:tcBorders>
            <w:gridSpan w:val="3"/>
          </w:tcPr>
          <w:p>
            <w:pPr>
              <w:jc w:val="center"/>
              <w:ind w:right="208"/>
              <w:spacing w:after="0"/>
              <w:rPr>
                <w:sz w:val="20"/>
                <w:szCs w:val="20"/>
                <w:color w:val="auto"/>
              </w:rPr>
            </w:pPr>
            <w:r>
              <w:rPr>
                <w:rFonts w:ascii="Arial" w:cs="Arial" w:eastAsia="Arial" w:hAnsi="Arial"/>
                <w:sz w:val="14"/>
                <w:szCs w:val="14"/>
                <w:color w:val="auto"/>
                <w:w w:val="99"/>
              </w:rPr>
              <w:t>recognized in OCI</w:t>
            </w:r>
          </w:p>
        </w:tc>
        <w:tc>
          <w:tcPr>
            <w:tcW w:w="160" w:type="dxa"/>
            <w:vAlign w:val="bottom"/>
            <w:tcBorders>
              <w:bottom w:val="single" w:sz="8" w:color="00539B"/>
            </w:tcBorders>
          </w:tcPr>
          <w:p>
            <w:pPr>
              <w:spacing w:after="0"/>
              <w:rPr>
                <w:sz w:val="19"/>
                <w:szCs w:val="19"/>
                <w:color w:val="auto"/>
              </w:rPr>
            </w:pPr>
          </w:p>
        </w:tc>
        <w:tc>
          <w:tcPr>
            <w:tcW w:w="300" w:type="dxa"/>
            <w:vAlign w:val="bottom"/>
            <w:tcBorders>
              <w:bottom w:val="single" w:sz="8" w:color="00539B"/>
            </w:tcBorders>
          </w:tcPr>
          <w:p>
            <w:pPr>
              <w:spacing w:after="0"/>
              <w:rPr>
                <w:sz w:val="19"/>
                <w:szCs w:val="19"/>
                <w:color w:val="auto"/>
              </w:rPr>
            </w:pPr>
          </w:p>
        </w:tc>
        <w:tc>
          <w:tcPr>
            <w:tcW w:w="360" w:type="dxa"/>
            <w:vAlign w:val="bottom"/>
            <w:tcBorders>
              <w:bottom w:val="single" w:sz="8" w:color="00539B"/>
            </w:tcBorders>
          </w:tcPr>
          <w:p>
            <w:pPr>
              <w:spacing w:after="0"/>
              <w:rPr>
                <w:sz w:val="19"/>
                <w:szCs w:val="19"/>
                <w:color w:val="auto"/>
              </w:rPr>
            </w:pPr>
          </w:p>
        </w:tc>
        <w:tc>
          <w:tcPr>
            <w:tcW w:w="1680" w:type="dxa"/>
            <w:vAlign w:val="bottom"/>
            <w:gridSpan w:val="3"/>
          </w:tcPr>
          <w:p>
            <w:pPr>
              <w:ind w:left="260"/>
              <w:spacing w:after="0"/>
              <w:rPr>
                <w:sz w:val="20"/>
                <w:szCs w:val="20"/>
                <w:color w:val="auto"/>
              </w:rPr>
            </w:pPr>
            <w:r>
              <w:rPr>
                <w:rFonts w:ascii="Arial" w:cs="Arial" w:eastAsia="Arial" w:hAnsi="Arial"/>
                <w:sz w:val="14"/>
                <w:szCs w:val="14"/>
                <w:color w:val="auto"/>
              </w:rPr>
              <w:t>Income statement</w:t>
            </w:r>
          </w:p>
        </w:tc>
        <w:tc>
          <w:tcPr>
            <w:tcW w:w="440" w:type="dxa"/>
            <w:vAlign w:val="bottom"/>
            <w:tcBorders>
              <w:bottom w:val="single" w:sz="8" w:color="00539B"/>
            </w:tcBorders>
          </w:tcPr>
          <w:p>
            <w:pPr>
              <w:spacing w:after="0"/>
              <w:rPr>
                <w:sz w:val="19"/>
                <w:szCs w:val="19"/>
                <w:color w:val="auto"/>
              </w:rPr>
            </w:pPr>
          </w:p>
        </w:tc>
        <w:tc>
          <w:tcPr>
            <w:tcW w:w="20" w:type="dxa"/>
            <w:vAlign w:val="bottom"/>
            <w:tcBorders>
              <w:bottom w:val="single" w:sz="8" w:color="00539B"/>
            </w:tcBorders>
          </w:tcPr>
          <w:p>
            <w:pPr>
              <w:spacing w:after="0"/>
              <w:rPr>
                <w:sz w:val="19"/>
                <w:szCs w:val="19"/>
                <w:color w:val="auto"/>
              </w:rPr>
            </w:pPr>
          </w:p>
        </w:tc>
        <w:tc>
          <w:tcPr>
            <w:tcW w:w="140" w:type="dxa"/>
            <w:vAlign w:val="bottom"/>
            <w:tcBorders>
              <w:bottom w:val="single" w:sz="8" w:color="00539B"/>
            </w:tcBorders>
          </w:tcPr>
          <w:p>
            <w:pPr>
              <w:spacing w:after="0"/>
              <w:rPr>
                <w:sz w:val="19"/>
                <w:szCs w:val="19"/>
                <w:color w:val="auto"/>
              </w:rPr>
            </w:pPr>
          </w:p>
        </w:tc>
        <w:tc>
          <w:tcPr>
            <w:tcW w:w="140" w:type="dxa"/>
            <w:vAlign w:val="bottom"/>
            <w:tcBorders>
              <w:bottom w:val="single" w:sz="8" w:color="00539B"/>
            </w:tcBorders>
          </w:tcPr>
          <w:p>
            <w:pPr>
              <w:spacing w:after="0"/>
              <w:rPr>
                <w:sz w:val="19"/>
                <w:szCs w:val="19"/>
                <w:color w:val="auto"/>
              </w:rPr>
            </w:pPr>
          </w:p>
        </w:tc>
        <w:tc>
          <w:tcPr>
            <w:tcW w:w="1640" w:type="dxa"/>
            <w:vAlign w:val="bottom"/>
            <w:tcBorders>
              <w:bottom w:val="single" w:sz="8" w:color="00539B"/>
            </w:tcBorders>
            <w:gridSpan w:val="5"/>
          </w:tcPr>
          <w:p>
            <w:pPr>
              <w:jc w:val="center"/>
              <w:ind w:left="88"/>
              <w:spacing w:after="0"/>
              <w:rPr>
                <w:sz w:val="20"/>
                <w:szCs w:val="20"/>
                <w:color w:val="auto"/>
              </w:rPr>
            </w:pPr>
            <w:r>
              <w:rPr>
                <w:rFonts w:ascii="Arial" w:cs="Arial" w:eastAsia="Arial" w:hAnsi="Arial"/>
                <w:sz w:val="14"/>
                <w:szCs w:val="14"/>
                <w:color w:val="auto"/>
              </w:rPr>
              <w:t>reclassified from AOCI</w:t>
            </w:r>
          </w:p>
        </w:tc>
        <w:tc>
          <w:tcPr>
            <w:tcW w:w="160" w:type="dxa"/>
            <w:vAlign w:val="bottom"/>
            <w:tcBorders>
              <w:bottom w:val="single" w:sz="8" w:color="00539B"/>
            </w:tcBorders>
          </w:tcPr>
          <w:p>
            <w:pPr>
              <w:spacing w:after="0"/>
              <w:rPr>
                <w:sz w:val="19"/>
                <w:szCs w:val="19"/>
                <w:color w:val="auto"/>
              </w:rPr>
            </w:pPr>
          </w:p>
        </w:tc>
        <w:tc>
          <w:tcPr>
            <w:tcW w:w="740" w:type="dxa"/>
            <w:vAlign w:val="bottom"/>
            <w:tcBorders>
              <w:bottom w:val="single" w:sz="8" w:color="00539B"/>
            </w:tcBorders>
          </w:tcPr>
          <w:p>
            <w:pPr>
              <w:spacing w:after="0"/>
              <w:rPr>
                <w:sz w:val="19"/>
                <w:szCs w:val="19"/>
                <w:color w:val="auto"/>
              </w:rPr>
            </w:pPr>
          </w:p>
        </w:tc>
        <w:tc>
          <w:tcPr>
            <w:tcW w:w="20" w:type="dxa"/>
            <w:vAlign w:val="bottom"/>
            <w:tcBorders>
              <w:bottom w:val="single" w:sz="8" w:color="00539B"/>
            </w:tcBorders>
          </w:tcPr>
          <w:p>
            <w:pPr>
              <w:spacing w:after="0"/>
              <w:rPr>
                <w:sz w:val="19"/>
                <w:szCs w:val="19"/>
                <w:color w:val="auto"/>
              </w:rPr>
            </w:pPr>
          </w:p>
        </w:tc>
        <w:tc>
          <w:tcPr>
            <w:tcW w:w="20" w:type="dxa"/>
            <w:vAlign w:val="bottom"/>
            <w:tcBorders>
              <w:bottom w:val="single" w:sz="8" w:color="00539B"/>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50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Derivative</w:t>
            </w:r>
          </w:p>
        </w:tc>
        <w:tc>
          <w:tcPr>
            <w:tcW w:w="1440" w:type="dxa"/>
            <w:vAlign w:val="bottom"/>
            <w:tcBorders>
              <w:bottom w:val="single" w:sz="8" w:color="00539B"/>
              <w:right w:val="single" w:sz="8" w:color="E0E3F1"/>
            </w:tcBorders>
          </w:tcPr>
          <w:p>
            <w:pPr>
              <w:spacing w:after="0"/>
              <w:rPr>
                <w:sz w:val="17"/>
                <w:szCs w:val="17"/>
                <w:color w:val="auto"/>
              </w:rPr>
            </w:pPr>
          </w:p>
        </w:tc>
        <w:tc>
          <w:tcPr>
            <w:tcW w:w="200" w:type="dxa"/>
            <w:vAlign w:val="bottom"/>
            <w:tcBorders>
              <w:top w:val="single" w:sz="8" w:color="E0E3F1"/>
              <w:bottom w:val="single" w:sz="8" w:color="00539B"/>
            </w:tcBorders>
            <w:shd w:val="clear" w:color="auto" w:fill="E0E3F1"/>
          </w:tcPr>
          <w:p>
            <w:pPr>
              <w:spacing w:after="0"/>
              <w:rPr>
                <w:sz w:val="17"/>
                <w:szCs w:val="17"/>
                <w:color w:val="auto"/>
              </w:rPr>
            </w:pPr>
          </w:p>
        </w:tc>
        <w:tc>
          <w:tcPr>
            <w:tcW w:w="700" w:type="dxa"/>
            <w:vAlign w:val="bottom"/>
            <w:tcBorders>
              <w:top w:val="single" w:sz="8" w:color="E0E3F1"/>
              <w:bottom w:val="single" w:sz="8" w:color="00539B"/>
            </w:tcBorders>
            <w:shd w:val="clear" w:color="auto" w:fill="E0E3F1"/>
          </w:tcPr>
          <w:p>
            <w:pPr>
              <w:jc w:val="right"/>
              <w:ind w:right="148"/>
              <w:spacing w:after="0"/>
              <w:rPr>
                <w:sz w:val="20"/>
                <w:szCs w:val="20"/>
                <w:color w:val="auto"/>
              </w:rPr>
            </w:pPr>
            <w:r>
              <w:rPr>
                <w:rFonts w:ascii="Arial" w:cs="Arial" w:eastAsia="Arial" w:hAnsi="Arial"/>
                <w:sz w:val="14"/>
                <w:szCs w:val="14"/>
                <w:color w:val="auto"/>
              </w:rPr>
              <w:t>2025</w:t>
            </w:r>
          </w:p>
        </w:tc>
        <w:tc>
          <w:tcPr>
            <w:tcW w:w="180" w:type="dxa"/>
            <w:vAlign w:val="bottom"/>
            <w:tcBorders>
              <w:top w:val="single" w:sz="8" w:color="E0E3F1"/>
              <w:bottom w:val="single" w:sz="8" w:color="00539B"/>
              <w:right w:val="single" w:sz="8" w:color="E0E3F1"/>
            </w:tcBorders>
            <w:shd w:val="clear" w:color="auto" w:fill="E0E3F1"/>
          </w:tcPr>
          <w:p>
            <w:pPr>
              <w:spacing w:after="0"/>
              <w:rPr>
                <w:sz w:val="17"/>
                <w:szCs w:val="17"/>
                <w:color w:val="auto"/>
              </w:rPr>
            </w:pPr>
          </w:p>
        </w:tc>
        <w:tc>
          <w:tcPr>
            <w:tcW w:w="1100" w:type="dxa"/>
            <w:vAlign w:val="bottom"/>
            <w:tcBorders>
              <w:bottom w:val="single" w:sz="8" w:color="00539B"/>
            </w:tcBorders>
            <w:gridSpan w:val="2"/>
          </w:tcPr>
          <w:p>
            <w:pPr>
              <w:jc w:val="center"/>
              <w:spacing w:after="0"/>
              <w:rPr>
                <w:sz w:val="20"/>
                <w:szCs w:val="20"/>
                <w:color w:val="auto"/>
              </w:rPr>
            </w:pPr>
            <w:r>
              <w:rPr>
                <w:rFonts w:ascii="Arial" w:cs="Arial" w:eastAsia="Arial" w:hAnsi="Arial"/>
                <w:sz w:val="14"/>
                <w:szCs w:val="14"/>
                <w:color w:val="auto"/>
              </w:rPr>
              <w:t>2024</w:t>
            </w:r>
          </w:p>
        </w:tc>
        <w:tc>
          <w:tcPr>
            <w:tcW w:w="300" w:type="dxa"/>
            <w:vAlign w:val="bottom"/>
            <w:tcBorders>
              <w:bottom w:val="single" w:sz="8" w:color="00539B"/>
            </w:tcBorders>
          </w:tcPr>
          <w:p>
            <w:pPr>
              <w:spacing w:after="0"/>
              <w:rPr>
                <w:sz w:val="17"/>
                <w:szCs w:val="17"/>
                <w:color w:val="auto"/>
              </w:rPr>
            </w:pPr>
          </w:p>
        </w:tc>
        <w:tc>
          <w:tcPr>
            <w:tcW w:w="460" w:type="dxa"/>
            <w:vAlign w:val="bottom"/>
            <w:tcBorders>
              <w:bottom w:val="single" w:sz="8" w:color="00539B"/>
            </w:tcBorders>
            <w:gridSpan w:val="2"/>
          </w:tcPr>
          <w:p>
            <w:pPr>
              <w:jc w:val="right"/>
              <w:spacing w:after="0"/>
              <w:rPr>
                <w:sz w:val="20"/>
                <w:szCs w:val="20"/>
                <w:color w:val="auto"/>
              </w:rPr>
            </w:pPr>
            <w:r>
              <w:rPr>
                <w:rFonts w:ascii="Arial" w:cs="Arial" w:eastAsia="Arial" w:hAnsi="Arial"/>
                <w:sz w:val="14"/>
                <w:szCs w:val="14"/>
                <w:color w:val="auto"/>
              </w:rPr>
              <w:t>2023</w:t>
            </w:r>
          </w:p>
        </w:tc>
        <w:tc>
          <w:tcPr>
            <w:tcW w:w="360" w:type="dxa"/>
            <w:vAlign w:val="bottom"/>
            <w:tcBorders>
              <w:bottom w:val="single" w:sz="8" w:color="00539B"/>
            </w:tcBorders>
          </w:tcPr>
          <w:p>
            <w:pPr>
              <w:spacing w:after="0"/>
              <w:rPr>
                <w:sz w:val="17"/>
                <w:szCs w:val="17"/>
                <w:color w:val="auto"/>
              </w:rPr>
            </w:pPr>
          </w:p>
        </w:tc>
        <w:tc>
          <w:tcPr>
            <w:tcW w:w="980" w:type="dxa"/>
            <w:vAlign w:val="bottom"/>
            <w:tcBorders>
              <w:bottom w:val="single" w:sz="8" w:color="00539B"/>
            </w:tcBorders>
            <w:gridSpan w:val="2"/>
          </w:tcPr>
          <w:p>
            <w:pPr>
              <w:ind w:left="460"/>
              <w:spacing w:after="0"/>
              <w:rPr>
                <w:sz w:val="20"/>
                <w:szCs w:val="20"/>
                <w:color w:val="auto"/>
              </w:rPr>
            </w:pPr>
            <w:r>
              <w:rPr>
                <w:rFonts w:ascii="Arial" w:cs="Arial" w:eastAsia="Arial" w:hAnsi="Arial"/>
                <w:sz w:val="14"/>
                <w:szCs w:val="14"/>
                <w:color w:val="auto"/>
              </w:rPr>
              <w:t>location</w:t>
            </w:r>
          </w:p>
        </w:tc>
        <w:tc>
          <w:tcPr>
            <w:tcW w:w="700" w:type="dxa"/>
            <w:vAlign w:val="bottom"/>
            <w:tcBorders>
              <w:bottom w:val="single" w:sz="8" w:color="00539B"/>
            </w:tcBorders>
          </w:tcPr>
          <w:p>
            <w:pPr>
              <w:spacing w:after="0"/>
              <w:rPr>
                <w:sz w:val="17"/>
                <w:szCs w:val="17"/>
                <w:color w:val="auto"/>
              </w:rPr>
            </w:pPr>
          </w:p>
        </w:tc>
        <w:tc>
          <w:tcPr>
            <w:tcW w:w="740" w:type="dxa"/>
            <w:vAlign w:val="bottom"/>
            <w:tcBorders>
              <w:top w:val="single" w:sz="8" w:color="E0E3F1"/>
              <w:bottom w:val="single" w:sz="8" w:color="00539B"/>
            </w:tcBorders>
            <w:gridSpan w:val="4"/>
            <w:shd w:val="clear" w:color="auto" w:fill="E0E3F1"/>
          </w:tcPr>
          <w:p>
            <w:pPr>
              <w:jc w:val="right"/>
              <w:spacing w:after="0"/>
              <w:rPr>
                <w:sz w:val="20"/>
                <w:szCs w:val="20"/>
                <w:color w:val="auto"/>
              </w:rPr>
            </w:pPr>
            <w:r>
              <w:rPr>
                <w:rFonts w:ascii="Arial" w:cs="Arial" w:eastAsia="Arial" w:hAnsi="Arial"/>
                <w:sz w:val="14"/>
                <w:szCs w:val="14"/>
                <w:color w:val="auto"/>
              </w:rPr>
              <w:t>2025</w:t>
            </w:r>
          </w:p>
        </w:tc>
        <w:tc>
          <w:tcPr>
            <w:tcW w:w="360" w:type="dxa"/>
            <w:vAlign w:val="bottom"/>
            <w:tcBorders>
              <w:top w:val="single" w:sz="8" w:color="E0E3F1"/>
              <w:bottom w:val="single" w:sz="8" w:color="00539B"/>
              <w:right w:val="single" w:sz="8" w:color="E0E3F1"/>
            </w:tcBorders>
            <w:shd w:val="clear" w:color="auto" w:fill="E0E3F1"/>
          </w:tcPr>
          <w:p>
            <w:pPr>
              <w:spacing w:after="0"/>
              <w:rPr>
                <w:sz w:val="17"/>
                <w:szCs w:val="17"/>
                <w:color w:val="auto"/>
              </w:rPr>
            </w:pPr>
          </w:p>
        </w:tc>
        <w:tc>
          <w:tcPr>
            <w:tcW w:w="380" w:type="dxa"/>
            <w:vAlign w:val="bottom"/>
            <w:tcBorders>
              <w:bottom w:val="single" w:sz="8" w:color="00539B"/>
            </w:tcBorders>
          </w:tcPr>
          <w:p>
            <w:pPr>
              <w:spacing w:after="0"/>
              <w:rPr>
                <w:sz w:val="17"/>
                <w:szCs w:val="17"/>
                <w:color w:val="auto"/>
              </w:rPr>
            </w:pPr>
          </w:p>
        </w:tc>
        <w:tc>
          <w:tcPr>
            <w:tcW w:w="36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2024</w:t>
            </w:r>
          </w:p>
        </w:tc>
        <w:tc>
          <w:tcPr>
            <w:tcW w:w="360" w:type="dxa"/>
            <w:vAlign w:val="bottom"/>
            <w:tcBorders>
              <w:bottom w:val="single" w:sz="8" w:color="00539B"/>
            </w:tcBorders>
          </w:tcPr>
          <w:p>
            <w:pPr>
              <w:spacing w:after="0"/>
              <w:rPr>
                <w:sz w:val="17"/>
                <w:szCs w:val="17"/>
                <w:color w:val="auto"/>
              </w:rPr>
            </w:pPr>
          </w:p>
        </w:tc>
        <w:tc>
          <w:tcPr>
            <w:tcW w:w="180" w:type="dxa"/>
            <w:vAlign w:val="bottom"/>
            <w:tcBorders>
              <w:bottom w:val="single" w:sz="8" w:color="00539B"/>
            </w:tcBorders>
          </w:tcPr>
          <w:p>
            <w:pPr>
              <w:spacing w:after="0"/>
              <w:rPr>
                <w:sz w:val="17"/>
                <w:szCs w:val="17"/>
                <w:color w:val="auto"/>
              </w:rPr>
            </w:pPr>
          </w:p>
        </w:tc>
        <w:tc>
          <w:tcPr>
            <w:tcW w:w="160" w:type="dxa"/>
            <w:vAlign w:val="bottom"/>
            <w:tcBorders>
              <w:bottom w:val="single" w:sz="8" w:color="00539B"/>
            </w:tcBorders>
          </w:tcPr>
          <w:p>
            <w:pPr>
              <w:spacing w:after="0"/>
              <w:rPr>
                <w:sz w:val="17"/>
                <w:szCs w:val="17"/>
                <w:color w:val="auto"/>
              </w:rPr>
            </w:pPr>
          </w:p>
        </w:tc>
        <w:tc>
          <w:tcPr>
            <w:tcW w:w="740" w:type="dxa"/>
            <w:vAlign w:val="bottom"/>
            <w:tcBorders>
              <w:bottom w:val="single" w:sz="8" w:color="00539B"/>
            </w:tcBorders>
          </w:tcPr>
          <w:p>
            <w:pPr>
              <w:jc w:val="right"/>
              <w:ind w:right="288"/>
              <w:spacing w:after="0"/>
              <w:rPr>
                <w:sz w:val="20"/>
                <w:szCs w:val="20"/>
                <w:color w:val="auto"/>
              </w:rPr>
            </w:pPr>
            <w:r>
              <w:rPr>
                <w:rFonts w:ascii="Arial" w:cs="Arial" w:eastAsia="Arial" w:hAnsi="Arial"/>
                <w:sz w:val="14"/>
                <w:szCs w:val="14"/>
                <w:color w:val="auto"/>
              </w:rPr>
              <w:t>2023</w:t>
            </w:r>
          </w:p>
        </w:tc>
        <w:tc>
          <w:tcPr>
            <w:tcW w:w="20" w:type="dxa"/>
            <w:vAlign w:val="bottom"/>
            <w:tcBorders>
              <w:bottom w:val="single" w:sz="8" w:color="00539B"/>
            </w:tcBorders>
          </w:tcPr>
          <w:p>
            <w:pPr>
              <w:spacing w:after="0"/>
              <w:rPr>
                <w:sz w:val="17"/>
                <w:szCs w:val="17"/>
                <w:color w:val="auto"/>
              </w:rPr>
            </w:pPr>
          </w:p>
        </w:tc>
        <w:tc>
          <w:tcPr>
            <w:tcW w:w="20" w:type="dxa"/>
            <w:vAlign w:val="bottom"/>
            <w:tcBorders>
              <w:bottom w:val="single" w:sz="8" w:color="00539B"/>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500" w:type="dxa"/>
            <w:vAlign w:val="bottom"/>
          </w:tcPr>
          <w:p>
            <w:pPr>
              <w:ind w:left="20"/>
              <w:spacing w:after="0" w:line="149" w:lineRule="exact"/>
              <w:rPr>
                <w:sz w:val="20"/>
                <w:szCs w:val="20"/>
                <w:color w:val="auto"/>
              </w:rPr>
            </w:pPr>
            <w:r>
              <w:rPr>
                <w:rFonts w:ascii="Arial" w:cs="Arial" w:eastAsia="Arial" w:hAnsi="Arial"/>
                <w:sz w:val="14"/>
                <w:szCs w:val="14"/>
                <w:color w:val="auto"/>
              </w:rPr>
              <w:t>Interest rate contracts</w:t>
            </w:r>
          </w:p>
        </w:tc>
        <w:tc>
          <w:tcPr>
            <w:tcW w:w="1440" w:type="dxa"/>
            <w:vAlign w:val="bottom"/>
            <w:tcBorders>
              <w:right w:val="single" w:sz="8" w:color="E0E3F1"/>
            </w:tcBorders>
          </w:tcPr>
          <w:p>
            <w:pPr>
              <w:spacing w:after="0"/>
              <w:rPr>
                <w:sz w:val="12"/>
                <w:szCs w:val="12"/>
                <w:color w:val="auto"/>
              </w:rPr>
            </w:pPr>
          </w:p>
        </w:tc>
        <w:tc>
          <w:tcPr>
            <w:tcW w:w="200" w:type="dxa"/>
            <w:vAlign w:val="bottom"/>
            <w:vMerge w:val="restart"/>
            <w:shd w:val="clear" w:color="auto" w:fill="E0E3F1"/>
          </w:tcPr>
          <w:p>
            <w:pPr>
              <w:jc w:val="right"/>
              <w:ind w:right="82"/>
              <w:spacing w:after="0"/>
              <w:rPr>
                <w:sz w:val="20"/>
                <w:szCs w:val="20"/>
                <w:color w:val="auto"/>
              </w:rPr>
            </w:pPr>
            <w:r>
              <w:rPr>
                <w:rFonts w:ascii="Arial" w:cs="Arial" w:eastAsia="Arial" w:hAnsi="Arial"/>
                <w:sz w:val="10"/>
                <w:szCs w:val="10"/>
                <w:color w:val="auto"/>
                <w:w w:val="71"/>
              </w:rPr>
              <w:t>$</w:t>
            </w:r>
          </w:p>
        </w:tc>
        <w:tc>
          <w:tcPr>
            <w:tcW w:w="880" w:type="dxa"/>
            <w:vAlign w:val="bottom"/>
            <w:tcBorders>
              <w:right w:val="single" w:sz="8" w:color="E0E3F1"/>
            </w:tcBorders>
            <w:gridSpan w:val="2"/>
            <w:vMerge w:val="restart"/>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528"/>
              <w:spacing w:after="0"/>
              <w:rPr>
                <w:sz w:val="20"/>
                <w:szCs w:val="20"/>
                <w:color w:val="auto"/>
              </w:rPr>
            </w:pPr>
            <w:r>
              <w:rPr>
                <w:rFonts w:ascii="Arial" w:cs="Arial" w:eastAsia="Arial" w:hAnsi="Arial"/>
                <w:sz w:val="14"/>
                <w:szCs w:val="14"/>
                <w:color w:val="auto"/>
              </w:rPr>
              <w:t>$</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80" w:type="dxa"/>
            <w:vAlign w:val="bottom"/>
            <w:gridSpan w:val="3"/>
          </w:tcPr>
          <w:p>
            <w:pPr>
              <w:jc w:val="center"/>
              <w:ind w:right="88"/>
              <w:spacing w:after="0" w:line="149" w:lineRule="exact"/>
              <w:rPr>
                <w:sz w:val="20"/>
                <w:szCs w:val="20"/>
                <w:color w:val="auto"/>
              </w:rPr>
            </w:pPr>
            <w:r>
              <w:rPr>
                <w:rFonts w:ascii="Arial" w:cs="Arial" w:eastAsia="Arial" w:hAnsi="Arial"/>
                <w:sz w:val="14"/>
                <w:szCs w:val="14"/>
                <w:color w:val="auto"/>
              </w:rPr>
              <w:t>Interest expense, Other</w:t>
            </w:r>
          </w:p>
        </w:tc>
        <w:tc>
          <w:tcPr>
            <w:tcW w:w="440" w:type="dxa"/>
            <w:vAlign w:val="bottom"/>
            <w:vMerge w:val="restart"/>
            <w:shd w:val="clear" w:color="auto" w:fill="E0E3F1"/>
          </w:tcPr>
          <w:p>
            <w:pPr>
              <w:jc w:val="right"/>
              <w:ind w:right="268"/>
              <w:spacing w:after="0"/>
              <w:rPr>
                <w:sz w:val="20"/>
                <w:szCs w:val="20"/>
                <w:color w:val="auto"/>
              </w:rPr>
            </w:pPr>
            <w:r>
              <w:rPr>
                <w:rFonts w:ascii="Arial" w:cs="Arial" w:eastAsia="Arial" w:hAnsi="Arial"/>
                <w:sz w:val="14"/>
                <w:szCs w:val="14"/>
                <w:color w:val="auto"/>
              </w:rPr>
              <w:t>$</w:t>
            </w:r>
          </w:p>
        </w:tc>
        <w:tc>
          <w:tcPr>
            <w:tcW w:w="20" w:type="dxa"/>
            <w:vAlign w:val="bottom"/>
            <w:shd w:val="clear" w:color="auto" w:fill="E0E3F1"/>
          </w:tcPr>
          <w:p>
            <w:pPr>
              <w:spacing w:after="0"/>
              <w:rPr>
                <w:sz w:val="12"/>
                <w:szCs w:val="12"/>
                <w:color w:val="auto"/>
              </w:rPr>
            </w:pPr>
          </w:p>
        </w:tc>
        <w:tc>
          <w:tcPr>
            <w:tcW w:w="140" w:type="dxa"/>
            <w:vAlign w:val="bottom"/>
            <w:shd w:val="clear" w:color="auto" w:fill="E0E3F1"/>
          </w:tcPr>
          <w:p>
            <w:pPr>
              <w:spacing w:after="0"/>
              <w:rPr>
                <w:sz w:val="12"/>
                <w:szCs w:val="12"/>
                <w:color w:val="auto"/>
              </w:rPr>
            </w:pPr>
          </w:p>
        </w:tc>
        <w:tc>
          <w:tcPr>
            <w:tcW w:w="140" w:type="dxa"/>
            <w:vAlign w:val="bottom"/>
            <w:shd w:val="clear" w:color="auto" w:fill="E0E3F1"/>
          </w:tcPr>
          <w:p>
            <w:pPr>
              <w:spacing w:after="0"/>
              <w:rPr>
                <w:sz w:val="12"/>
                <w:szCs w:val="12"/>
                <w:color w:val="auto"/>
              </w:rPr>
            </w:pPr>
          </w:p>
        </w:tc>
        <w:tc>
          <w:tcPr>
            <w:tcW w:w="360" w:type="dxa"/>
            <w:vAlign w:val="bottom"/>
            <w:tcBorders>
              <w:right w:val="single" w:sz="8" w:color="E0E3F1"/>
            </w:tcBorders>
            <w:vMerge w:val="restart"/>
            <w:shd w:val="clear" w:color="auto" w:fill="E0E3F1"/>
          </w:tcPr>
          <w:p>
            <w:pPr>
              <w:jc w:val="right"/>
              <w:spacing w:after="0"/>
              <w:rPr>
                <w:sz w:val="20"/>
                <w:szCs w:val="20"/>
                <w:color w:val="auto"/>
              </w:rPr>
            </w:pPr>
            <w:r>
              <w:rPr>
                <w:rFonts w:ascii="Arial" w:cs="Arial" w:eastAsia="Arial" w:hAnsi="Arial"/>
                <w:sz w:val="14"/>
                <w:szCs w:val="14"/>
                <w:color w:val="auto"/>
              </w:rPr>
              <w:t>(0.6)</w:t>
            </w:r>
          </w:p>
        </w:tc>
        <w:tc>
          <w:tcPr>
            <w:tcW w:w="380" w:type="dxa"/>
            <w:vAlign w:val="bottom"/>
            <w:vMerge w:val="restart"/>
          </w:tcPr>
          <w:p>
            <w:pPr>
              <w:jc w:val="center"/>
              <w:ind w:right="18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360" w:type="dxa"/>
            <w:vAlign w:val="bottom"/>
            <w:vMerge w:val="restart"/>
          </w:tcPr>
          <w:p>
            <w:pPr>
              <w:jc w:val="center"/>
              <w:spacing w:after="0"/>
              <w:rPr>
                <w:sz w:val="20"/>
                <w:szCs w:val="20"/>
                <w:color w:val="auto"/>
              </w:rPr>
            </w:pPr>
            <w:r>
              <w:rPr>
                <w:rFonts w:ascii="Arial" w:cs="Arial" w:eastAsia="Arial" w:hAnsi="Arial"/>
                <w:sz w:val="14"/>
                <w:szCs w:val="14"/>
                <w:color w:val="auto"/>
                <w:w w:val="97"/>
              </w:rPr>
              <w:t>(0.6)</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500" w:type="dxa"/>
            <w:vAlign w:val="bottom"/>
          </w:tcPr>
          <w:p>
            <w:pPr>
              <w:spacing w:after="0"/>
              <w:rPr>
                <w:sz w:val="16"/>
                <w:szCs w:val="16"/>
                <w:color w:val="auto"/>
              </w:rPr>
            </w:pPr>
          </w:p>
        </w:tc>
        <w:tc>
          <w:tcPr>
            <w:tcW w:w="1440" w:type="dxa"/>
            <w:vAlign w:val="bottom"/>
            <w:tcBorders>
              <w:right w:val="single" w:sz="8" w:color="E0E3F1"/>
            </w:tcBorders>
          </w:tcPr>
          <w:p>
            <w:pPr>
              <w:spacing w:after="0"/>
              <w:rPr>
                <w:sz w:val="16"/>
                <w:szCs w:val="16"/>
                <w:color w:val="auto"/>
              </w:rPr>
            </w:pPr>
          </w:p>
        </w:tc>
        <w:tc>
          <w:tcPr>
            <w:tcW w:w="200" w:type="dxa"/>
            <w:vAlign w:val="bottom"/>
            <w:vMerge w:val="continue"/>
            <w:shd w:val="clear" w:color="auto" w:fill="E0E3F1"/>
          </w:tcPr>
          <w:p>
            <w:pPr>
              <w:spacing w:after="0"/>
              <w:rPr>
                <w:sz w:val="16"/>
                <w:szCs w:val="16"/>
                <w:color w:val="auto"/>
              </w:rPr>
            </w:pPr>
          </w:p>
        </w:tc>
        <w:tc>
          <w:tcPr>
            <w:tcW w:w="880" w:type="dxa"/>
            <w:vAlign w:val="bottom"/>
            <w:tcBorders>
              <w:right w:val="single" w:sz="8" w:color="E0E3F1"/>
            </w:tcBorders>
            <w:gridSpan w:val="2"/>
            <w:vMerge w:val="continue"/>
            <w:shd w:val="clear" w:color="auto" w:fill="E0E3F1"/>
          </w:tcPr>
          <w:p>
            <w:pPr>
              <w:spacing w:after="0"/>
              <w:rPr>
                <w:sz w:val="16"/>
                <w:szCs w:val="16"/>
                <w:color w:val="auto"/>
              </w:rPr>
            </w:pPr>
          </w:p>
        </w:tc>
        <w:tc>
          <w:tcPr>
            <w:tcW w:w="700" w:type="dxa"/>
            <w:vAlign w:val="bottom"/>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color w:val="auto"/>
              </w:rPr>
              <w:t>(2.6) income, net</w:t>
            </w:r>
          </w:p>
        </w:tc>
        <w:tc>
          <w:tcPr>
            <w:tcW w:w="700" w:type="dxa"/>
            <w:vAlign w:val="bottom"/>
          </w:tcPr>
          <w:p>
            <w:pPr>
              <w:spacing w:after="0"/>
              <w:rPr>
                <w:sz w:val="16"/>
                <w:szCs w:val="16"/>
                <w:color w:val="auto"/>
              </w:rPr>
            </w:pPr>
          </w:p>
        </w:tc>
        <w:tc>
          <w:tcPr>
            <w:tcW w:w="440" w:type="dxa"/>
            <w:vAlign w:val="bottom"/>
            <w:vMerge w:val="continue"/>
            <w:shd w:val="clear" w:color="auto" w:fill="E0E3F1"/>
          </w:tcPr>
          <w:p>
            <w:pPr>
              <w:spacing w:after="0"/>
              <w:rPr>
                <w:sz w:val="16"/>
                <w:szCs w:val="16"/>
                <w:color w:val="auto"/>
              </w:rPr>
            </w:pPr>
          </w:p>
        </w:tc>
        <w:tc>
          <w:tcPr>
            <w:tcW w:w="20" w:type="dxa"/>
            <w:vAlign w:val="bottom"/>
            <w:shd w:val="clear" w:color="auto" w:fill="E0E3F1"/>
          </w:tcPr>
          <w:p>
            <w:pPr>
              <w:spacing w:after="0"/>
              <w:rPr>
                <w:sz w:val="16"/>
                <w:szCs w:val="16"/>
                <w:color w:val="auto"/>
              </w:rPr>
            </w:pPr>
          </w:p>
        </w:tc>
        <w:tc>
          <w:tcPr>
            <w:tcW w:w="140" w:type="dxa"/>
            <w:vAlign w:val="bottom"/>
            <w:shd w:val="clear" w:color="auto" w:fill="E0E3F1"/>
          </w:tcPr>
          <w:p>
            <w:pPr>
              <w:spacing w:after="0"/>
              <w:rPr>
                <w:sz w:val="16"/>
                <w:szCs w:val="16"/>
                <w:color w:val="auto"/>
              </w:rPr>
            </w:pPr>
          </w:p>
        </w:tc>
        <w:tc>
          <w:tcPr>
            <w:tcW w:w="140" w:type="dxa"/>
            <w:vAlign w:val="bottom"/>
            <w:shd w:val="clear" w:color="auto" w:fill="E0E3F1"/>
          </w:tcPr>
          <w:p>
            <w:pPr>
              <w:spacing w:after="0"/>
              <w:rPr>
                <w:sz w:val="16"/>
                <w:szCs w:val="16"/>
                <w:color w:val="auto"/>
              </w:rPr>
            </w:pPr>
          </w:p>
        </w:tc>
        <w:tc>
          <w:tcPr>
            <w:tcW w:w="360" w:type="dxa"/>
            <w:vAlign w:val="bottom"/>
            <w:tcBorders>
              <w:right w:val="single" w:sz="8" w:color="E0E3F1"/>
            </w:tcBorders>
            <w:vMerge w:val="continue"/>
            <w:shd w:val="clear" w:color="auto" w:fill="E0E3F1"/>
          </w:tcPr>
          <w:p>
            <w:pPr>
              <w:spacing w:after="0"/>
              <w:rPr>
                <w:sz w:val="16"/>
                <w:szCs w:val="16"/>
                <w:color w:val="auto"/>
              </w:rPr>
            </w:pPr>
          </w:p>
        </w:tc>
        <w:tc>
          <w:tcPr>
            <w:tcW w:w="3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940" w:type="dxa"/>
            <w:vAlign w:val="bottom"/>
            <w:tcBorders>
              <w:bottom w:val="single" w:sz="8" w:color="00539B"/>
              <w:right w:val="single" w:sz="8" w:color="E0E3F1"/>
            </w:tcBorders>
            <w:gridSpan w:val="2"/>
          </w:tcPr>
          <w:p>
            <w:pPr>
              <w:ind w:left="20"/>
              <w:spacing w:after="0"/>
              <w:rPr>
                <w:sz w:val="20"/>
                <w:szCs w:val="20"/>
                <w:color w:val="auto"/>
              </w:rPr>
            </w:pPr>
            <w:r>
              <w:rPr>
                <w:rFonts w:ascii="Arial" w:cs="Arial" w:eastAsia="Arial" w:hAnsi="Arial"/>
                <w:sz w:val="14"/>
                <w:szCs w:val="14"/>
                <w:color w:val="auto"/>
              </w:rPr>
              <w:t>Foreign exchange contracts</w:t>
            </w:r>
          </w:p>
        </w:tc>
        <w:tc>
          <w:tcPr>
            <w:tcW w:w="200" w:type="dxa"/>
            <w:vAlign w:val="bottom"/>
            <w:tcBorders>
              <w:bottom w:val="single" w:sz="8" w:color="00539B"/>
            </w:tcBorders>
            <w:shd w:val="clear" w:color="auto" w:fill="E0E3F1"/>
          </w:tcPr>
          <w:p>
            <w:pPr>
              <w:spacing w:after="0"/>
              <w:rPr>
                <w:sz w:val="17"/>
                <w:szCs w:val="17"/>
                <w:color w:val="auto"/>
              </w:rPr>
            </w:pPr>
          </w:p>
        </w:tc>
        <w:tc>
          <w:tcPr>
            <w:tcW w:w="880" w:type="dxa"/>
            <w:vAlign w:val="bottom"/>
            <w:tcBorders>
              <w:bottom w:val="single" w:sz="8" w:color="00539B"/>
              <w:right w:val="single" w:sz="8" w:color="E0E3F1"/>
            </w:tcBorders>
            <w:gridSpan w:val="2"/>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00539B"/>
            </w:tcBorders>
          </w:tcPr>
          <w:p>
            <w:pPr>
              <w:spacing w:after="0"/>
              <w:rPr>
                <w:sz w:val="17"/>
                <w:szCs w:val="17"/>
                <w:color w:val="auto"/>
              </w:rPr>
            </w:pPr>
          </w:p>
        </w:tc>
        <w:tc>
          <w:tcPr>
            <w:tcW w:w="40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(0.1)</w:t>
            </w:r>
          </w:p>
        </w:tc>
        <w:tc>
          <w:tcPr>
            <w:tcW w:w="300" w:type="dxa"/>
            <w:vAlign w:val="bottom"/>
            <w:tcBorders>
              <w:bottom w:val="single" w:sz="8" w:color="00539B"/>
            </w:tcBorders>
          </w:tcPr>
          <w:p>
            <w:pPr>
              <w:spacing w:after="0"/>
              <w:rPr>
                <w:sz w:val="17"/>
                <w:szCs w:val="17"/>
                <w:color w:val="auto"/>
              </w:rPr>
            </w:pPr>
          </w:p>
        </w:tc>
        <w:tc>
          <w:tcPr>
            <w:tcW w:w="160" w:type="dxa"/>
            <w:vAlign w:val="bottom"/>
            <w:tcBorders>
              <w:bottom w:val="single" w:sz="8" w:color="00539B"/>
            </w:tcBorders>
          </w:tcPr>
          <w:p>
            <w:pPr>
              <w:spacing w:after="0"/>
              <w:rPr>
                <w:sz w:val="17"/>
                <w:szCs w:val="17"/>
                <w:color w:val="auto"/>
              </w:rPr>
            </w:pPr>
          </w:p>
        </w:tc>
        <w:tc>
          <w:tcPr>
            <w:tcW w:w="300" w:type="dxa"/>
            <w:vAlign w:val="bottom"/>
            <w:tcBorders>
              <w:bottom w:val="single" w:sz="8" w:color="00539B"/>
            </w:tcBorders>
          </w:tcPr>
          <w:p>
            <w:pPr>
              <w:spacing w:after="0"/>
              <w:rPr>
                <w:sz w:val="17"/>
                <w:szCs w:val="17"/>
                <w:color w:val="auto"/>
              </w:rPr>
            </w:pPr>
          </w:p>
        </w:tc>
        <w:tc>
          <w:tcPr>
            <w:tcW w:w="2040" w:type="dxa"/>
            <w:vAlign w:val="bottom"/>
            <w:tcBorders>
              <w:bottom w:val="single" w:sz="8" w:color="00539B"/>
            </w:tcBorders>
            <w:gridSpan w:val="4"/>
          </w:tcPr>
          <w:p>
            <w:pPr>
              <w:ind w:left="20"/>
              <w:spacing w:after="0"/>
              <w:rPr>
                <w:sz w:val="20"/>
                <w:szCs w:val="20"/>
                <w:color w:val="auto"/>
              </w:rPr>
            </w:pPr>
            <w:r>
              <w:rPr>
                <w:rFonts w:ascii="Arial" w:cs="Arial" w:eastAsia="Arial" w:hAnsi="Arial"/>
                <w:sz w:val="14"/>
                <w:szCs w:val="14"/>
                <w:color w:val="auto"/>
              </w:rPr>
              <w:t>(0.7) Cost of goods sold</w:t>
            </w:r>
          </w:p>
        </w:tc>
        <w:tc>
          <w:tcPr>
            <w:tcW w:w="460" w:type="dxa"/>
            <w:vAlign w:val="bottom"/>
            <w:tcBorders>
              <w:bottom w:val="single" w:sz="8" w:color="00539B"/>
            </w:tcBorders>
            <w:gridSpan w:val="2"/>
            <w:shd w:val="clear" w:color="auto" w:fill="E0E3F1"/>
          </w:tcPr>
          <w:p>
            <w:pPr>
              <w:spacing w:after="0"/>
              <w:rPr>
                <w:sz w:val="17"/>
                <w:szCs w:val="17"/>
                <w:color w:val="auto"/>
              </w:rPr>
            </w:pPr>
          </w:p>
        </w:tc>
        <w:tc>
          <w:tcPr>
            <w:tcW w:w="140" w:type="dxa"/>
            <w:vAlign w:val="bottom"/>
            <w:tcBorders>
              <w:bottom w:val="single" w:sz="8" w:color="00539B"/>
            </w:tcBorders>
            <w:shd w:val="clear" w:color="auto" w:fill="E0E3F1"/>
          </w:tcPr>
          <w:p>
            <w:pPr>
              <w:spacing w:after="0"/>
              <w:rPr>
                <w:sz w:val="17"/>
                <w:szCs w:val="17"/>
                <w:color w:val="auto"/>
              </w:rPr>
            </w:pPr>
          </w:p>
        </w:tc>
        <w:tc>
          <w:tcPr>
            <w:tcW w:w="140" w:type="dxa"/>
            <w:vAlign w:val="bottom"/>
            <w:tcBorders>
              <w:bottom w:val="single" w:sz="8" w:color="00539B"/>
            </w:tcBorders>
            <w:shd w:val="clear" w:color="auto" w:fill="E0E3F1"/>
          </w:tcPr>
          <w:p>
            <w:pPr>
              <w:spacing w:after="0"/>
              <w:rPr>
                <w:sz w:val="17"/>
                <w:szCs w:val="17"/>
                <w:color w:val="auto"/>
              </w:rPr>
            </w:pPr>
          </w:p>
        </w:tc>
        <w:tc>
          <w:tcPr>
            <w:tcW w:w="360" w:type="dxa"/>
            <w:vAlign w:val="bottom"/>
            <w:tcBorders>
              <w:bottom w:val="single" w:sz="8" w:color="00539B"/>
              <w:right w:val="single" w:sz="8" w:color="E0E3F1"/>
            </w:tcBorders>
            <w:shd w:val="clear" w:color="auto" w:fill="E0E3F1"/>
          </w:tcPr>
          <w:p>
            <w:pPr>
              <w:jc w:val="right"/>
              <w:spacing w:after="0"/>
              <w:rPr>
                <w:sz w:val="20"/>
                <w:szCs w:val="20"/>
                <w:color w:val="auto"/>
              </w:rPr>
            </w:pPr>
            <w:r>
              <w:rPr>
                <w:rFonts w:ascii="Arial" w:cs="Arial" w:eastAsia="Arial" w:hAnsi="Arial"/>
                <w:sz w:val="14"/>
                <w:szCs w:val="14"/>
                <w:color w:val="auto"/>
              </w:rPr>
              <w:t>(0.6)</w:t>
            </w:r>
          </w:p>
        </w:tc>
        <w:tc>
          <w:tcPr>
            <w:tcW w:w="380" w:type="dxa"/>
            <w:vAlign w:val="bottom"/>
            <w:tcBorders>
              <w:bottom w:val="single" w:sz="8" w:color="00539B"/>
            </w:tcBorders>
          </w:tcPr>
          <w:p>
            <w:pPr>
              <w:spacing w:after="0"/>
              <w:rPr>
                <w:sz w:val="17"/>
                <w:szCs w:val="17"/>
                <w:color w:val="auto"/>
              </w:rPr>
            </w:pPr>
          </w:p>
        </w:tc>
        <w:tc>
          <w:tcPr>
            <w:tcW w:w="360" w:type="dxa"/>
            <w:vAlign w:val="bottom"/>
            <w:tcBorders>
              <w:bottom w:val="single" w:sz="8" w:color="00539B"/>
            </w:tcBorders>
          </w:tcPr>
          <w:p>
            <w:pPr>
              <w:spacing w:after="0"/>
              <w:rPr>
                <w:sz w:val="17"/>
                <w:szCs w:val="17"/>
                <w:color w:val="auto"/>
              </w:rPr>
            </w:pPr>
          </w:p>
        </w:tc>
        <w:tc>
          <w:tcPr>
            <w:tcW w:w="360" w:type="dxa"/>
            <w:vAlign w:val="bottom"/>
            <w:tcBorders>
              <w:bottom w:val="single" w:sz="8" w:color="00539B"/>
            </w:tcBorders>
          </w:tcPr>
          <w:p>
            <w:pPr>
              <w:jc w:val="center"/>
              <w:spacing w:after="0"/>
              <w:rPr>
                <w:sz w:val="20"/>
                <w:szCs w:val="20"/>
                <w:color w:val="auto"/>
              </w:rPr>
            </w:pPr>
            <w:r>
              <w:rPr>
                <w:rFonts w:ascii="Arial" w:cs="Arial" w:eastAsia="Arial" w:hAnsi="Arial"/>
                <w:sz w:val="14"/>
                <w:szCs w:val="14"/>
                <w:color w:val="auto"/>
              </w:rPr>
              <w:t>1.6</w:t>
            </w:r>
          </w:p>
        </w:tc>
        <w:tc>
          <w:tcPr>
            <w:tcW w:w="180" w:type="dxa"/>
            <w:vAlign w:val="bottom"/>
            <w:tcBorders>
              <w:bottom w:val="single" w:sz="8" w:color="00539B"/>
            </w:tcBorders>
          </w:tcPr>
          <w:p>
            <w:pPr>
              <w:spacing w:after="0"/>
              <w:rPr>
                <w:sz w:val="17"/>
                <w:szCs w:val="17"/>
                <w:color w:val="auto"/>
              </w:rPr>
            </w:pPr>
          </w:p>
        </w:tc>
        <w:tc>
          <w:tcPr>
            <w:tcW w:w="160" w:type="dxa"/>
            <w:vAlign w:val="bottom"/>
            <w:tcBorders>
              <w:bottom w:val="single" w:sz="8" w:color="00539B"/>
            </w:tcBorders>
          </w:tcPr>
          <w:p>
            <w:pPr>
              <w:spacing w:after="0"/>
              <w:rPr>
                <w:sz w:val="17"/>
                <w:szCs w:val="17"/>
                <w:color w:val="auto"/>
              </w:rPr>
            </w:pPr>
          </w:p>
        </w:tc>
        <w:tc>
          <w:tcPr>
            <w:tcW w:w="74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0.2</w:t>
            </w:r>
          </w:p>
        </w:tc>
        <w:tc>
          <w:tcPr>
            <w:tcW w:w="20" w:type="dxa"/>
            <w:vAlign w:val="bottom"/>
            <w:tcBorders>
              <w:bottom w:val="single" w:sz="8" w:color="00539B"/>
            </w:tcBorders>
          </w:tcPr>
          <w:p>
            <w:pPr>
              <w:spacing w:after="0"/>
              <w:rPr>
                <w:sz w:val="17"/>
                <w:szCs w:val="17"/>
                <w:color w:val="auto"/>
              </w:rPr>
            </w:pPr>
          </w:p>
        </w:tc>
        <w:tc>
          <w:tcPr>
            <w:tcW w:w="20" w:type="dxa"/>
            <w:vAlign w:val="bottom"/>
            <w:tcBorders>
              <w:bottom w:val="single" w:sz="8" w:color="00539B"/>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50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Total</w:t>
            </w:r>
          </w:p>
        </w:tc>
        <w:tc>
          <w:tcPr>
            <w:tcW w:w="1440" w:type="dxa"/>
            <w:vAlign w:val="bottom"/>
            <w:tcBorders>
              <w:bottom w:val="single" w:sz="8" w:color="00539B"/>
              <w:right w:val="single" w:sz="8" w:color="E0E3F1"/>
            </w:tcBorders>
          </w:tcPr>
          <w:p>
            <w:pPr>
              <w:spacing w:after="0"/>
              <w:rPr>
                <w:sz w:val="18"/>
                <w:szCs w:val="18"/>
                <w:color w:val="auto"/>
              </w:rPr>
            </w:pPr>
          </w:p>
        </w:tc>
        <w:tc>
          <w:tcPr>
            <w:tcW w:w="200" w:type="dxa"/>
            <w:vAlign w:val="bottom"/>
            <w:tcBorders>
              <w:bottom w:val="single" w:sz="8" w:color="00539B"/>
            </w:tcBorders>
            <w:shd w:val="clear" w:color="auto" w:fill="E0E3F1"/>
          </w:tcPr>
          <w:p>
            <w:pPr>
              <w:jc w:val="right"/>
              <w:ind w:right="82"/>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00539B"/>
              <w:right w:val="single" w:sz="8" w:color="E0E3F1"/>
            </w:tcBorders>
            <w:gridSpan w:val="2"/>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00539B"/>
            </w:tcBorders>
          </w:tcPr>
          <w:p>
            <w:pPr>
              <w:jc w:val="right"/>
              <w:ind w:right="52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(0.1)</w:t>
            </w:r>
          </w:p>
        </w:tc>
        <w:tc>
          <w:tcPr>
            <w:tcW w:w="300" w:type="dxa"/>
            <w:vAlign w:val="bottom"/>
            <w:tcBorders>
              <w:bottom w:val="single" w:sz="8" w:color="00539B"/>
            </w:tcBorders>
          </w:tcPr>
          <w:p>
            <w:pPr>
              <w:jc w:val="right"/>
              <w:ind w:right="1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00539B"/>
            </w:tcBorders>
          </w:tcPr>
          <w:p>
            <w:pPr>
              <w:spacing w:after="0"/>
              <w:rPr>
                <w:sz w:val="18"/>
                <w:szCs w:val="18"/>
                <w:color w:val="auto"/>
              </w:rPr>
            </w:pPr>
          </w:p>
        </w:tc>
        <w:tc>
          <w:tcPr>
            <w:tcW w:w="300" w:type="dxa"/>
            <w:vAlign w:val="bottom"/>
            <w:tcBorders>
              <w:bottom w:val="single" w:sz="8" w:color="00539B"/>
            </w:tcBorders>
          </w:tcPr>
          <w:p>
            <w:pPr>
              <w:spacing w:after="0"/>
              <w:rPr>
                <w:sz w:val="18"/>
                <w:szCs w:val="18"/>
                <w:color w:val="auto"/>
              </w:rPr>
            </w:pPr>
          </w:p>
        </w:tc>
        <w:tc>
          <w:tcPr>
            <w:tcW w:w="36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(3.3)</w:t>
            </w:r>
          </w:p>
        </w:tc>
        <w:tc>
          <w:tcPr>
            <w:tcW w:w="720" w:type="dxa"/>
            <w:vAlign w:val="bottom"/>
            <w:tcBorders>
              <w:bottom w:val="single" w:sz="8" w:color="00539B"/>
            </w:tcBorders>
          </w:tcPr>
          <w:p>
            <w:pPr>
              <w:spacing w:after="0"/>
              <w:rPr>
                <w:sz w:val="18"/>
                <w:szCs w:val="18"/>
                <w:color w:val="auto"/>
              </w:rPr>
            </w:pPr>
          </w:p>
        </w:tc>
        <w:tc>
          <w:tcPr>
            <w:tcW w:w="260" w:type="dxa"/>
            <w:vAlign w:val="bottom"/>
            <w:tcBorders>
              <w:bottom w:val="single" w:sz="8" w:color="00539B"/>
            </w:tcBorders>
          </w:tcPr>
          <w:p>
            <w:pPr>
              <w:spacing w:after="0"/>
              <w:rPr>
                <w:sz w:val="18"/>
                <w:szCs w:val="18"/>
                <w:color w:val="auto"/>
              </w:rPr>
            </w:pPr>
          </w:p>
        </w:tc>
        <w:tc>
          <w:tcPr>
            <w:tcW w:w="700" w:type="dxa"/>
            <w:vAlign w:val="bottom"/>
            <w:tcBorders>
              <w:bottom w:val="single" w:sz="8" w:color="00539B"/>
            </w:tcBorders>
          </w:tcPr>
          <w:p>
            <w:pPr>
              <w:spacing w:after="0"/>
              <w:rPr>
                <w:sz w:val="18"/>
                <w:szCs w:val="18"/>
                <w:color w:val="auto"/>
              </w:rPr>
            </w:pPr>
          </w:p>
        </w:tc>
        <w:tc>
          <w:tcPr>
            <w:tcW w:w="440" w:type="dxa"/>
            <w:vAlign w:val="bottom"/>
            <w:tcBorders>
              <w:bottom w:val="single" w:sz="8" w:color="00539B"/>
            </w:tcBorders>
            <w:shd w:val="clear" w:color="auto" w:fill="E0E3F1"/>
          </w:tcPr>
          <w:p>
            <w:pPr>
              <w:jc w:val="right"/>
              <w:ind w:right="268"/>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00539B"/>
            </w:tcBorders>
            <w:shd w:val="clear" w:color="auto" w:fill="E0E3F1"/>
          </w:tcPr>
          <w:p>
            <w:pPr>
              <w:spacing w:after="0"/>
              <w:rPr>
                <w:sz w:val="18"/>
                <w:szCs w:val="18"/>
                <w:color w:val="auto"/>
              </w:rPr>
            </w:pPr>
          </w:p>
        </w:tc>
        <w:tc>
          <w:tcPr>
            <w:tcW w:w="140" w:type="dxa"/>
            <w:vAlign w:val="bottom"/>
            <w:tcBorders>
              <w:bottom w:val="single" w:sz="8" w:color="00539B"/>
            </w:tcBorders>
            <w:shd w:val="clear" w:color="auto" w:fill="E0E3F1"/>
          </w:tcPr>
          <w:p>
            <w:pPr>
              <w:spacing w:after="0"/>
              <w:rPr>
                <w:sz w:val="18"/>
                <w:szCs w:val="18"/>
                <w:color w:val="auto"/>
              </w:rPr>
            </w:pPr>
          </w:p>
        </w:tc>
        <w:tc>
          <w:tcPr>
            <w:tcW w:w="140" w:type="dxa"/>
            <w:vAlign w:val="bottom"/>
            <w:tcBorders>
              <w:bottom w:val="single" w:sz="8" w:color="00539B"/>
            </w:tcBorders>
            <w:shd w:val="clear" w:color="auto" w:fill="E0E3F1"/>
          </w:tcPr>
          <w:p>
            <w:pPr>
              <w:spacing w:after="0"/>
              <w:rPr>
                <w:sz w:val="18"/>
                <w:szCs w:val="18"/>
                <w:color w:val="auto"/>
              </w:rPr>
            </w:pPr>
          </w:p>
        </w:tc>
        <w:tc>
          <w:tcPr>
            <w:tcW w:w="360" w:type="dxa"/>
            <w:vAlign w:val="bottom"/>
            <w:tcBorders>
              <w:bottom w:val="single" w:sz="8" w:color="00539B"/>
              <w:right w:val="single" w:sz="8" w:color="E0E3F1"/>
            </w:tcBorders>
            <w:shd w:val="clear" w:color="auto" w:fill="E0E3F1"/>
          </w:tcPr>
          <w:p>
            <w:pPr>
              <w:jc w:val="right"/>
              <w:spacing w:after="0"/>
              <w:rPr>
                <w:sz w:val="20"/>
                <w:szCs w:val="20"/>
                <w:color w:val="auto"/>
              </w:rPr>
            </w:pPr>
            <w:r>
              <w:rPr>
                <w:rFonts w:ascii="Arial" w:cs="Arial" w:eastAsia="Arial" w:hAnsi="Arial"/>
                <w:sz w:val="14"/>
                <w:szCs w:val="14"/>
                <w:color w:val="auto"/>
              </w:rPr>
              <w:t>(1.2)</w:t>
            </w:r>
          </w:p>
        </w:tc>
        <w:tc>
          <w:tcPr>
            <w:tcW w:w="380" w:type="dxa"/>
            <w:vAlign w:val="bottom"/>
            <w:tcBorders>
              <w:bottom w:val="single" w:sz="8" w:color="00539B"/>
            </w:tcBorders>
          </w:tcPr>
          <w:p>
            <w:pPr>
              <w:jc w:val="center"/>
              <w:ind w:right="1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00539B"/>
            </w:tcBorders>
          </w:tcPr>
          <w:p>
            <w:pPr>
              <w:spacing w:after="0"/>
              <w:rPr>
                <w:sz w:val="18"/>
                <w:szCs w:val="18"/>
                <w:color w:val="auto"/>
              </w:rPr>
            </w:pPr>
          </w:p>
        </w:tc>
        <w:tc>
          <w:tcPr>
            <w:tcW w:w="360" w:type="dxa"/>
            <w:vAlign w:val="bottom"/>
            <w:tcBorders>
              <w:bottom w:val="single" w:sz="8" w:color="00539B"/>
            </w:tcBorders>
          </w:tcPr>
          <w:p>
            <w:pPr>
              <w:jc w:val="center"/>
              <w:spacing w:after="0"/>
              <w:rPr>
                <w:sz w:val="20"/>
                <w:szCs w:val="20"/>
                <w:color w:val="auto"/>
              </w:rPr>
            </w:pPr>
            <w:r>
              <w:rPr>
                <w:rFonts w:ascii="Arial" w:cs="Arial" w:eastAsia="Arial" w:hAnsi="Arial"/>
                <w:sz w:val="14"/>
                <w:szCs w:val="14"/>
                <w:color w:val="auto"/>
              </w:rPr>
              <w:t>1.0</w:t>
            </w:r>
          </w:p>
        </w:tc>
        <w:tc>
          <w:tcPr>
            <w:tcW w:w="18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00539B"/>
            </w:tcBorders>
          </w:tcPr>
          <w:p>
            <w:pPr>
              <w:spacing w:after="0"/>
              <w:rPr>
                <w:sz w:val="18"/>
                <w:szCs w:val="18"/>
                <w:color w:val="auto"/>
              </w:rPr>
            </w:pPr>
          </w:p>
        </w:tc>
        <w:tc>
          <w:tcPr>
            <w:tcW w:w="74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0.3</w:t>
            </w:r>
          </w:p>
        </w:tc>
        <w:tc>
          <w:tcPr>
            <w:tcW w:w="20" w:type="dxa"/>
            <w:vAlign w:val="bottom"/>
            <w:tcBorders>
              <w:bottom w:val="single" w:sz="8" w:color="00539B"/>
            </w:tcBorders>
          </w:tcPr>
          <w:p>
            <w:pPr>
              <w:spacing w:after="0"/>
              <w:rPr>
                <w:sz w:val="18"/>
                <w:szCs w:val="18"/>
                <w:color w:val="auto"/>
              </w:rPr>
            </w:pPr>
          </w:p>
        </w:tc>
        <w:tc>
          <w:tcPr>
            <w:tcW w:w="20" w:type="dxa"/>
            <w:vAlign w:val="bottom"/>
            <w:tcBorders>
              <w:bottom w:val="single" w:sz="8" w:color="00539B"/>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amount of gain or loss recognized in income on the ineffective portion of derivative instruments is not material. For all cash flow and settled interest rate fair value hedge derivatives, the net amount of accumulated other comprehensive income expected to be reclassified into income related to these contracts in the next twelve months is a $0.7 million increase to earnings.</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investment hedges (millions)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280" w:type="dxa"/>
            <w:vAlign w:val="bottom"/>
            <w:tcBorders>
              <w:top w:val="single" w:sz="8" w:color="00539B"/>
            </w:tcBorders>
          </w:tcPr>
          <w:p>
            <w:pPr>
              <w:spacing w:after="0"/>
              <w:rPr>
                <w:sz w:val="14"/>
                <w:szCs w:val="14"/>
                <w:color w:val="auto"/>
              </w:rPr>
            </w:pPr>
          </w:p>
        </w:tc>
        <w:tc>
          <w:tcPr>
            <w:tcW w:w="260" w:type="dxa"/>
            <w:vAlign w:val="bottom"/>
            <w:tcBorders>
              <w:top w:val="single" w:sz="8" w:color="00539B"/>
            </w:tcBorders>
          </w:tcPr>
          <w:p>
            <w:pPr>
              <w:spacing w:after="0"/>
              <w:rPr>
                <w:sz w:val="14"/>
                <w:szCs w:val="14"/>
                <w:color w:val="auto"/>
              </w:rPr>
            </w:pPr>
          </w:p>
        </w:tc>
        <w:tc>
          <w:tcPr>
            <w:tcW w:w="840" w:type="dxa"/>
            <w:vAlign w:val="bottom"/>
            <w:tcBorders>
              <w:top w:val="single" w:sz="8" w:color="00539B"/>
            </w:tcBorders>
          </w:tcPr>
          <w:p>
            <w:pPr>
              <w:spacing w:after="0"/>
              <w:rPr>
                <w:sz w:val="14"/>
                <w:szCs w:val="14"/>
                <w:color w:val="auto"/>
              </w:rPr>
            </w:pPr>
          </w:p>
        </w:tc>
        <w:tc>
          <w:tcPr>
            <w:tcW w:w="160" w:type="dxa"/>
            <w:vAlign w:val="bottom"/>
            <w:tcBorders>
              <w:top w:val="single" w:sz="8" w:color="00539B"/>
            </w:tcBorders>
          </w:tcPr>
          <w:p>
            <w:pPr>
              <w:spacing w:after="0"/>
              <w:rPr>
                <w:sz w:val="14"/>
                <w:szCs w:val="14"/>
                <w:color w:val="auto"/>
              </w:rPr>
            </w:pPr>
          </w:p>
        </w:tc>
        <w:tc>
          <w:tcPr>
            <w:tcW w:w="940" w:type="dxa"/>
            <w:vAlign w:val="bottom"/>
            <w:tcBorders>
              <w:top w:val="single" w:sz="8" w:color="00539B"/>
            </w:tcBorders>
            <w:vMerge w:val="restart"/>
          </w:tcPr>
          <w:p>
            <w:pPr>
              <w:jc w:val="center"/>
              <w:ind w:right="48"/>
              <w:spacing w:after="0"/>
              <w:rPr>
                <w:sz w:val="20"/>
                <w:szCs w:val="20"/>
                <w:color w:val="auto"/>
              </w:rPr>
            </w:pPr>
            <w:r>
              <w:rPr>
                <w:rFonts w:ascii="Arial" w:cs="Arial" w:eastAsia="Arial" w:hAnsi="Arial"/>
                <w:sz w:val="14"/>
                <w:szCs w:val="14"/>
                <w:color w:val="auto"/>
              </w:rPr>
              <w:t>Gain (loss)</w:t>
            </w:r>
          </w:p>
        </w:tc>
        <w:tc>
          <w:tcPr>
            <w:tcW w:w="280" w:type="dxa"/>
            <w:vAlign w:val="bottom"/>
            <w:tcBorders>
              <w:top w:val="single" w:sz="8" w:color="00539B"/>
            </w:tcBorders>
          </w:tcPr>
          <w:p>
            <w:pPr>
              <w:spacing w:after="0"/>
              <w:rPr>
                <w:sz w:val="14"/>
                <w:szCs w:val="14"/>
                <w:color w:val="auto"/>
              </w:rPr>
            </w:pPr>
          </w:p>
        </w:tc>
        <w:tc>
          <w:tcPr>
            <w:tcW w:w="2700" w:type="dxa"/>
            <w:vAlign w:val="bottom"/>
            <w:tcBorders>
              <w:top w:val="single" w:sz="8" w:color="00539B"/>
            </w:tcBorders>
            <w:vMerge w:val="restart"/>
          </w:tcPr>
          <w:p>
            <w:pPr>
              <w:jc w:val="right"/>
              <w:ind w:right="268"/>
              <w:spacing w:after="0"/>
              <w:rPr>
                <w:sz w:val="20"/>
                <w:szCs w:val="20"/>
                <w:color w:val="auto"/>
              </w:rPr>
            </w:pPr>
            <w:r>
              <w:rPr>
                <w:rFonts w:ascii="Arial" w:cs="Arial" w:eastAsia="Arial" w:hAnsi="Arial"/>
                <w:sz w:val="14"/>
                <w:szCs w:val="14"/>
                <w:color w:val="auto"/>
              </w:rPr>
              <w:t>Income statement</w:t>
            </w:r>
          </w:p>
        </w:tc>
        <w:tc>
          <w:tcPr>
            <w:tcW w:w="240" w:type="dxa"/>
            <w:vAlign w:val="bottom"/>
            <w:tcBorders>
              <w:top w:val="single" w:sz="8" w:color="00539B"/>
            </w:tcBorders>
          </w:tcPr>
          <w:p>
            <w:pPr>
              <w:spacing w:after="0"/>
              <w:rPr>
                <w:sz w:val="14"/>
                <w:szCs w:val="14"/>
                <w:color w:val="auto"/>
              </w:rPr>
            </w:pPr>
          </w:p>
        </w:tc>
        <w:tc>
          <w:tcPr>
            <w:tcW w:w="860" w:type="dxa"/>
            <w:vAlign w:val="bottom"/>
            <w:tcBorders>
              <w:top w:val="single" w:sz="8" w:color="00539B"/>
            </w:tcBorders>
          </w:tcPr>
          <w:p>
            <w:pPr>
              <w:spacing w:after="0"/>
              <w:rPr>
                <w:sz w:val="14"/>
                <w:szCs w:val="14"/>
                <w:color w:val="auto"/>
              </w:rPr>
            </w:pPr>
          </w:p>
        </w:tc>
        <w:tc>
          <w:tcPr>
            <w:tcW w:w="140" w:type="dxa"/>
            <w:vAlign w:val="bottom"/>
            <w:tcBorders>
              <w:top w:val="single" w:sz="8" w:color="00539B"/>
            </w:tcBorders>
          </w:tcPr>
          <w:p>
            <w:pPr>
              <w:spacing w:after="0"/>
              <w:rPr>
                <w:sz w:val="14"/>
                <w:szCs w:val="14"/>
                <w:color w:val="auto"/>
              </w:rPr>
            </w:pPr>
          </w:p>
        </w:tc>
        <w:tc>
          <w:tcPr>
            <w:tcW w:w="960" w:type="dxa"/>
            <w:vAlign w:val="bottom"/>
            <w:tcBorders>
              <w:top w:val="single" w:sz="8" w:color="00539B"/>
            </w:tcBorders>
          </w:tcPr>
          <w:p>
            <w:pPr>
              <w:jc w:val="center"/>
              <w:ind w:right="28"/>
              <w:spacing w:after="0"/>
              <w:rPr>
                <w:sz w:val="20"/>
                <w:szCs w:val="20"/>
                <w:color w:val="auto"/>
              </w:rPr>
            </w:pPr>
            <w:r>
              <w:rPr>
                <w:rFonts w:ascii="Arial" w:cs="Arial" w:eastAsia="Arial" w:hAnsi="Arial"/>
                <w:sz w:val="14"/>
                <w:szCs w:val="14"/>
                <w:color w:val="auto"/>
              </w:rPr>
              <w:t>Gain</w:t>
            </w:r>
          </w:p>
        </w:tc>
        <w:tc>
          <w:tcPr>
            <w:tcW w:w="280" w:type="dxa"/>
            <w:vAlign w:val="bottom"/>
            <w:tcBorders>
              <w:top w:val="single" w:sz="8" w:color="00539B"/>
            </w:tcBorders>
          </w:tcPr>
          <w:p>
            <w:pPr>
              <w:spacing w:after="0"/>
              <w:rPr>
                <w:sz w:val="14"/>
                <w:szCs w:val="14"/>
                <w:color w:val="auto"/>
              </w:rPr>
            </w:pPr>
          </w:p>
        </w:tc>
        <w:tc>
          <w:tcPr>
            <w:tcW w:w="860" w:type="dxa"/>
            <w:vAlign w:val="bottom"/>
            <w:tcBorders>
              <w:top w:val="single" w:sz="8" w:color="00539B"/>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7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3100" w:type="dxa"/>
            <w:vAlign w:val="bottom"/>
            <w:gridSpan w:val="5"/>
          </w:tcPr>
          <w:p>
            <w:pPr>
              <w:jc w:val="center"/>
              <w:ind w:right="168"/>
              <w:spacing w:after="0" w:line="149" w:lineRule="exact"/>
              <w:rPr>
                <w:sz w:val="20"/>
                <w:szCs w:val="20"/>
                <w:color w:val="auto"/>
              </w:rPr>
            </w:pPr>
            <w:r>
              <w:rPr>
                <w:rFonts w:ascii="Arial" w:cs="Arial" w:eastAsia="Arial" w:hAnsi="Arial"/>
                <w:sz w:val="14"/>
                <w:szCs w:val="14"/>
                <w:color w:val="auto"/>
              </w:rPr>
              <w:t>excluded from the assessment of hedge</w:t>
            </w:r>
          </w:p>
        </w:tc>
        <w:tc>
          <w:tcPr>
            <w:tcW w:w="0" w:type="dxa"/>
            <w:vAlign w:val="bottom"/>
          </w:tcPr>
          <w:p>
            <w:pPr>
              <w:spacing w:after="0"/>
              <w:rPr>
                <w:sz w:val="1"/>
                <w:szCs w:val="1"/>
                <w:color w:val="auto"/>
              </w:rPr>
            </w:pPr>
          </w:p>
        </w:tc>
      </w:tr>
      <w:tr>
        <w:trPr>
          <w:trHeight w:val="185"/>
        </w:trPr>
        <w:tc>
          <w:tcPr>
            <w:tcW w:w="2280" w:type="dxa"/>
            <w:vAlign w:val="bottom"/>
          </w:tcPr>
          <w:p>
            <w:pPr>
              <w:spacing w:after="0"/>
              <w:rPr>
                <w:sz w:val="16"/>
                <w:szCs w:val="16"/>
                <w:color w:val="auto"/>
              </w:rPr>
            </w:pPr>
          </w:p>
        </w:tc>
        <w:tc>
          <w:tcPr>
            <w:tcW w:w="260" w:type="dxa"/>
            <w:vAlign w:val="bottom"/>
            <w:tcBorders>
              <w:bottom w:val="single" w:sz="8" w:color="00539B"/>
            </w:tcBorders>
          </w:tcPr>
          <w:p>
            <w:pPr>
              <w:spacing w:after="0"/>
              <w:rPr>
                <w:sz w:val="16"/>
                <w:szCs w:val="16"/>
                <w:color w:val="auto"/>
              </w:rPr>
            </w:pPr>
          </w:p>
        </w:tc>
        <w:tc>
          <w:tcPr>
            <w:tcW w:w="840" w:type="dxa"/>
            <w:vAlign w:val="bottom"/>
            <w:tcBorders>
              <w:bottom w:val="single" w:sz="8" w:color="00539B"/>
            </w:tcBorders>
          </w:tcPr>
          <w:p>
            <w:pPr>
              <w:spacing w:after="0"/>
              <w:rPr>
                <w:sz w:val="16"/>
                <w:szCs w:val="16"/>
                <w:color w:val="auto"/>
              </w:rPr>
            </w:pPr>
          </w:p>
        </w:tc>
        <w:tc>
          <w:tcPr>
            <w:tcW w:w="1380" w:type="dxa"/>
            <w:vAlign w:val="bottom"/>
            <w:tcBorders>
              <w:bottom w:val="single" w:sz="8" w:color="00539B"/>
            </w:tcBorders>
            <w:gridSpan w:val="3"/>
          </w:tcPr>
          <w:p>
            <w:pPr>
              <w:jc w:val="center"/>
              <w:ind w:right="148"/>
              <w:spacing w:after="0"/>
              <w:rPr>
                <w:sz w:val="20"/>
                <w:szCs w:val="20"/>
                <w:color w:val="auto"/>
              </w:rPr>
            </w:pPr>
            <w:r>
              <w:rPr>
                <w:rFonts w:ascii="Arial" w:cs="Arial" w:eastAsia="Arial" w:hAnsi="Arial"/>
                <w:sz w:val="14"/>
                <w:szCs w:val="14"/>
                <w:color w:val="auto"/>
              </w:rPr>
              <w:t>recognized in OCI</w:t>
            </w:r>
          </w:p>
        </w:tc>
        <w:tc>
          <w:tcPr>
            <w:tcW w:w="2700" w:type="dxa"/>
            <w:vAlign w:val="bottom"/>
            <w:tcBorders>
              <w:bottom w:val="single" w:sz="8" w:color="00539B"/>
            </w:tcBorders>
          </w:tcPr>
          <w:p>
            <w:pPr>
              <w:jc w:val="right"/>
              <w:ind w:right="708"/>
              <w:spacing w:after="0"/>
              <w:rPr>
                <w:sz w:val="20"/>
                <w:szCs w:val="20"/>
                <w:color w:val="auto"/>
              </w:rPr>
            </w:pPr>
            <w:r>
              <w:rPr>
                <w:rFonts w:ascii="Arial" w:cs="Arial" w:eastAsia="Arial" w:hAnsi="Arial"/>
                <w:sz w:val="14"/>
                <w:szCs w:val="14"/>
                <w:color w:val="auto"/>
              </w:rPr>
              <w:t>location</w:t>
            </w:r>
          </w:p>
        </w:tc>
        <w:tc>
          <w:tcPr>
            <w:tcW w:w="240" w:type="dxa"/>
            <w:vAlign w:val="bottom"/>
            <w:tcBorders>
              <w:bottom w:val="single" w:sz="8" w:color="00539B"/>
            </w:tcBorders>
          </w:tcPr>
          <w:p>
            <w:pPr>
              <w:spacing w:after="0"/>
              <w:rPr>
                <w:sz w:val="16"/>
                <w:szCs w:val="16"/>
                <w:color w:val="auto"/>
              </w:rPr>
            </w:pPr>
          </w:p>
        </w:tc>
        <w:tc>
          <w:tcPr>
            <w:tcW w:w="860" w:type="dxa"/>
            <w:vAlign w:val="bottom"/>
            <w:tcBorders>
              <w:bottom w:val="single" w:sz="8" w:color="00539B"/>
            </w:tcBorders>
          </w:tcPr>
          <w:p>
            <w:pPr>
              <w:spacing w:after="0"/>
              <w:rPr>
                <w:sz w:val="16"/>
                <w:szCs w:val="16"/>
                <w:color w:val="auto"/>
              </w:rPr>
            </w:pPr>
          </w:p>
        </w:tc>
        <w:tc>
          <w:tcPr>
            <w:tcW w:w="140" w:type="dxa"/>
            <w:vAlign w:val="bottom"/>
            <w:tcBorders>
              <w:bottom w:val="single" w:sz="8" w:color="00539B"/>
            </w:tcBorders>
          </w:tcPr>
          <w:p>
            <w:pPr>
              <w:spacing w:after="0"/>
              <w:rPr>
                <w:sz w:val="16"/>
                <w:szCs w:val="16"/>
                <w:color w:val="auto"/>
              </w:rPr>
            </w:pPr>
          </w:p>
        </w:tc>
        <w:tc>
          <w:tcPr>
            <w:tcW w:w="960" w:type="dxa"/>
            <w:vAlign w:val="bottom"/>
            <w:tcBorders>
              <w:bottom w:val="single" w:sz="8" w:color="00539B"/>
            </w:tcBorders>
          </w:tcPr>
          <w:p>
            <w:pPr>
              <w:jc w:val="center"/>
              <w:ind w:right="8"/>
              <w:spacing w:after="0"/>
              <w:rPr>
                <w:sz w:val="20"/>
                <w:szCs w:val="20"/>
                <w:color w:val="auto"/>
              </w:rPr>
            </w:pPr>
            <w:r>
              <w:rPr>
                <w:rFonts w:ascii="Arial" w:cs="Arial" w:eastAsia="Arial" w:hAnsi="Arial"/>
                <w:sz w:val="14"/>
                <w:szCs w:val="14"/>
                <w:color w:val="auto"/>
              </w:rPr>
              <w:t>effectiveness</w:t>
            </w:r>
          </w:p>
        </w:tc>
        <w:tc>
          <w:tcPr>
            <w:tcW w:w="280" w:type="dxa"/>
            <w:vAlign w:val="bottom"/>
            <w:tcBorders>
              <w:bottom w:val="single" w:sz="8" w:color="00539B"/>
            </w:tcBorders>
          </w:tcPr>
          <w:p>
            <w:pPr>
              <w:spacing w:after="0"/>
              <w:rPr>
                <w:sz w:val="16"/>
                <w:szCs w:val="16"/>
                <w:color w:val="auto"/>
              </w:rPr>
            </w:pPr>
          </w:p>
        </w:tc>
        <w:tc>
          <w:tcPr>
            <w:tcW w:w="860" w:type="dxa"/>
            <w:vAlign w:val="bottom"/>
            <w:tcBorders>
              <w:bottom w:val="single" w:sz="8" w:color="00539B"/>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8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Derivative</w:t>
            </w:r>
          </w:p>
        </w:tc>
        <w:tc>
          <w:tcPr>
            <w:tcW w:w="260" w:type="dxa"/>
            <w:vAlign w:val="bottom"/>
            <w:tcBorders>
              <w:bottom w:val="single" w:sz="8" w:color="00539B"/>
            </w:tcBorders>
            <w:shd w:val="clear" w:color="auto" w:fill="E0E3F1"/>
          </w:tcPr>
          <w:p>
            <w:pPr>
              <w:spacing w:after="0"/>
              <w:rPr>
                <w:sz w:val="16"/>
                <w:szCs w:val="16"/>
                <w:color w:val="auto"/>
              </w:rPr>
            </w:pPr>
          </w:p>
        </w:tc>
        <w:tc>
          <w:tcPr>
            <w:tcW w:w="840" w:type="dxa"/>
            <w:vAlign w:val="bottom"/>
            <w:tcBorders>
              <w:bottom w:val="single" w:sz="8" w:color="00539B"/>
              <w:right w:val="single" w:sz="8" w:color="E0E3F1"/>
            </w:tcBorders>
            <w:shd w:val="clear" w:color="auto" w:fill="E0E3F1"/>
          </w:tcPr>
          <w:p>
            <w:pPr>
              <w:jc w:val="right"/>
              <w:ind w:right="308"/>
              <w:spacing w:after="0"/>
              <w:rPr>
                <w:sz w:val="20"/>
                <w:szCs w:val="20"/>
                <w:color w:val="auto"/>
              </w:rPr>
            </w:pPr>
            <w:r>
              <w:rPr>
                <w:rFonts w:ascii="Arial" w:cs="Arial" w:eastAsia="Arial" w:hAnsi="Arial"/>
                <w:sz w:val="14"/>
                <w:szCs w:val="14"/>
                <w:color w:val="auto"/>
              </w:rPr>
              <w:t>2025</w:t>
            </w:r>
          </w:p>
        </w:tc>
        <w:tc>
          <w:tcPr>
            <w:tcW w:w="160" w:type="dxa"/>
            <w:vAlign w:val="bottom"/>
            <w:tcBorders>
              <w:bottom w:val="single" w:sz="8" w:color="00539B"/>
            </w:tcBorders>
          </w:tcPr>
          <w:p>
            <w:pPr>
              <w:spacing w:after="0"/>
              <w:rPr>
                <w:sz w:val="16"/>
                <w:szCs w:val="16"/>
                <w:color w:val="auto"/>
              </w:rPr>
            </w:pPr>
          </w:p>
        </w:tc>
        <w:tc>
          <w:tcPr>
            <w:tcW w:w="940" w:type="dxa"/>
            <w:vAlign w:val="bottom"/>
            <w:tcBorders>
              <w:bottom w:val="single" w:sz="8" w:color="00539B"/>
            </w:tcBorders>
          </w:tcPr>
          <w:p>
            <w:pPr>
              <w:jc w:val="center"/>
              <w:ind w:right="68"/>
              <w:spacing w:after="0"/>
              <w:rPr>
                <w:sz w:val="20"/>
                <w:szCs w:val="20"/>
                <w:color w:val="auto"/>
              </w:rPr>
            </w:pPr>
            <w:r>
              <w:rPr>
                <w:rFonts w:ascii="Arial" w:cs="Arial" w:eastAsia="Arial" w:hAnsi="Arial"/>
                <w:sz w:val="14"/>
                <w:szCs w:val="14"/>
                <w:color w:val="auto"/>
              </w:rPr>
              <w:t>2024</w:t>
            </w:r>
          </w:p>
        </w:tc>
        <w:tc>
          <w:tcPr>
            <w:tcW w:w="280" w:type="dxa"/>
            <w:vAlign w:val="bottom"/>
            <w:tcBorders>
              <w:bottom w:val="single" w:sz="8" w:color="00539B"/>
            </w:tcBorders>
          </w:tcPr>
          <w:p>
            <w:pPr>
              <w:spacing w:after="0"/>
              <w:rPr>
                <w:sz w:val="16"/>
                <w:szCs w:val="16"/>
                <w:color w:val="auto"/>
              </w:rPr>
            </w:pPr>
          </w:p>
        </w:tc>
        <w:tc>
          <w:tcPr>
            <w:tcW w:w="2700" w:type="dxa"/>
            <w:vAlign w:val="bottom"/>
            <w:tcBorders>
              <w:bottom w:val="single" w:sz="8" w:color="00539B"/>
            </w:tcBorders>
          </w:tcPr>
          <w:p>
            <w:pPr>
              <w:jc w:val="right"/>
              <w:ind w:right="2168"/>
              <w:spacing w:after="0"/>
              <w:rPr>
                <w:sz w:val="20"/>
                <w:szCs w:val="20"/>
                <w:color w:val="auto"/>
              </w:rPr>
            </w:pPr>
            <w:r>
              <w:rPr>
                <w:rFonts w:ascii="Arial" w:cs="Arial" w:eastAsia="Arial" w:hAnsi="Arial"/>
                <w:sz w:val="14"/>
                <w:szCs w:val="14"/>
                <w:color w:val="auto"/>
              </w:rPr>
              <w:t>2023</w:t>
            </w:r>
          </w:p>
        </w:tc>
        <w:tc>
          <w:tcPr>
            <w:tcW w:w="240" w:type="dxa"/>
            <w:vAlign w:val="bottom"/>
            <w:tcBorders>
              <w:bottom w:val="single" w:sz="8" w:color="00539B"/>
            </w:tcBorders>
            <w:shd w:val="clear" w:color="auto" w:fill="E0E3F1"/>
          </w:tcPr>
          <w:p>
            <w:pPr>
              <w:spacing w:after="0"/>
              <w:rPr>
                <w:sz w:val="16"/>
                <w:szCs w:val="16"/>
                <w:color w:val="auto"/>
              </w:rPr>
            </w:pPr>
          </w:p>
        </w:tc>
        <w:tc>
          <w:tcPr>
            <w:tcW w:w="860" w:type="dxa"/>
            <w:vAlign w:val="bottom"/>
            <w:tcBorders>
              <w:bottom w:val="single" w:sz="8" w:color="00539B"/>
            </w:tcBorders>
            <w:shd w:val="clear" w:color="auto" w:fill="E0E3F1"/>
          </w:tcPr>
          <w:p>
            <w:pPr>
              <w:jc w:val="right"/>
              <w:ind w:right="308"/>
              <w:spacing w:after="0"/>
              <w:rPr>
                <w:sz w:val="20"/>
                <w:szCs w:val="20"/>
                <w:color w:val="auto"/>
              </w:rPr>
            </w:pPr>
            <w:r>
              <w:rPr>
                <w:rFonts w:ascii="Arial" w:cs="Arial" w:eastAsia="Arial" w:hAnsi="Arial"/>
                <w:sz w:val="14"/>
                <w:szCs w:val="14"/>
                <w:color w:val="auto"/>
              </w:rPr>
              <w:t>2025</w:t>
            </w:r>
          </w:p>
        </w:tc>
        <w:tc>
          <w:tcPr>
            <w:tcW w:w="140" w:type="dxa"/>
            <w:vAlign w:val="bottom"/>
            <w:tcBorders>
              <w:bottom w:val="single" w:sz="8" w:color="00539B"/>
            </w:tcBorders>
          </w:tcPr>
          <w:p>
            <w:pPr>
              <w:spacing w:after="0"/>
              <w:rPr>
                <w:sz w:val="16"/>
                <w:szCs w:val="16"/>
                <w:color w:val="auto"/>
              </w:rPr>
            </w:pPr>
          </w:p>
        </w:tc>
        <w:tc>
          <w:tcPr>
            <w:tcW w:w="960" w:type="dxa"/>
            <w:vAlign w:val="bottom"/>
            <w:tcBorders>
              <w:bottom w:val="single" w:sz="8" w:color="00539B"/>
            </w:tcBorders>
          </w:tcPr>
          <w:p>
            <w:pPr>
              <w:jc w:val="center"/>
              <w:ind w:right="48"/>
              <w:spacing w:after="0"/>
              <w:rPr>
                <w:sz w:val="20"/>
                <w:szCs w:val="20"/>
                <w:color w:val="auto"/>
              </w:rPr>
            </w:pPr>
            <w:r>
              <w:rPr>
                <w:rFonts w:ascii="Arial" w:cs="Arial" w:eastAsia="Arial" w:hAnsi="Arial"/>
                <w:sz w:val="14"/>
                <w:szCs w:val="14"/>
                <w:color w:val="auto"/>
              </w:rPr>
              <w:t>2024</w:t>
            </w:r>
          </w:p>
        </w:tc>
        <w:tc>
          <w:tcPr>
            <w:tcW w:w="280" w:type="dxa"/>
            <w:vAlign w:val="bottom"/>
            <w:tcBorders>
              <w:bottom w:val="single" w:sz="8" w:color="00539B"/>
            </w:tcBorders>
          </w:tcPr>
          <w:p>
            <w:pPr>
              <w:spacing w:after="0"/>
              <w:rPr>
                <w:sz w:val="16"/>
                <w:szCs w:val="16"/>
                <w:color w:val="auto"/>
              </w:rPr>
            </w:pPr>
          </w:p>
        </w:tc>
        <w:tc>
          <w:tcPr>
            <w:tcW w:w="860" w:type="dxa"/>
            <w:vAlign w:val="bottom"/>
            <w:tcBorders>
              <w:bottom w:val="single" w:sz="8" w:color="00539B"/>
            </w:tcBorders>
          </w:tcPr>
          <w:p>
            <w:pPr>
              <w:jc w:val="right"/>
              <w:ind w:right="328"/>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207"/>
        </w:trPr>
        <w:tc>
          <w:tcPr>
            <w:tcW w:w="228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Cross currency contracts</w:t>
            </w:r>
          </w:p>
        </w:tc>
        <w:tc>
          <w:tcPr>
            <w:tcW w:w="260" w:type="dxa"/>
            <w:vAlign w:val="bottom"/>
            <w:tcBorders>
              <w:bottom w:val="single" w:sz="8" w:color="00539B"/>
            </w:tcBorders>
            <w:shd w:val="clear" w:color="auto" w:fill="E0E3F1"/>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00539B"/>
              <w:right w:val="single" w:sz="8" w:color="E0E3F1"/>
            </w:tcBorders>
            <w:shd w:val="clear" w:color="auto" w:fill="E0E3F1"/>
          </w:tcPr>
          <w:p>
            <w:pPr>
              <w:jc w:val="right"/>
              <w:spacing w:after="0"/>
              <w:rPr>
                <w:sz w:val="20"/>
                <w:szCs w:val="20"/>
                <w:color w:val="auto"/>
              </w:rPr>
            </w:pPr>
            <w:r>
              <w:rPr>
                <w:rFonts w:ascii="Arial" w:cs="Arial" w:eastAsia="Arial" w:hAnsi="Arial"/>
                <w:sz w:val="14"/>
                <w:szCs w:val="14"/>
                <w:color w:val="auto"/>
              </w:rPr>
              <w:t>(46.6)</w:t>
            </w:r>
          </w:p>
        </w:tc>
        <w:tc>
          <w:tcPr>
            <w:tcW w:w="16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19.5</w:t>
            </w:r>
          </w:p>
        </w:tc>
        <w:tc>
          <w:tcPr>
            <w:tcW w:w="280" w:type="dxa"/>
            <w:vAlign w:val="bottom"/>
            <w:tcBorders>
              <w:bottom w:val="single" w:sz="8" w:color="00539B"/>
            </w:tcBorders>
          </w:tcPr>
          <w:p>
            <w:pPr>
              <w:jc w:val="right"/>
              <w:ind w:right="88"/>
              <w:spacing w:after="0"/>
              <w:rPr>
                <w:sz w:val="20"/>
                <w:szCs w:val="20"/>
                <w:color w:val="auto"/>
              </w:rPr>
            </w:pPr>
            <w:r>
              <w:rPr>
                <w:rFonts w:ascii="Arial" w:cs="Arial" w:eastAsia="Arial" w:hAnsi="Arial"/>
                <w:sz w:val="14"/>
                <w:szCs w:val="14"/>
                <w:color w:val="auto"/>
              </w:rPr>
              <w:t>$</w:t>
            </w:r>
          </w:p>
        </w:tc>
        <w:tc>
          <w:tcPr>
            <w:tcW w:w="2700" w:type="dxa"/>
            <w:vAlign w:val="bottom"/>
            <w:tcBorders>
              <w:bottom w:val="single" w:sz="8" w:color="00539B"/>
            </w:tcBorders>
          </w:tcPr>
          <w:p>
            <w:pPr>
              <w:jc w:val="right"/>
              <w:ind w:right="688"/>
              <w:spacing w:after="0"/>
              <w:rPr>
                <w:sz w:val="20"/>
                <w:szCs w:val="20"/>
                <w:color w:val="auto"/>
              </w:rPr>
            </w:pPr>
            <w:r>
              <w:rPr>
                <w:rFonts w:ascii="Arial" w:cs="Arial" w:eastAsia="Arial" w:hAnsi="Arial"/>
                <w:sz w:val="14"/>
                <w:szCs w:val="14"/>
                <w:color w:val="auto"/>
              </w:rPr>
              <w:t>(18.4) Interest expense</w:t>
            </w:r>
          </w:p>
        </w:tc>
        <w:tc>
          <w:tcPr>
            <w:tcW w:w="240" w:type="dxa"/>
            <w:vAlign w:val="bottom"/>
            <w:tcBorders>
              <w:bottom w:val="single" w:sz="8" w:color="00539B"/>
            </w:tcBorders>
            <w:shd w:val="clear" w:color="auto" w:fill="E0E3F1"/>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10.2</w:t>
            </w:r>
          </w:p>
        </w:tc>
        <w:tc>
          <w:tcPr>
            <w:tcW w:w="14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9.1</w:t>
            </w:r>
          </w:p>
        </w:tc>
        <w:tc>
          <w:tcPr>
            <w:tcW w:w="280" w:type="dxa"/>
            <w:vAlign w:val="bottom"/>
            <w:tcBorders>
              <w:bottom w:val="single" w:sz="8" w:color="00539B"/>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right="500"/>
        <w:spacing w:after="0" w:line="287" w:lineRule="auto"/>
        <w:rPr>
          <w:sz w:val="20"/>
          <w:szCs w:val="20"/>
          <w:color w:val="auto"/>
        </w:rPr>
      </w:pPr>
      <w:r>
        <w:rPr>
          <w:rFonts w:ascii="Arial" w:cs="Arial" w:eastAsia="Arial" w:hAnsi="Arial"/>
          <w:sz w:val="18"/>
          <w:szCs w:val="18"/>
          <w:color w:val="auto"/>
        </w:rPr>
        <w:t>For all net investment hedges, no amounts have been reclassified out of other comprehensive income (loss). The amounts noted in the tables above for OCI do not include any adjustments for the impact of deferred income taxes.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539B"/>
        </w:rPr>
        <w:t>Concentrations of Credit Risk</w:t>
      </w:r>
    </w:p>
    <w:p>
      <w:pPr>
        <w:spacing w:after="0" w:line="2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are potentially exposed to concentrations of credit risk with trade accounts receivable and financial instruments. The customers of our Consumer segment are predominantly food retailers and food wholesalers. Consolidations in these industries have created larger customers. In addition, competition has increased with the growth in alternative channels including mass merchandisers, dollar stores, warehouse clubs, discount chains and e-commerce. This has caused some customers to be less profitable and increased our exposure to credit risk. We generally have a large and diverse customer base which limits our concentration of credit risk. At November 30, 2025, we did not have amounts due from any single customer that exceed 10% of consolidated trade accounts receivable. Credit markets are volatile and some of our customers and counterparties are highly leveraged. We continue to closely monitor the credit worthiness of our customers and counterparties and generally do not require collateral. We believe that the allowance for doubtful accounts properly recognized trade receivables at realizable value. We consider nonperformance credit risk for other financial instruments to be insignificant.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00539B"/>
        </w:rPr>
        <w:t>8. FAIR VALUE MEASUREMENTS</w:t>
      </w:r>
    </w:p>
    <w:p>
      <w:pPr>
        <w:spacing w:after="0" w:line="104"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Fair value can be measured using valuation techniques, such as the market approach (comparable market prices), the income approach (present value of future income or cash flow) and the cost approach (cost to replace the service capacity of an asset or replacement cost). Accounting standards utilize a fair value hierarchy that prioritizes the inputs to valuation techniques used to measure fair value into three broad levels. The following is a brief description of those three levels: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65" w:name="page66"/>
    <w:bookmarkEnd w:id="65"/>
    <w:p>
      <w:pPr>
        <w:ind w:left="313" w:hanging="313"/>
        <w:spacing w:after="0"/>
        <w:tabs>
          <w:tab w:leader="none" w:pos="313"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Observable inputs such as quoted prices (unadjusted) in active markets for identical assets or liabilities.</w:t>
      </w:r>
    </w:p>
    <w:p>
      <w:pPr>
        <w:spacing w:after="0" w:line="26" w:lineRule="exact"/>
        <w:rPr>
          <w:rFonts w:ascii="Times New Roman" w:cs="Times New Roman" w:eastAsia="Times New Roman" w:hAnsi="Times New Roman"/>
          <w:sz w:val="18"/>
          <w:szCs w:val="18"/>
          <w:color w:val="auto"/>
        </w:rPr>
      </w:pPr>
    </w:p>
    <w:p>
      <w:pPr>
        <w:ind w:left="333" w:right="120" w:hanging="333"/>
        <w:spacing w:after="0" w:line="250" w:lineRule="auto"/>
        <w:tabs>
          <w:tab w:leader="none" w:pos="328"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Inputs other than quoted prices that are observable for the asset or liability, either directly or indirectly. These include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for similar assets or liabilities in active markets and quoted prices for identical or similar assets or liabilities in markets that are not active.</w:t>
      </w:r>
    </w:p>
    <w:p>
      <w:pPr>
        <w:ind w:left="313" w:hanging="313"/>
        <w:spacing w:after="0"/>
        <w:tabs>
          <w:tab w:leader="none" w:pos="313"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Unobservable inputs that reflect management’s own assumptions.</w:t>
      </w:r>
    </w:p>
    <w:p>
      <w:pPr>
        <w:spacing w:after="0" w:line="152" w:lineRule="exact"/>
        <w:rPr>
          <w:sz w:val="20"/>
          <w:szCs w:val="20"/>
          <w:color w:val="auto"/>
        </w:rPr>
      </w:pPr>
    </w:p>
    <w:p>
      <w:pPr>
        <w:ind w:left="33"/>
        <w:spacing w:after="0"/>
        <w:rPr>
          <w:sz w:val="20"/>
          <w:szCs w:val="20"/>
          <w:color w:val="auto"/>
        </w:rPr>
      </w:pPr>
      <w:r>
        <w:rPr>
          <w:rFonts w:ascii="Arial" w:cs="Arial" w:eastAsia="Arial" w:hAnsi="Arial"/>
          <w:sz w:val="18"/>
          <w:szCs w:val="18"/>
          <w:color w:val="auto"/>
        </w:rPr>
        <w:t>Our population of assets and liabilities subject to fair value measurements on a recurring basis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34925</wp:posOffset>
            </wp:positionV>
            <wp:extent cx="6197600" cy="20231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197600" cy="2023110"/>
                    </a:xfrm>
                    <a:prstGeom prst="rect">
                      <a:avLst/>
                    </a:prstGeom>
                    <a:noFill/>
                  </pic:spPr>
                </pic:pic>
              </a:graphicData>
            </a:graphic>
          </wp:anchor>
        </w:drawing>
      </w:r>
    </w:p>
    <w:p>
      <w:pPr>
        <w:spacing w:after="0" w:line="39" w:lineRule="exact"/>
        <w:rPr>
          <w:sz w:val="20"/>
          <w:szCs w:val="20"/>
          <w:color w:val="auto"/>
        </w:rPr>
      </w:pPr>
    </w:p>
    <w:p>
      <w:pPr>
        <w:jc w:val="center"/>
        <w:ind w:left="3920"/>
        <w:spacing w:after="0"/>
        <w:rPr>
          <w:sz w:val="20"/>
          <w:szCs w:val="20"/>
          <w:color w:val="auto"/>
        </w:rPr>
      </w:pPr>
      <w:r>
        <w:rPr>
          <w:rFonts w:ascii="Arial" w:cs="Arial" w:eastAsia="Arial" w:hAnsi="Arial"/>
          <w:sz w:val="14"/>
          <w:szCs w:val="14"/>
          <w:color w:val="auto"/>
        </w:rPr>
        <w:t>Fair value measurements using fair</w:t>
      </w:r>
    </w:p>
    <w:p>
      <w:pPr>
        <w:jc w:val="right"/>
        <w:ind w:right="2260"/>
        <w:spacing w:after="0" w:line="203" w:lineRule="auto"/>
        <w:rPr>
          <w:sz w:val="20"/>
          <w:szCs w:val="20"/>
          <w:color w:val="auto"/>
        </w:rPr>
      </w:pPr>
      <w:r>
        <w:rPr>
          <w:rFonts w:ascii="Arial" w:cs="Arial" w:eastAsia="Arial" w:hAnsi="Arial"/>
          <w:sz w:val="14"/>
          <w:szCs w:val="14"/>
          <w:color w:val="auto"/>
        </w:rPr>
        <w:t>value hierarchy as of</w:t>
      </w:r>
    </w:p>
    <w:p>
      <w:pPr>
        <w:jc w:val="right"/>
        <w:ind w:right="2280"/>
        <w:spacing w:after="0"/>
        <w:rPr>
          <w:sz w:val="20"/>
          <w:szCs w:val="20"/>
          <w:color w:val="auto"/>
        </w:rPr>
      </w:pPr>
      <w:r>
        <w:rPr>
          <w:rFonts w:ascii="Arial" w:cs="Arial" w:eastAsia="Arial" w:hAnsi="Arial"/>
          <w:sz w:val="14"/>
          <w:szCs w:val="14"/>
          <w:color w:val="auto"/>
        </w:rPr>
        <w:t>November 30, 2025</w:t>
      </w:r>
    </w:p>
    <w:p>
      <w:pPr>
        <w:spacing w:after="0" w:line="15" w:lineRule="exact"/>
        <w:rPr>
          <w:sz w:val="20"/>
          <w:szCs w:val="20"/>
          <w:color w:val="auto"/>
        </w:rPr>
      </w:pPr>
    </w:p>
    <w:tbl>
      <w:tblPr>
        <w:tblLayout w:type="fixed"/>
        <w:tblInd w:w="33" w:type="dxa"/>
        <w:tblCellMar>
          <w:top w:w="0" w:type="dxa"/>
          <w:left w:w="0" w:type="dxa"/>
          <w:bottom w:w="0" w:type="dxa"/>
          <w:right w:w="0" w:type="dxa"/>
        </w:tblCellMar>
      </w:tblPr>
      <w:tr>
        <w:trPr>
          <w:trHeight w:val="200"/>
        </w:trPr>
        <w:tc>
          <w:tcPr>
            <w:tcW w:w="540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(millions)</w:t>
            </w:r>
          </w:p>
        </w:tc>
        <w:tc>
          <w:tcPr>
            <w:tcW w:w="260" w:type="dxa"/>
            <w:vAlign w:val="bottom"/>
            <w:tcBorders>
              <w:top w:val="single" w:sz="8" w:color="E0E3F1"/>
              <w:bottom w:val="single" w:sz="8" w:color="00539B"/>
            </w:tcBorders>
            <w:shd w:val="clear" w:color="auto" w:fill="E0E3F1"/>
          </w:tcPr>
          <w:p>
            <w:pPr>
              <w:spacing w:after="0"/>
              <w:rPr>
                <w:sz w:val="17"/>
                <w:szCs w:val="17"/>
                <w:color w:val="auto"/>
              </w:rPr>
            </w:pPr>
          </w:p>
        </w:tc>
        <w:tc>
          <w:tcPr>
            <w:tcW w:w="1200" w:type="dxa"/>
            <w:vAlign w:val="bottom"/>
            <w:tcBorders>
              <w:top w:val="single" w:sz="8" w:color="E0E3F1"/>
              <w:bottom w:val="single" w:sz="8" w:color="00539B"/>
            </w:tcBorders>
            <w:shd w:val="clear" w:color="auto" w:fill="E0E3F1"/>
          </w:tcPr>
          <w:p>
            <w:pPr>
              <w:jc w:val="right"/>
              <w:ind w:right="348"/>
              <w:spacing w:after="0"/>
              <w:rPr>
                <w:sz w:val="20"/>
                <w:szCs w:val="20"/>
                <w:color w:val="auto"/>
              </w:rPr>
            </w:pPr>
            <w:r>
              <w:rPr>
                <w:rFonts w:ascii="Arial" w:cs="Arial" w:eastAsia="Arial" w:hAnsi="Arial"/>
                <w:sz w:val="14"/>
                <w:szCs w:val="14"/>
                <w:color w:val="auto"/>
              </w:rPr>
              <w:t>Fair value</w:t>
            </w:r>
          </w:p>
        </w:tc>
        <w:tc>
          <w:tcPr>
            <w:tcW w:w="1020" w:type="dxa"/>
            <w:vAlign w:val="bottom"/>
            <w:tcBorders>
              <w:top w:val="single" w:sz="8" w:color="00539B"/>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Level 1</w:t>
            </w:r>
          </w:p>
        </w:tc>
        <w:tc>
          <w:tcPr>
            <w:tcW w:w="400" w:type="dxa"/>
            <w:vAlign w:val="bottom"/>
            <w:tcBorders>
              <w:top w:val="single" w:sz="8" w:color="00539B"/>
              <w:bottom w:val="single" w:sz="8" w:color="00539B"/>
            </w:tcBorders>
            <w:shd w:val="clear" w:color="auto" w:fill="E0E3F1"/>
          </w:tcPr>
          <w:p>
            <w:pPr>
              <w:spacing w:after="0"/>
              <w:rPr>
                <w:sz w:val="17"/>
                <w:szCs w:val="17"/>
                <w:color w:val="auto"/>
              </w:rPr>
            </w:pPr>
          </w:p>
        </w:tc>
        <w:tc>
          <w:tcPr>
            <w:tcW w:w="320" w:type="dxa"/>
            <w:vAlign w:val="bottom"/>
            <w:tcBorders>
              <w:top w:val="single" w:sz="8" w:color="00539B"/>
              <w:bottom w:val="single" w:sz="8" w:color="00539B"/>
            </w:tcBorders>
            <w:shd w:val="clear" w:color="auto" w:fill="E0E3F1"/>
          </w:tcPr>
          <w:p>
            <w:pPr>
              <w:spacing w:after="0"/>
              <w:rPr>
                <w:sz w:val="17"/>
                <w:szCs w:val="17"/>
                <w:color w:val="auto"/>
              </w:rPr>
            </w:pPr>
          </w:p>
        </w:tc>
        <w:tc>
          <w:tcPr>
            <w:tcW w:w="1160" w:type="dxa"/>
            <w:vAlign w:val="bottom"/>
            <w:tcBorders>
              <w:top w:val="single" w:sz="8" w:color="00539B"/>
              <w:bottom w:val="single" w:sz="8" w:color="00539B"/>
            </w:tcBorders>
            <w:shd w:val="clear" w:color="auto" w:fill="E0E3F1"/>
          </w:tcPr>
          <w:p>
            <w:pPr>
              <w:jc w:val="right"/>
              <w:ind w:right="408"/>
              <w:spacing w:after="0"/>
              <w:rPr>
                <w:sz w:val="20"/>
                <w:szCs w:val="20"/>
                <w:color w:val="auto"/>
              </w:rPr>
            </w:pPr>
            <w:r>
              <w:rPr>
                <w:rFonts w:ascii="Arial" w:cs="Arial" w:eastAsia="Arial" w:hAnsi="Arial"/>
                <w:sz w:val="14"/>
                <w:szCs w:val="14"/>
                <w:color w:val="auto"/>
              </w:rPr>
              <w:t>Level 2</w:t>
            </w:r>
          </w:p>
        </w:tc>
      </w:tr>
      <w:tr>
        <w:trPr>
          <w:trHeight w:val="192"/>
        </w:trPr>
        <w:tc>
          <w:tcPr>
            <w:tcW w:w="5400" w:type="dxa"/>
            <w:vAlign w:val="bottom"/>
          </w:tcPr>
          <w:p>
            <w:pPr>
              <w:ind w:left="20"/>
              <w:spacing w:after="0"/>
              <w:rPr>
                <w:sz w:val="20"/>
                <w:szCs w:val="20"/>
                <w:color w:val="auto"/>
              </w:rPr>
            </w:pPr>
            <w:r>
              <w:rPr>
                <w:rFonts w:ascii="Arial" w:cs="Arial" w:eastAsia="Arial" w:hAnsi="Arial"/>
                <w:sz w:val="14"/>
                <w:szCs w:val="14"/>
                <w:color w:val="auto"/>
              </w:rPr>
              <w:t>Assets:</w:t>
            </w:r>
          </w:p>
        </w:tc>
        <w:tc>
          <w:tcPr>
            <w:tcW w:w="260" w:type="dxa"/>
            <w:vAlign w:val="bottom"/>
            <w:shd w:val="clear" w:color="auto" w:fill="E0E3F1"/>
          </w:tcPr>
          <w:p>
            <w:pPr>
              <w:spacing w:after="0"/>
              <w:rPr>
                <w:sz w:val="16"/>
                <w:szCs w:val="16"/>
                <w:color w:val="auto"/>
              </w:rPr>
            </w:pPr>
          </w:p>
        </w:tc>
        <w:tc>
          <w:tcPr>
            <w:tcW w:w="1200" w:type="dxa"/>
            <w:vAlign w:val="bottom"/>
            <w:shd w:val="clear" w:color="auto" w:fill="E0E3F1"/>
          </w:tcPr>
          <w:p>
            <w:pPr>
              <w:spacing w:after="0"/>
              <w:rPr>
                <w:sz w:val="16"/>
                <w:szCs w:val="16"/>
                <w:color w:val="auto"/>
              </w:rPr>
            </w:pPr>
          </w:p>
        </w:tc>
        <w:tc>
          <w:tcPr>
            <w:tcW w:w="1020" w:type="dxa"/>
            <w:vAlign w:val="bottom"/>
            <w:shd w:val="clear" w:color="auto" w:fill="E0E3F1"/>
          </w:tcPr>
          <w:p>
            <w:pPr>
              <w:spacing w:after="0"/>
              <w:rPr>
                <w:sz w:val="16"/>
                <w:szCs w:val="16"/>
                <w:color w:val="auto"/>
              </w:rPr>
            </w:pPr>
          </w:p>
        </w:tc>
        <w:tc>
          <w:tcPr>
            <w:tcW w:w="400" w:type="dxa"/>
            <w:vAlign w:val="bottom"/>
            <w:shd w:val="clear" w:color="auto" w:fill="E0E3F1"/>
          </w:tcPr>
          <w:p>
            <w:pPr>
              <w:spacing w:after="0"/>
              <w:rPr>
                <w:sz w:val="16"/>
                <w:szCs w:val="16"/>
                <w:color w:val="auto"/>
              </w:rPr>
            </w:pPr>
          </w:p>
        </w:tc>
        <w:tc>
          <w:tcPr>
            <w:tcW w:w="320" w:type="dxa"/>
            <w:vAlign w:val="bottom"/>
            <w:shd w:val="clear" w:color="auto" w:fill="E0E3F1"/>
          </w:tcPr>
          <w:p>
            <w:pPr>
              <w:spacing w:after="0"/>
              <w:rPr>
                <w:sz w:val="16"/>
                <w:szCs w:val="16"/>
                <w:color w:val="auto"/>
              </w:rPr>
            </w:pPr>
          </w:p>
        </w:tc>
        <w:tc>
          <w:tcPr>
            <w:tcW w:w="1160" w:type="dxa"/>
            <w:vAlign w:val="bottom"/>
            <w:shd w:val="clear" w:color="auto" w:fill="E0E3F1"/>
          </w:tcPr>
          <w:p>
            <w:pPr>
              <w:spacing w:after="0"/>
              <w:rPr>
                <w:sz w:val="16"/>
                <w:szCs w:val="16"/>
                <w:color w:val="auto"/>
              </w:rPr>
            </w:pPr>
          </w:p>
        </w:tc>
      </w:tr>
      <w:tr>
        <w:trPr>
          <w:trHeight w:val="203"/>
        </w:trPr>
        <w:tc>
          <w:tcPr>
            <w:tcW w:w="5400" w:type="dxa"/>
            <w:vAlign w:val="bottom"/>
          </w:tcPr>
          <w:p>
            <w:pPr>
              <w:ind w:left="140"/>
              <w:spacing w:after="0"/>
              <w:rPr>
                <w:sz w:val="20"/>
                <w:szCs w:val="20"/>
                <w:color w:val="auto"/>
              </w:rPr>
            </w:pPr>
            <w:r>
              <w:rPr>
                <w:rFonts w:ascii="Arial" w:cs="Arial" w:eastAsia="Arial" w:hAnsi="Arial"/>
                <w:sz w:val="14"/>
                <w:szCs w:val="14"/>
                <w:color w:val="auto"/>
              </w:rPr>
              <w:t>Cash and cash equivalents</w:t>
            </w:r>
          </w:p>
        </w:tc>
        <w:tc>
          <w:tcPr>
            <w:tcW w:w="260" w:type="dxa"/>
            <w:vAlign w:val="bottom"/>
            <w:shd w:val="clear" w:color="auto" w:fill="E0E3F1"/>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E0E3F1"/>
          </w:tcPr>
          <w:p>
            <w:pPr>
              <w:jc w:val="right"/>
              <w:ind w:right="8"/>
              <w:spacing w:after="0"/>
              <w:rPr>
                <w:sz w:val="20"/>
                <w:szCs w:val="20"/>
                <w:color w:val="auto"/>
              </w:rPr>
            </w:pPr>
            <w:r>
              <w:rPr>
                <w:rFonts w:ascii="Arial" w:cs="Arial" w:eastAsia="Arial" w:hAnsi="Arial"/>
                <w:sz w:val="14"/>
                <w:szCs w:val="14"/>
                <w:color w:val="auto"/>
              </w:rPr>
              <w:t>95.9</w:t>
            </w:r>
          </w:p>
        </w:tc>
        <w:tc>
          <w:tcPr>
            <w:tcW w:w="1020" w:type="dxa"/>
            <w:vAlign w:val="bottom"/>
            <w:shd w:val="clear" w:color="auto" w:fill="E0E3F1"/>
          </w:tcPr>
          <w:p>
            <w:pPr>
              <w:jc w:val="right"/>
              <w:ind w:right="848"/>
              <w:spacing w:after="0"/>
              <w:rPr>
                <w:sz w:val="20"/>
                <w:szCs w:val="20"/>
                <w:color w:val="auto"/>
              </w:rPr>
            </w:pPr>
            <w:r>
              <w:rPr>
                <w:rFonts w:ascii="Arial" w:cs="Arial" w:eastAsia="Arial" w:hAnsi="Arial"/>
                <w:sz w:val="14"/>
                <w:szCs w:val="14"/>
                <w:color w:val="auto"/>
              </w:rPr>
              <w:t>$</w:t>
            </w:r>
          </w:p>
        </w:tc>
        <w:tc>
          <w:tcPr>
            <w:tcW w:w="400" w:type="dxa"/>
            <w:vAlign w:val="bottom"/>
            <w:shd w:val="clear" w:color="auto" w:fill="E0E3F1"/>
          </w:tcPr>
          <w:p>
            <w:pPr>
              <w:jc w:val="right"/>
              <w:spacing w:after="0"/>
              <w:rPr>
                <w:sz w:val="20"/>
                <w:szCs w:val="20"/>
                <w:color w:val="auto"/>
              </w:rPr>
            </w:pPr>
            <w:r>
              <w:rPr>
                <w:rFonts w:ascii="Arial" w:cs="Arial" w:eastAsia="Arial" w:hAnsi="Arial"/>
                <w:sz w:val="14"/>
                <w:szCs w:val="14"/>
                <w:color w:val="auto"/>
              </w:rPr>
              <w:t>95.9</w:t>
            </w:r>
          </w:p>
        </w:tc>
        <w:tc>
          <w:tcPr>
            <w:tcW w:w="320" w:type="dxa"/>
            <w:vAlign w:val="bottom"/>
            <w:shd w:val="clear" w:color="auto" w:fill="E0E3F1"/>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5400" w:type="dxa"/>
            <w:vAlign w:val="bottom"/>
          </w:tcPr>
          <w:p>
            <w:pPr>
              <w:ind w:left="140"/>
              <w:spacing w:after="0"/>
              <w:rPr>
                <w:sz w:val="20"/>
                <w:szCs w:val="20"/>
                <w:color w:val="auto"/>
              </w:rPr>
            </w:pPr>
            <w:r>
              <w:rPr>
                <w:rFonts w:ascii="Arial" w:cs="Arial" w:eastAsia="Arial" w:hAnsi="Arial"/>
                <w:sz w:val="14"/>
                <w:szCs w:val="14"/>
                <w:color w:val="auto"/>
              </w:rPr>
              <w:t>Insurance contracts</w:t>
            </w:r>
          </w:p>
        </w:tc>
        <w:tc>
          <w:tcPr>
            <w:tcW w:w="260" w:type="dxa"/>
            <w:vAlign w:val="bottom"/>
            <w:shd w:val="clear" w:color="auto" w:fill="E0E3F1"/>
          </w:tcPr>
          <w:p>
            <w:pPr>
              <w:spacing w:after="0"/>
              <w:rPr>
                <w:sz w:val="17"/>
                <w:szCs w:val="17"/>
                <w:color w:val="auto"/>
              </w:rPr>
            </w:pPr>
          </w:p>
        </w:tc>
        <w:tc>
          <w:tcPr>
            <w:tcW w:w="1200" w:type="dxa"/>
            <w:vAlign w:val="bottom"/>
            <w:shd w:val="clear" w:color="auto" w:fill="E0E3F1"/>
          </w:tcPr>
          <w:p>
            <w:pPr>
              <w:jc w:val="right"/>
              <w:ind w:right="8"/>
              <w:spacing w:after="0"/>
              <w:rPr>
                <w:sz w:val="20"/>
                <w:szCs w:val="20"/>
                <w:color w:val="auto"/>
              </w:rPr>
            </w:pPr>
            <w:r>
              <w:rPr>
                <w:rFonts w:ascii="Arial" w:cs="Arial" w:eastAsia="Arial" w:hAnsi="Arial"/>
                <w:sz w:val="14"/>
                <w:szCs w:val="14"/>
                <w:color w:val="auto"/>
              </w:rPr>
              <w:t>131.0</w:t>
            </w:r>
          </w:p>
        </w:tc>
        <w:tc>
          <w:tcPr>
            <w:tcW w:w="1020" w:type="dxa"/>
            <w:vAlign w:val="bottom"/>
            <w:shd w:val="clear" w:color="auto" w:fill="E0E3F1"/>
          </w:tcPr>
          <w:p>
            <w:pPr>
              <w:spacing w:after="0"/>
              <w:rPr>
                <w:sz w:val="17"/>
                <w:szCs w:val="17"/>
                <w:color w:val="auto"/>
              </w:rPr>
            </w:pPr>
          </w:p>
        </w:tc>
        <w:tc>
          <w:tcPr>
            <w:tcW w:w="400" w:type="dxa"/>
            <w:vAlign w:val="bottom"/>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E0E3F1"/>
          </w:tcPr>
          <w:p>
            <w:pPr>
              <w:spacing w:after="0"/>
              <w:rPr>
                <w:sz w:val="17"/>
                <w:szCs w:val="17"/>
                <w:color w:val="auto"/>
              </w:rPr>
            </w:pPr>
          </w:p>
        </w:tc>
        <w:tc>
          <w:tcPr>
            <w:tcW w:w="11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131.0</w:t>
            </w:r>
          </w:p>
        </w:tc>
      </w:tr>
      <w:tr>
        <w:trPr>
          <w:trHeight w:val="203"/>
        </w:trPr>
        <w:tc>
          <w:tcPr>
            <w:tcW w:w="5400" w:type="dxa"/>
            <w:vAlign w:val="bottom"/>
          </w:tcPr>
          <w:p>
            <w:pPr>
              <w:ind w:left="140"/>
              <w:spacing w:after="0"/>
              <w:rPr>
                <w:sz w:val="20"/>
                <w:szCs w:val="20"/>
                <w:color w:val="auto"/>
              </w:rPr>
            </w:pPr>
            <w:r>
              <w:rPr>
                <w:rFonts w:ascii="Arial" w:cs="Arial" w:eastAsia="Arial" w:hAnsi="Arial"/>
                <w:sz w:val="14"/>
                <w:szCs w:val="14"/>
                <w:color w:val="auto"/>
              </w:rPr>
              <w:t>Bonds and money market fund</w:t>
            </w:r>
          </w:p>
        </w:tc>
        <w:tc>
          <w:tcPr>
            <w:tcW w:w="260" w:type="dxa"/>
            <w:vAlign w:val="bottom"/>
            <w:shd w:val="clear" w:color="auto" w:fill="E0E3F1"/>
          </w:tcPr>
          <w:p>
            <w:pPr>
              <w:spacing w:after="0"/>
              <w:rPr>
                <w:sz w:val="17"/>
                <w:szCs w:val="17"/>
                <w:color w:val="auto"/>
              </w:rPr>
            </w:pPr>
          </w:p>
        </w:tc>
        <w:tc>
          <w:tcPr>
            <w:tcW w:w="1200" w:type="dxa"/>
            <w:vAlign w:val="bottom"/>
            <w:shd w:val="clear" w:color="auto" w:fill="E0E3F1"/>
          </w:tcPr>
          <w:p>
            <w:pPr>
              <w:jc w:val="right"/>
              <w:ind w:right="8"/>
              <w:spacing w:after="0"/>
              <w:rPr>
                <w:sz w:val="20"/>
                <w:szCs w:val="20"/>
                <w:color w:val="auto"/>
              </w:rPr>
            </w:pPr>
            <w:r>
              <w:rPr>
                <w:rFonts w:ascii="Arial" w:cs="Arial" w:eastAsia="Arial" w:hAnsi="Arial"/>
                <w:sz w:val="14"/>
                <w:szCs w:val="14"/>
                <w:color w:val="auto"/>
              </w:rPr>
              <w:t>1.9</w:t>
            </w:r>
          </w:p>
        </w:tc>
        <w:tc>
          <w:tcPr>
            <w:tcW w:w="1020" w:type="dxa"/>
            <w:vAlign w:val="bottom"/>
            <w:shd w:val="clear" w:color="auto" w:fill="E0E3F1"/>
          </w:tcPr>
          <w:p>
            <w:pPr>
              <w:spacing w:after="0"/>
              <w:rPr>
                <w:sz w:val="17"/>
                <w:szCs w:val="17"/>
                <w:color w:val="auto"/>
              </w:rPr>
            </w:pPr>
          </w:p>
        </w:tc>
        <w:tc>
          <w:tcPr>
            <w:tcW w:w="400" w:type="dxa"/>
            <w:vAlign w:val="bottom"/>
            <w:shd w:val="clear" w:color="auto" w:fill="E0E3F1"/>
          </w:tcPr>
          <w:p>
            <w:pPr>
              <w:jc w:val="right"/>
              <w:spacing w:after="0"/>
              <w:rPr>
                <w:sz w:val="20"/>
                <w:szCs w:val="20"/>
                <w:color w:val="auto"/>
              </w:rPr>
            </w:pPr>
            <w:r>
              <w:rPr>
                <w:rFonts w:ascii="Arial" w:cs="Arial" w:eastAsia="Arial" w:hAnsi="Arial"/>
                <w:sz w:val="14"/>
                <w:szCs w:val="14"/>
                <w:color w:val="auto"/>
              </w:rPr>
              <w:t>1.9</w:t>
            </w:r>
          </w:p>
        </w:tc>
        <w:tc>
          <w:tcPr>
            <w:tcW w:w="320" w:type="dxa"/>
            <w:vAlign w:val="bottom"/>
            <w:shd w:val="clear" w:color="auto" w:fill="E0E3F1"/>
          </w:tcPr>
          <w:p>
            <w:pPr>
              <w:spacing w:after="0"/>
              <w:rPr>
                <w:sz w:val="17"/>
                <w:szCs w:val="17"/>
                <w:color w:val="auto"/>
              </w:rPr>
            </w:pPr>
          </w:p>
        </w:tc>
        <w:tc>
          <w:tcPr>
            <w:tcW w:w="11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5400" w:type="dxa"/>
            <w:vAlign w:val="bottom"/>
          </w:tcPr>
          <w:p>
            <w:pPr>
              <w:ind w:left="140"/>
              <w:spacing w:after="0"/>
              <w:rPr>
                <w:sz w:val="20"/>
                <w:szCs w:val="20"/>
                <w:color w:val="auto"/>
              </w:rPr>
            </w:pPr>
            <w:r>
              <w:rPr>
                <w:rFonts w:ascii="Arial" w:cs="Arial" w:eastAsia="Arial" w:hAnsi="Arial"/>
                <w:sz w:val="14"/>
                <w:szCs w:val="14"/>
                <w:color w:val="auto"/>
              </w:rPr>
              <w:t>Foreign currency derivatives</w:t>
            </w:r>
          </w:p>
        </w:tc>
        <w:tc>
          <w:tcPr>
            <w:tcW w:w="260" w:type="dxa"/>
            <w:vAlign w:val="bottom"/>
            <w:shd w:val="clear" w:color="auto" w:fill="E0E3F1"/>
          </w:tcPr>
          <w:p>
            <w:pPr>
              <w:spacing w:after="0"/>
              <w:rPr>
                <w:sz w:val="17"/>
                <w:szCs w:val="17"/>
                <w:color w:val="auto"/>
              </w:rPr>
            </w:pPr>
          </w:p>
        </w:tc>
        <w:tc>
          <w:tcPr>
            <w:tcW w:w="1200" w:type="dxa"/>
            <w:vAlign w:val="bottom"/>
            <w:shd w:val="clear" w:color="auto" w:fill="E0E3F1"/>
          </w:tcPr>
          <w:p>
            <w:pPr>
              <w:jc w:val="right"/>
              <w:ind w:right="8"/>
              <w:spacing w:after="0"/>
              <w:rPr>
                <w:sz w:val="20"/>
                <w:szCs w:val="20"/>
                <w:color w:val="auto"/>
              </w:rPr>
            </w:pPr>
            <w:r>
              <w:rPr>
                <w:rFonts w:ascii="Arial" w:cs="Arial" w:eastAsia="Arial" w:hAnsi="Arial"/>
                <w:sz w:val="14"/>
                <w:szCs w:val="14"/>
                <w:color w:val="auto"/>
              </w:rPr>
              <w:t>6.5</w:t>
            </w:r>
          </w:p>
        </w:tc>
        <w:tc>
          <w:tcPr>
            <w:tcW w:w="1020" w:type="dxa"/>
            <w:vAlign w:val="bottom"/>
            <w:shd w:val="clear" w:color="auto" w:fill="E0E3F1"/>
          </w:tcPr>
          <w:p>
            <w:pPr>
              <w:spacing w:after="0"/>
              <w:rPr>
                <w:sz w:val="17"/>
                <w:szCs w:val="17"/>
                <w:color w:val="auto"/>
              </w:rPr>
            </w:pPr>
          </w:p>
        </w:tc>
        <w:tc>
          <w:tcPr>
            <w:tcW w:w="400" w:type="dxa"/>
            <w:vAlign w:val="bottom"/>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E0E3F1"/>
          </w:tcPr>
          <w:p>
            <w:pPr>
              <w:spacing w:after="0"/>
              <w:rPr>
                <w:sz w:val="17"/>
                <w:szCs w:val="17"/>
                <w:color w:val="auto"/>
              </w:rPr>
            </w:pPr>
          </w:p>
        </w:tc>
        <w:tc>
          <w:tcPr>
            <w:tcW w:w="11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6.5</w:t>
            </w:r>
          </w:p>
        </w:tc>
      </w:tr>
      <w:tr>
        <w:trPr>
          <w:trHeight w:val="207"/>
        </w:trPr>
        <w:tc>
          <w:tcPr>
            <w:tcW w:w="5400" w:type="dxa"/>
            <w:vAlign w:val="bottom"/>
            <w:tcBorders>
              <w:bottom w:val="single" w:sz="8" w:color="00539B"/>
            </w:tcBorders>
          </w:tcPr>
          <w:p>
            <w:pPr>
              <w:ind w:left="140"/>
              <w:spacing w:after="0"/>
              <w:rPr>
                <w:sz w:val="20"/>
                <w:szCs w:val="20"/>
                <w:color w:val="auto"/>
              </w:rPr>
            </w:pPr>
            <w:r>
              <w:rPr>
                <w:rFonts w:ascii="Arial" w:cs="Arial" w:eastAsia="Arial" w:hAnsi="Arial"/>
                <w:sz w:val="14"/>
                <w:szCs w:val="14"/>
                <w:color w:val="auto"/>
              </w:rPr>
              <w:t>Cross currency contracts</w:t>
            </w:r>
          </w:p>
        </w:tc>
        <w:tc>
          <w:tcPr>
            <w:tcW w:w="260" w:type="dxa"/>
            <w:vAlign w:val="bottom"/>
            <w:tcBorders>
              <w:bottom w:val="single" w:sz="8" w:color="00539B"/>
            </w:tcBorders>
            <w:shd w:val="clear" w:color="auto" w:fill="E0E3F1"/>
          </w:tcPr>
          <w:p>
            <w:pPr>
              <w:spacing w:after="0"/>
              <w:rPr>
                <w:sz w:val="17"/>
                <w:szCs w:val="17"/>
                <w:color w:val="auto"/>
              </w:rPr>
            </w:pPr>
          </w:p>
        </w:tc>
        <w:tc>
          <w:tcPr>
            <w:tcW w:w="1200" w:type="dxa"/>
            <w:vAlign w:val="bottom"/>
            <w:tcBorders>
              <w:bottom w:val="single" w:sz="8" w:color="00539B"/>
            </w:tcBorders>
            <w:shd w:val="clear" w:color="auto" w:fill="E0E3F1"/>
          </w:tcPr>
          <w:p>
            <w:pPr>
              <w:jc w:val="right"/>
              <w:ind w:right="8"/>
              <w:spacing w:after="0"/>
              <w:rPr>
                <w:sz w:val="20"/>
                <w:szCs w:val="20"/>
                <w:color w:val="auto"/>
              </w:rPr>
            </w:pPr>
            <w:r>
              <w:rPr>
                <w:rFonts w:ascii="Arial" w:cs="Arial" w:eastAsia="Arial" w:hAnsi="Arial"/>
                <w:sz w:val="14"/>
                <w:szCs w:val="14"/>
                <w:color w:val="auto"/>
              </w:rPr>
              <w:t>8.5</w:t>
            </w:r>
          </w:p>
        </w:tc>
        <w:tc>
          <w:tcPr>
            <w:tcW w:w="1020" w:type="dxa"/>
            <w:vAlign w:val="bottom"/>
            <w:tcBorders>
              <w:bottom w:val="single" w:sz="8" w:color="00539B"/>
            </w:tcBorders>
            <w:shd w:val="clear" w:color="auto" w:fill="E0E3F1"/>
          </w:tcPr>
          <w:p>
            <w:pPr>
              <w:spacing w:after="0"/>
              <w:rPr>
                <w:sz w:val="17"/>
                <w:szCs w:val="17"/>
                <w:color w:val="auto"/>
              </w:rPr>
            </w:pPr>
          </w:p>
        </w:tc>
        <w:tc>
          <w:tcPr>
            <w:tcW w:w="40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00539B"/>
            </w:tcBorders>
            <w:shd w:val="clear" w:color="auto" w:fill="E0E3F1"/>
          </w:tcPr>
          <w:p>
            <w:pPr>
              <w:spacing w:after="0"/>
              <w:rPr>
                <w:sz w:val="17"/>
                <w:szCs w:val="17"/>
                <w:color w:val="auto"/>
              </w:rPr>
            </w:pPr>
          </w:p>
        </w:tc>
        <w:tc>
          <w:tcPr>
            <w:tcW w:w="116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8.5</w:t>
            </w:r>
          </w:p>
        </w:tc>
      </w:tr>
      <w:tr>
        <w:trPr>
          <w:trHeight w:val="196"/>
        </w:trPr>
        <w:tc>
          <w:tcPr>
            <w:tcW w:w="5400" w:type="dxa"/>
            <w:vAlign w:val="bottom"/>
            <w:tcBorders>
              <w:bottom w:val="single" w:sz="8" w:color="00539B"/>
            </w:tcBorders>
          </w:tcPr>
          <w:p>
            <w:pPr>
              <w:ind w:left="220"/>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00539B"/>
            </w:tcBorders>
            <w:shd w:val="clear" w:color="auto" w:fill="E0E3F1"/>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00539B"/>
            </w:tcBorders>
            <w:shd w:val="clear" w:color="auto" w:fill="E0E3F1"/>
          </w:tcPr>
          <w:p>
            <w:pPr>
              <w:jc w:val="right"/>
              <w:ind w:right="8"/>
              <w:spacing w:after="0"/>
              <w:rPr>
                <w:sz w:val="20"/>
                <w:szCs w:val="20"/>
                <w:color w:val="auto"/>
              </w:rPr>
            </w:pPr>
            <w:r>
              <w:rPr>
                <w:rFonts w:ascii="Arial" w:cs="Arial" w:eastAsia="Arial" w:hAnsi="Arial"/>
                <w:sz w:val="14"/>
                <w:szCs w:val="14"/>
                <w:color w:val="auto"/>
              </w:rPr>
              <w:t>243.8</w:t>
            </w:r>
          </w:p>
        </w:tc>
        <w:tc>
          <w:tcPr>
            <w:tcW w:w="1020" w:type="dxa"/>
            <w:vAlign w:val="bottom"/>
            <w:tcBorders>
              <w:bottom w:val="single" w:sz="8" w:color="00539B"/>
            </w:tcBorders>
            <w:shd w:val="clear" w:color="auto" w:fill="E0E3F1"/>
          </w:tcPr>
          <w:p>
            <w:pPr>
              <w:jc w:val="right"/>
              <w:ind w:right="84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97.8</w:t>
            </w:r>
          </w:p>
        </w:tc>
        <w:tc>
          <w:tcPr>
            <w:tcW w:w="320" w:type="dxa"/>
            <w:vAlign w:val="bottom"/>
            <w:tcBorders>
              <w:bottom w:val="single" w:sz="8" w:color="00539B"/>
            </w:tcBorders>
            <w:shd w:val="clear" w:color="auto" w:fill="E0E3F1"/>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146.0</w:t>
            </w:r>
          </w:p>
        </w:tc>
      </w:tr>
      <w:tr>
        <w:trPr>
          <w:trHeight w:val="192"/>
        </w:trPr>
        <w:tc>
          <w:tcPr>
            <w:tcW w:w="5400" w:type="dxa"/>
            <w:vAlign w:val="bottom"/>
          </w:tcPr>
          <w:p>
            <w:pPr>
              <w:ind w:left="20"/>
              <w:spacing w:after="0"/>
              <w:rPr>
                <w:sz w:val="20"/>
                <w:szCs w:val="20"/>
                <w:color w:val="auto"/>
              </w:rPr>
            </w:pPr>
            <w:r>
              <w:rPr>
                <w:rFonts w:ascii="Arial" w:cs="Arial" w:eastAsia="Arial" w:hAnsi="Arial"/>
                <w:sz w:val="14"/>
                <w:szCs w:val="14"/>
                <w:color w:val="auto"/>
              </w:rPr>
              <w:t>Liabilities:</w:t>
            </w:r>
          </w:p>
        </w:tc>
        <w:tc>
          <w:tcPr>
            <w:tcW w:w="260" w:type="dxa"/>
            <w:vAlign w:val="bottom"/>
            <w:shd w:val="clear" w:color="auto" w:fill="E0E3F1"/>
          </w:tcPr>
          <w:p>
            <w:pPr>
              <w:spacing w:after="0"/>
              <w:rPr>
                <w:sz w:val="16"/>
                <w:szCs w:val="16"/>
                <w:color w:val="auto"/>
              </w:rPr>
            </w:pPr>
          </w:p>
        </w:tc>
        <w:tc>
          <w:tcPr>
            <w:tcW w:w="1200" w:type="dxa"/>
            <w:vAlign w:val="bottom"/>
            <w:shd w:val="clear" w:color="auto" w:fill="E0E3F1"/>
          </w:tcPr>
          <w:p>
            <w:pPr>
              <w:spacing w:after="0"/>
              <w:rPr>
                <w:sz w:val="16"/>
                <w:szCs w:val="16"/>
                <w:color w:val="auto"/>
              </w:rPr>
            </w:pPr>
          </w:p>
        </w:tc>
        <w:tc>
          <w:tcPr>
            <w:tcW w:w="1020" w:type="dxa"/>
            <w:vAlign w:val="bottom"/>
            <w:shd w:val="clear" w:color="auto" w:fill="E0E3F1"/>
          </w:tcPr>
          <w:p>
            <w:pPr>
              <w:spacing w:after="0"/>
              <w:rPr>
                <w:sz w:val="16"/>
                <w:szCs w:val="16"/>
                <w:color w:val="auto"/>
              </w:rPr>
            </w:pPr>
          </w:p>
        </w:tc>
        <w:tc>
          <w:tcPr>
            <w:tcW w:w="400" w:type="dxa"/>
            <w:vAlign w:val="bottom"/>
            <w:shd w:val="clear" w:color="auto" w:fill="E0E3F1"/>
          </w:tcPr>
          <w:p>
            <w:pPr>
              <w:spacing w:after="0"/>
              <w:rPr>
                <w:sz w:val="16"/>
                <w:szCs w:val="16"/>
                <w:color w:val="auto"/>
              </w:rPr>
            </w:pPr>
          </w:p>
        </w:tc>
        <w:tc>
          <w:tcPr>
            <w:tcW w:w="320" w:type="dxa"/>
            <w:vAlign w:val="bottom"/>
            <w:shd w:val="clear" w:color="auto" w:fill="E0E3F1"/>
          </w:tcPr>
          <w:p>
            <w:pPr>
              <w:spacing w:after="0"/>
              <w:rPr>
                <w:sz w:val="16"/>
                <w:szCs w:val="16"/>
                <w:color w:val="auto"/>
              </w:rPr>
            </w:pPr>
          </w:p>
        </w:tc>
        <w:tc>
          <w:tcPr>
            <w:tcW w:w="1160" w:type="dxa"/>
            <w:vAlign w:val="bottom"/>
            <w:shd w:val="clear" w:color="auto" w:fill="E0E3F1"/>
          </w:tcPr>
          <w:p>
            <w:pPr>
              <w:spacing w:after="0"/>
              <w:rPr>
                <w:sz w:val="16"/>
                <w:szCs w:val="16"/>
                <w:color w:val="auto"/>
              </w:rPr>
            </w:pPr>
          </w:p>
        </w:tc>
      </w:tr>
      <w:tr>
        <w:trPr>
          <w:trHeight w:val="203"/>
        </w:trPr>
        <w:tc>
          <w:tcPr>
            <w:tcW w:w="5400" w:type="dxa"/>
            <w:vAlign w:val="bottom"/>
          </w:tcPr>
          <w:p>
            <w:pPr>
              <w:ind w:left="140"/>
              <w:spacing w:after="0"/>
              <w:rPr>
                <w:sz w:val="20"/>
                <w:szCs w:val="20"/>
                <w:color w:val="auto"/>
              </w:rPr>
            </w:pPr>
            <w:r>
              <w:rPr>
                <w:rFonts w:ascii="Arial" w:cs="Arial" w:eastAsia="Arial" w:hAnsi="Arial"/>
                <w:sz w:val="14"/>
                <w:szCs w:val="14"/>
                <w:color w:val="auto"/>
              </w:rPr>
              <w:t>Interest rate derivatives</w:t>
            </w:r>
          </w:p>
        </w:tc>
        <w:tc>
          <w:tcPr>
            <w:tcW w:w="260" w:type="dxa"/>
            <w:vAlign w:val="bottom"/>
            <w:shd w:val="clear" w:color="auto" w:fill="E0E3F1"/>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E0E3F1"/>
          </w:tcPr>
          <w:p>
            <w:pPr>
              <w:jc w:val="right"/>
              <w:ind w:right="8"/>
              <w:spacing w:after="0"/>
              <w:rPr>
                <w:sz w:val="20"/>
                <w:szCs w:val="20"/>
                <w:color w:val="auto"/>
              </w:rPr>
            </w:pPr>
            <w:r>
              <w:rPr>
                <w:rFonts w:ascii="Arial" w:cs="Arial" w:eastAsia="Arial" w:hAnsi="Arial"/>
                <w:sz w:val="14"/>
                <w:szCs w:val="14"/>
                <w:color w:val="auto"/>
              </w:rPr>
              <w:t>20.8</w:t>
            </w:r>
          </w:p>
        </w:tc>
        <w:tc>
          <w:tcPr>
            <w:tcW w:w="1020" w:type="dxa"/>
            <w:vAlign w:val="bottom"/>
            <w:shd w:val="clear" w:color="auto" w:fill="E0E3F1"/>
          </w:tcPr>
          <w:p>
            <w:pPr>
              <w:jc w:val="right"/>
              <w:ind w:right="848"/>
              <w:spacing w:after="0"/>
              <w:rPr>
                <w:sz w:val="20"/>
                <w:szCs w:val="20"/>
                <w:color w:val="auto"/>
              </w:rPr>
            </w:pPr>
            <w:r>
              <w:rPr>
                <w:rFonts w:ascii="Arial" w:cs="Arial" w:eastAsia="Arial" w:hAnsi="Arial"/>
                <w:sz w:val="14"/>
                <w:szCs w:val="14"/>
                <w:color w:val="auto"/>
              </w:rPr>
              <w:t>$</w:t>
            </w:r>
          </w:p>
        </w:tc>
        <w:tc>
          <w:tcPr>
            <w:tcW w:w="400" w:type="dxa"/>
            <w:vAlign w:val="bottom"/>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E0E3F1"/>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20.8</w:t>
            </w:r>
          </w:p>
        </w:tc>
      </w:tr>
      <w:tr>
        <w:trPr>
          <w:trHeight w:val="203"/>
        </w:trPr>
        <w:tc>
          <w:tcPr>
            <w:tcW w:w="5400" w:type="dxa"/>
            <w:vAlign w:val="bottom"/>
          </w:tcPr>
          <w:p>
            <w:pPr>
              <w:ind w:left="140"/>
              <w:spacing w:after="0"/>
              <w:rPr>
                <w:sz w:val="20"/>
                <w:szCs w:val="20"/>
                <w:color w:val="auto"/>
              </w:rPr>
            </w:pPr>
            <w:r>
              <w:rPr>
                <w:rFonts w:ascii="Arial" w:cs="Arial" w:eastAsia="Arial" w:hAnsi="Arial"/>
                <w:sz w:val="14"/>
                <w:szCs w:val="14"/>
                <w:color w:val="auto"/>
              </w:rPr>
              <w:t>Foreign currency derivatives</w:t>
            </w:r>
          </w:p>
        </w:tc>
        <w:tc>
          <w:tcPr>
            <w:tcW w:w="260" w:type="dxa"/>
            <w:vAlign w:val="bottom"/>
            <w:shd w:val="clear" w:color="auto" w:fill="E0E3F1"/>
          </w:tcPr>
          <w:p>
            <w:pPr>
              <w:spacing w:after="0"/>
              <w:rPr>
                <w:sz w:val="17"/>
                <w:szCs w:val="17"/>
                <w:color w:val="auto"/>
              </w:rPr>
            </w:pPr>
          </w:p>
        </w:tc>
        <w:tc>
          <w:tcPr>
            <w:tcW w:w="1200" w:type="dxa"/>
            <w:vAlign w:val="bottom"/>
            <w:shd w:val="clear" w:color="auto" w:fill="E0E3F1"/>
          </w:tcPr>
          <w:p>
            <w:pPr>
              <w:jc w:val="right"/>
              <w:ind w:right="8"/>
              <w:spacing w:after="0"/>
              <w:rPr>
                <w:sz w:val="20"/>
                <w:szCs w:val="20"/>
                <w:color w:val="auto"/>
              </w:rPr>
            </w:pPr>
            <w:r>
              <w:rPr>
                <w:rFonts w:ascii="Arial" w:cs="Arial" w:eastAsia="Arial" w:hAnsi="Arial"/>
                <w:sz w:val="14"/>
                <w:szCs w:val="14"/>
                <w:color w:val="auto"/>
              </w:rPr>
              <w:t>0.7</w:t>
            </w:r>
          </w:p>
        </w:tc>
        <w:tc>
          <w:tcPr>
            <w:tcW w:w="1020" w:type="dxa"/>
            <w:vAlign w:val="bottom"/>
            <w:shd w:val="clear" w:color="auto" w:fill="E0E3F1"/>
          </w:tcPr>
          <w:p>
            <w:pPr>
              <w:spacing w:after="0"/>
              <w:rPr>
                <w:sz w:val="17"/>
                <w:szCs w:val="17"/>
                <w:color w:val="auto"/>
              </w:rPr>
            </w:pPr>
          </w:p>
        </w:tc>
        <w:tc>
          <w:tcPr>
            <w:tcW w:w="400" w:type="dxa"/>
            <w:vAlign w:val="bottom"/>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E0E3F1"/>
          </w:tcPr>
          <w:p>
            <w:pPr>
              <w:spacing w:after="0"/>
              <w:rPr>
                <w:sz w:val="17"/>
                <w:szCs w:val="17"/>
                <w:color w:val="auto"/>
              </w:rPr>
            </w:pPr>
          </w:p>
        </w:tc>
        <w:tc>
          <w:tcPr>
            <w:tcW w:w="11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0.7</w:t>
            </w:r>
          </w:p>
        </w:tc>
      </w:tr>
      <w:tr>
        <w:trPr>
          <w:trHeight w:val="207"/>
        </w:trPr>
        <w:tc>
          <w:tcPr>
            <w:tcW w:w="5400" w:type="dxa"/>
            <w:vAlign w:val="bottom"/>
            <w:tcBorders>
              <w:bottom w:val="single" w:sz="8" w:color="00539B"/>
            </w:tcBorders>
          </w:tcPr>
          <w:p>
            <w:pPr>
              <w:ind w:left="140"/>
              <w:spacing w:after="0"/>
              <w:rPr>
                <w:sz w:val="20"/>
                <w:szCs w:val="20"/>
                <w:color w:val="auto"/>
              </w:rPr>
            </w:pPr>
            <w:r>
              <w:rPr>
                <w:rFonts w:ascii="Arial" w:cs="Arial" w:eastAsia="Arial" w:hAnsi="Arial"/>
                <w:sz w:val="14"/>
                <w:szCs w:val="14"/>
                <w:color w:val="auto"/>
              </w:rPr>
              <w:t>Cross currency contracts</w:t>
            </w:r>
          </w:p>
        </w:tc>
        <w:tc>
          <w:tcPr>
            <w:tcW w:w="260" w:type="dxa"/>
            <w:vAlign w:val="bottom"/>
            <w:tcBorders>
              <w:bottom w:val="single" w:sz="8" w:color="00539B"/>
            </w:tcBorders>
            <w:shd w:val="clear" w:color="auto" w:fill="E0E3F1"/>
          </w:tcPr>
          <w:p>
            <w:pPr>
              <w:spacing w:after="0"/>
              <w:rPr>
                <w:sz w:val="17"/>
                <w:szCs w:val="17"/>
                <w:color w:val="auto"/>
              </w:rPr>
            </w:pPr>
          </w:p>
        </w:tc>
        <w:tc>
          <w:tcPr>
            <w:tcW w:w="1200" w:type="dxa"/>
            <w:vAlign w:val="bottom"/>
            <w:tcBorders>
              <w:bottom w:val="single" w:sz="8" w:color="00539B"/>
            </w:tcBorders>
            <w:shd w:val="clear" w:color="auto" w:fill="E0E3F1"/>
          </w:tcPr>
          <w:p>
            <w:pPr>
              <w:jc w:val="right"/>
              <w:ind w:right="8"/>
              <w:spacing w:after="0"/>
              <w:rPr>
                <w:sz w:val="20"/>
                <w:szCs w:val="20"/>
                <w:color w:val="auto"/>
              </w:rPr>
            </w:pPr>
            <w:r>
              <w:rPr>
                <w:rFonts w:ascii="Arial" w:cs="Arial" w:eastAsia="Arial" w:hAnsi="Arial"/>
                <w:sz w:val="14"/>
                <w:szCs w:val="14"/>
                <w:color w:val="auto"/>
              </w:rPr>
              <w:t>18.1</w:t>
            </w:r>
          </w:p>
        </w:tc>
        <w:tc>
          <w:tcPr>
            <w:tcW w:w="1020" w:type="dxa"/>
            <w:vAlign w:val="bottom"/>
            <w:tcBorders>
              <w:bottom w:val="single" w:sz="8" w:color="00539B"/>
            </w:tcBorders>
            <w:shd w:val="clear" w:color="auto" w:fill="E0E3F1"/>
          </w:tcPr>
          <w:p>
            <w:pPr>
              <w:spacing w:after="0"/>
              <w:rPr>
                <w:sz w:val="17"/>
                <w:szCs w:val="17"/>
                <w:color w:val="auto"/>
              </w:rPr>
            </w:pPr>
          </w:p>
        </w:tc>
        <w:tc>
          <w:tcPr>
            <w:tcW w:w="40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00539B"/>
            </w:tcBorders>
            <w:shd w:val="clear" w:color="auto" w:fill="E0E3F1"/>
          </w:tcPr>
          <w:p>
            <w:pPr>
              <w:spacing w:after="0"/>
              <w:rPr>
                <w:sz w:val="17"/>
                <w:szCs w:val="17"/>
                <w:color w:val="auto"/>
              </w:rPr>
            </w:pPr>
          </w:p>
        </w:tc>
        <w:tc>
          <w:tcPr>
            <w:tcW w:w="116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18.1</w:t>
            </w:r>
          </w:p>
        </w:tc>
      </w:tr>
      <w:tr>
        <w:trPr>
          <w:trHeight w:val="196"/>
        </w:trPr>
        <w:tc>
          <w:tcPr>
            <w:tcW w:w="5400" w:type="dxa"/>
            <w:vAlign w:val="bottom"/>
            <w:tcBorders>
              <w:bottom w:val="single" w:sz="8" w:color="00539B"/>
            </w:tcBorders>
          </w:tcPr>
          <w:p>
            <w:pPr>
              <w:ind w:left="220"/>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00539B"/>
            </w:tcBorders>
            <w:shd w:val="clear" w:color="auto" w:fill="E0E3F1"/>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00539B"/>
            </w:tcBorders>
            <w:shd w:val="clear" w:color="auto" w:fill="E0E3F1"/>
          </w:tcPr>
          <w:p>
            <w:pPr>
              <w:jc w:val="right"/>
              <w:ind w:right="8"/>
              <w:spacing w:after="0"/>
              <w:rPr>
                <w:sz w:val="20"/>
                <w:szCs w:val="20"/>
                <w:color w:val="auto"/>
              </w:rPr>
            </w:pPr>
            <w:r>
              <w:rPr>
                <w:rFonts w:ascii="Arial" w:cs="Arial" w:eastAsia="Arial" w:hAnsi="Arial"/>
                <w:sz w:val="14"/>
                <w:szCs w:val="14"/>
                <w:color w:val="auto"/>
              </w:rPr>
              <w:t>39.6</w:t>
            </w:r>
          </w:p>
        </w:tc>
        <w:tc>
          <w:tcPr>
            <w:tcW w:w="1020" w:type="dxa"/>
            <w:vAlign w:val="bottom"/>
            <w:tcBorders>
              <w:bottom w:val="single" w:sz="8" w:color="00539B"/>
            </w:tcBorders>
            <w:shd w:val="clear" w:color="auto" w:fill="E0E3F1"/>
          </w:tcPr>
          <w:p>
            <w:pPr>
              <w:jc w:val="right"/>
              <w:ind w:right="84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00539B"/>
            </w:tcBorders>
            <w:shd w:val="clear" w:color="auto" w:fill="E0E3F1"/>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39.6</w:t>
            </w:r>
          </w:p>
        </w:tc>
      </w:tr>
    </w:tbl>
    <w:p>
      <w:pPr>
        <w:spacing w:after="0" w:line="114" w:lineRule="exact"/>
        <w:rPr>
          <w:sz w:val="20"/>
          <w:szCs w:val="20"/>
          <w:color w:val="auto"/>
        </w:rPr>
      </w:pPr>
    </w:p>
    <w:p>
      <w:pPr>
        <w:jc w:val="center"/>
        <w:ind w:left="5380"/>
        <w:spacing w:after="0"/>
        <w:rPr>
          <w:sz w:val="20"/>
          <w:szCs w:val="20"/>
          <w:color w:val="auto"/>
        </w:rPr>
      </w:pPr>
      <w:r>
        <w:rPr>
          <w:rFonts w:ascii="Arial" w:cs="Arial" w:eastAsia="Arial" w:hAnsi="Arial"/>
          <w:sz w:val="14"/>
          <w:szCs w:val="14"/>
          <w:color w:val="auto"/>
        </w:rPr>
        <w:t>Fair value measurements using fair</w:t>
      </w:r>
    </w:p>
    <w:p>
      <w:pPr>
        <w:jc w:val="center"/>
        <w:ind w:left="5340"/>
        <w:spacing w:after="0" w:line="221" w:lineRule="auto"/>
        <w:rPr>
          <w:sz w:val="20"/>
          <w:szCs w:val="20"/>
          <w:color w:val="auto"/>
        </w:rPr>
      </w:pPr>
      <w:r>
        <w:rPr>
          <w:rFonts w:ascii="Arial" w:cs="Arial" w:eastAsia="Arial" w:hAnsi="Arial"/>
          <w:sz w:val="14"/>
          <w:szCs w:val="14"/>
          <w:color w:val="auto"/>
        </w:rPr>
        <w:t>value hierarchy as of</w:t>
      </w:r>
    </w:p>
    <w:p>
      <w:pPr>
        <w:ind w:left="7713"/>
        <w:spacing w:after="0"/>
        <w:rPr>
          <w:sz w:val="20"/>
          <w:szCs w:val="20"/>
          <w:color w:val="auto"/>
        </w:rPr>
      </w:pPr>
      <w:r>
        <w:rPr>
          <w:rFonts w:ascii="Arial" w:cs="Arial" w:eastAsia="Arial" w:hAnsi="Arial"/>
          <w:sz w:val="14"/>
          <w:szCs w:val="14"/>
          <w:color w:val="auto"/>
        </w:rPr>
        <w:t>November 30, 2024</w:t>
      </w:r>
    </w:p>
    <w:p>
      <w:pPr>
        <w:spacing w:after="0" w:line="15" w:lineRule="exact"/>
        <w:rPr>
          <w:sz w:val="20"/>
          <w:szCs w:val="20"/>
          <w:color w:val="auto"/>
        </w:rPr>
      </w:pPr>
    </w:p>
    <w:tbl>
      <w:tblPr>
        <w:tblLayout w:type="fixed"/>
        <w:tblInd w:w="33" w:type="dxa"/>
        <w:tblCellMar>
          <w:top w:w="0" w:type="dxa"/>
          <w:left w:w="0" w:type="dxa"/>
          <w:bottom w:w="0" w:type="dxa"/>
          <w:right w:w="0" w:type="dxa"/>
        </w:tblCellMar>
      </w:tblPr>
      <w:tr>
        <w:trPr>
          <w:trHeight w:val="200"/>
        </w:trPr>
        <w:tc>
          <w:tcPr>
            <w:tcW w:w="376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(millions)</w:t>
            </w:r>
          </w:p>
        </w:tc>
        <w:tc>
          <w:tcPr>
            <w:tcW w:w="1900" w:type="dxa"/>
            <w:vAlign w:val="bottom"/>
            <w:tcBorders>
              <w:bottom w:val="single" w:sz="8" w:color="00539B"/>
            </w:tcBorders>
          </w:tcPr>
          <w:p>
            <w:pPr>
              <w:spacing w:after="0"/>
              <w:rPr>
                <w:sz w:val="17"/>
                <w:szCs w:val="17"/>
                <w:color w:val="auto"/>
              </w:rPr>
            </w:pPr>
          </w:p>
        </w:tc>
        <w:tc>
          <w:tcPr>
            <w:tcW w:w="1200" w:type="dxa"/>
            <w:vAlign w:val="bottom"/>
            <w:tcBorders>
              <w:bottom w:val="single" w:sz="8" w:color="00539B"/>
            </w:tcBorders>
          </w:tcPr>
          <w:p>
            <w:pPr>
              <w:jc w:val="right"/>
              <w:ind w:right="348"/>
              <w:spacing w:after="0"/>
              <w:rPr>
                <w:sz w:val="20"/>
                <w:szCs w:val="20"/>
                <w:color w:val="auto"/>
              </w:rPr>
            </w:pPr>
            <w:r>
              <w:rPr>
                <w:rFonts w:ascii="Arial" w:cs="Arial" w:eastAsia="Arial" w:hAnsi="Arial"/>
                <w:sz w:val="14"/>
                <w:szCs w:val="14"/>
                <w:color w:val="auto"/>
              </w:rPr>
              <w:t>Fair value</w:t>
            </w:r>
          </w:p>
        </w:tc>
        <w:tc>
          <w:tcPr>
            <w:tcW w:w="980" w:type="dxa"/>
            <w:vAlign w:val="bottom"/>
            <w:tcBorders>
              <w:top w:val="single" w:sz="8" w:color="00539B"/>
              <w:bottom w:val="single" w:sz="8" w:color="00539B"/>
            </w:tcBorders>
          </w:tcPr>
          <w:p>
            <w:pPr>
              <w:jc w:val="right"/>
              <w:spacing w:after="0"/>
              <w:rPr>
                <w:sz w:val="20"/>
                <w:szCs w:val="20"/>
                <w:color w:val="auto"/>
              </w:rPr>
            </w:pPr>
            <w:r>
              <w:rPr>
                <w:rFonts w:ascii="Arial" w:cs="Arial" w:eastAsia="Arial" w:hAnsi="Arial"/>
                <w:sz w:val="14"/>
                <w:szCs w:val="14"/>
                <w:color w:val="auto"/>
              </w:rPr>
              <w:t>Level 1</w:t>
            </w:r>
          </w:p>
        </w:tc>
        <w:tc>
          <w:tcPr>
            <w:tcW w:w="440" w:type="dxa"/>
            <w:vAlign w:val="bottom"/>
            <w:tcBorders>
              <w:top w:val="single" w:sz="8" w:color="00539B"/>
              <w:bottom w:val="single" w:sz="8" w:color="00539B"/>
            </w:tcBorders>
          </w:tcPr>
          <w:p>
            <w:pPr>
              <w:spacing w:after="0"/>
              <w:rPr>
                <w:sz w:val="17"/>
                <w:szCs w:val="17"/>
                <w:color w:val="auto"/>
              </w:rPr>
            </w:pPr>
          </w:p>
        </w:tc>
        <w:tc>
          <w:tcPr>
            <w:tcW w:w="320" w:type="dxa"/>
            <w:vAlign w:val="bottom"/>
            <w:tcBorders>
              <w:top w:val="single" w:sz="8" w:color="00539B"/>
              <w:bottom w:val="single" w:sz="8" w:color="00539B"/>
            </w:tcBorders>
          </w:tcPr>
          <w:p>
            <w:pPr>
              <w:spacing w:after="0"/>
              <w:rPr>
                <w:sz w:val="17"/>
                <w:szCs w:val="17"/>
                <w:color w:val="auto"/>
              </w:rPr>
            </w:pPr>
          </w:p>
        </w:tc>
        <w:tc>
          <w:tcPr>
            <w:tcW w:w="1160" w:type="dxa"/>
            <w:vAlign w:val="bottom"/>
            <w:tcBorders>
              <w:top w:val="single" w:sz="8" w:color="00539B"/>
              <w:bottom w:val="single" w:sz="8" w:color="00539B"/>
            </w:tcBorders>
          </w:tcPr>
          <w:p>
            <w:pPr>
              <w:jc w:val="right"/>
              <w:ind w:right="408"/>
              <w:spacing w:after="0"/>
              <w:rPr>
                <w:sz w:val="20"/>
                <w:szCs w:val="20"/>
                <w:color w:val="auto"/>
              </w:rPr>
            </w:pPr>
            <w:r>
              <w:rPr>
                <w:rFonts w:ascii="Arial" w:cs="Arial" w:eastAsia="Arial" w:hAnsi="Arial"/>
                <w:sz w:val="14"/>
                <w:szCs w:val="14"/>
                <w:color w:val="auto"/>
              </w:rPr>
              <w:t>Level 2</w:t>
            </w:r>
          </w:p>
        </w:tc>
      </w:tr>
      <w:tr>
        <w:trPr>
          <w:trHeight w:val="192"/>
        </w:trPr>
        <w:tc>
          <w:tcPr>
            <w:tcW w:w="3760" w:type="dxa"/>
            <w:vAlign w:val="bottom"/>
          </w:tcPr>
          <w:p>
            <w:pPr>
              <w:ind w:left="20"/>
              <w:spacing w:after="0"/>
              <w:rPr>
                <w:sz w:val="20"/>
                <w:szCs w:val="20"/>
                <w:color w:val="auto"/>
              </w:rPr>
            </w:pPr>
            <w:r>
              <w:rPr>
                <w:rFonts w:ascii="Arial" w:cs="Arial" w:eastAsia="Arial" w:hAnsi="Arial"/>
                <w:sz w:val="14"/>
                <w:szCs w:val="14"/>
                <w:color w:val="auto"/>
              </w:rPr>
              <w:t>Assets:</w:t>
            </w:r>
          </w:p>
        </w:tc>
        <w:tc>
          <w:tcPr>
            <w:tcW w:w="19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3"/>
        </w:trPr>
        <w:tc>
          <w:tcPr>
            <w:tcW w:w="3760" w:type="dxa"/>
            <w:vAlign w:val="bottom"/>
          </w:tcPr>
          <w:p>
            <w:pPr>
              <w:ind w:left="140"/>
              <w:spacing w:after="0"/>
              <w:rPr>
                <w:sz w:val="20"/>
                <w:szCs w:val="20"/>
                <w:color w:val="auto"/>
              </w:rPr>
            </w:pPr>
            <w:r>
              <w:rPr>
                <w:rFonts w:ascii="Arial" w:cs="Arial" w:eastAsia="Arial" w:hAnsi="Arial"/>
                <w:sz w:val="14"/>
                <w:szCs w:val="14"/>
                <w:color w:val="auto"/>
              </w:rPr>
              <w:t>Cash and cash equivalents</w:t>
            </w:r>
          </w:p>
        </w:tc>
        <w:tc>
          <w:tcPr>
            <w:tcW w:w="1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186.1</w:t>
            </w:r>
          </w:p>
        </w:tc>
        <w:tc>
          <w:tcPr>
            <w:tcW w:w="98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186.1</w:t>
            </w: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3760" w:type="dxa"/>
            <w:vAlign w:val="bottom"/>
          </w:tcPr>
          <w:p>
            <w:pPr>
              <w:ind w:left="140"/>
              <w:spacing w:after="0"/>
              <w:rPr>
                <w:sz w:val="20"/>
                <w:szCs w:val="20"/>
                <w:color w:val="auto"/>
              </w:rPr>
            </w:pPr>
            <w:r>
              <w:rPr>
                <w:rFonts w:ascii="Arial" w:cs="Arial" w:eastAsia="Arial" w:hAnsi="Arial"/>
                <w:sz w:val="14"/>
                <w:szCs w:val="14"/>
                <w:color w:val="auto"/>
              </w:rPr>
              <w:t>Insurance contracts</w:t>
            </w:r>
          </w:p>
        </w:tc>
        <w:tc>
          <w:tcPr>
            <w:tcW w:w="190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129.2</w:t>
            </w:r>
          </w:p>
        </w:tc>
        <w:tc>
          <w:tcPr>
            <w:tcW w:w="9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129.2</w:t>
            </w:r>
          </w:p>
        </w:tc>
      </w:tr>
      <w:tr>
        <w:trPr>
          <w:trHeight w:val="203"/>
        </w:trPr>
        <w:tc>
          <w:tcPr>
            <w:tcW w:w="3760" w:type="dxa"/>
            <w:vAlign w:val="bottom"/>
          </w:tcPr>
          <w:p>
            <w:pPr>
              <w:ind w:left="140"/>
              <w:spacing w:after="0"/>
              <w:rPr>
                <w:sz w:val="20"/>
                <w:szCs w:val="20"/>
                <w:color w:val="auto"/>
              </w:rPr>
            </w:pPr>
            <w:r>
              <w:rPr>
                <w:rFonts w:ascii="Arial" w:cs="Arial" w:eastAsia="Arial" w:hAnsi="Arial"/>
                <w:sz w:val="14"/>
                <w:szCs w:val="14"/>
                <w:color w:val="auto"/>
              </w:rPr>
              <w:t>Bonds and money market fund</w:t>
            </w:r>
          </w:p>
        </w:tc>
        <w:tc>
          <w:tcPr>
            <w:tcW w:w="190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1.3</w:t>
            </w:r>
          </w:p>
        </w:tc>
        <w:tc>
          <w:tcPr>
            <w:tcW w:w="9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1.3</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3760" w:type="dxa"/>
            <w:vAlign w:val="bottom"/>
          </w:tcPr>
          <w:p>
            <w:pPr>
              <w:ind w:left="140"/>
              <w:spacing w:after="0"/>
              <w:rPr>
                <w:sz w:val="20"/>
                <w:szCs w:val="20"/>
                <w:color w:val="auto"/>
              </w:rPr>
            </w:pPr>
            <w:r>
              <w:rPr>
                <w:rFonts w:ascii="Arial" w:cs="Arial" w:eastAsia="Arial" w:hAnsi="Arial"/>
                <w:sz w:val="14"/>
                <w:szCs w:val="14"/>
                <w:color w:val="auto"/>
              </w:rPr>
              <w:t>Foreign currency derivatives</w:t>
            </w:r>
          </w:p>
        </w:tc>
        <w:tc>
          <w:tcPr>
            <w:tcW w:w="190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5.2</w:t>
            </w:r>
          </w:p>
        </w:tc>
        <w:tc>
          <w:tcPr>
            <w:tcW w:w="9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5.2</w:t>
            </w:r>
          </w:p>
        </w:tc>
      </w:tr>
      <w:tr>
        <w:trPr>
          <w:trHeight w:val="206"/>
        </w:trPr>
        <w:tc>
          <w:tcPr>
            <w:tcW w:w="3760" w:type="dxa"/>
            <w:vAlign w:val="bottom"/>
            <w:tcBorders>
              <w:bottom w:val="single" w:sz="8" w:color="00539B"/>
            </w:tcBorders>
          </w:tcPr>
          <w:p>
            <w:pPr>
              <w:ind w:left="140"/>
              <w:spacing w:after="0"/>
              <w:rPr>
                <w:sz w:val="20"/>
                <w:szCs w:val="20"/>
                <w:color w:val="auto"/>
              </w:rPr>
            </w:pPr>
            <w:r>
              <w:rPr>
                <w:rFonts w:ascii="Arial" w:cs="Arial" w:eastAsia="Arial" w:hAnsi="Arial"/>
                <w:sz w:val="14"/>
                <w:szCs w:val="14"/>
                <w:color w:val="auto"/>
              </w:rPr>
              <w:t>Cross currency contracts</w:t>
            </w:r>
          </w:p>
        </w:tc>
        <w:tc>
          <w:tcPr>
            <w:tcW w:w="1900" w:type="dxa"/>
            <w:vAlign w:val="bottom"/>
            <w:tcBorders>
              <w:bottom w:val="single" w:sz="8" w:color="00539B"/>
            </w:tcBorders>
          </w:tcPr>
          <w:p>
            <w:pPr>
              <w:spacing w:after="0"/>
              <w:rPr>
                <w:sz w:val="17"/>
                <w:szCs w:val="17"/>
                <w:color w:val="auto"/>
              </w:rPr>
            </w:pPr>
          </w:p>
        </w:tc>
        <w:tc>
          <w:tcPr>
            <w:tcW w:w="1200" w:type="dxa"/>
            <w:vAlign w:val="bottom"/>
            <w:tcBorders>
              <w:bottom w:val="single" w:sz="8" w:color="00539B"/>
            </w:tcBorders>
          </w:tcPr>
          <w:p>
            <w:pPr>
              <w:jc w:val="right"/>
              <w:ind w:right="8"/>
              <w:spacing w:after="0"/>
              <w:rPr>
                <w:sz w:val="20"/>
                <w:szCs w:val="20"/>
                <w:color w:val="auto"/>
              </w:rPr>
            </w:pPr>
            <w:r>
              <w:rPr>
                <w:rFonts w:ascii="Arial" w:cs="Arial" w:eastAsia="Arial" w:hAnsi="Arial"/>
                <w:sz w:val="14"/>
                <w:szCs w:val="14"/>
                <w:color w:val="auto"/>
              </w:rPr>
              <w:t>36.8</w:t>
            </w:r>
          </w:p>
        </w:tc>
        <w:tc>
          <w:tcPr>
            <w:tcW w:w="980" w:type="dxa"/>
            <w:vAlign w:val="bottom"/>
            <w:tcBorders>
              <w:bottom w:val="single" w:sz="8" w:color="00539B"/>
            </w:tcBorders>
          </w:tcPr>
          <w:p>
            <w:pPr>
              <w:spacing w:after="0"/>
              <w:rPr>
                <w:sz w:val="17"/>
                <w:szCs w:val="17"/>
                <w:color w:val="auto"/>
              </w:rPr>
            </w:pPr>
          </w:p>
        </w:tc>
        <w:tc>
          <w:tcPr>
            <w:tcW w:w="44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00539B"/>
            </w:tcBorders>
          </w:tcPr>
          <w:p>
            <w:pPr>
              <w:spacing w:after="0"/>
              <w:rPr>
                <w:sz w:val="17"/>
                <w:szCs w:val="17"/>
                <w:color w:val="auto"/>
              </w:rPr>
            </w:pPr>
          </w:p>
        </w:tc>
        <w:tc>
          <w:tcPr>
            <w:tcW w:w="116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36.8</w:t>
            </w:r>
          </w:p>
        </w:tc>
      </w:tr>
      <w:tr>
        <w:trPr>
          <w:trHeight w:val="196"/>
        </w:trPr>
        <w:tc>
          <w:tcPr>
            <w:tcW w:w="3760" w:type="dxa"/>
            <w:vAlign w:val="bottom"/>
            <w:tcBorders>
              <w:bottom w:val="single" w:sz="8" w:color="00539B"/>
            </w:tcBorders>
          </w:tcPr>
          <w:p>
            <w:pPr>
              <w:ind w:left="220"/>
              <w:spacing w:after="0"/>
              <w:rPr>
                <w:sz w:val="20"/>
                <w:szCs w:val="20"/>
                <w:color w:val="auto"/>
              </w:rPr>
            </w:pPr>
            <w:r>
              <w:rPr>
                <w:rFonts w:ascii="Arial" w:cs="Arial" w:eastAsia="Arial" w:hAnsi="Arial"/>
                <w:sz w:val="14"/>
                <w:szCs w:val="14"/>
                <w:color w:val="auto"/>
              </w:rPr>
              <w:t>Total</w:t>
            </w:r>
          </w:p>
        </w:tc>
        <w:tc>
          <w:tcPr>
            <w:tcW w:w="1900" w:type="dxa"/>
            <w:vAlign w:val="bottom"/>
            <w:tcBorders>
              <w:bottom w:val="single" w:sz="8" w:color="00539B"/>
            </w:tcBorders>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00539B"/>
            </w:tcBorders>
          </w:tcPr>
          <w:p>
            <w:pPr>
              <w:jc w:val="right"/>
              <w:ind w:right="8"/>
              <w:spacing w:after="0"/>
              <w:rPr>
                <w:sz w:val="20"/>
                <w:szCs w:val="20"/>
                <w:color w:val="auto"/>
              </w:rPr>
            </w:pPr>
            <w:r>
              <w:rPr>
                <w:rFonts w:ascii="Arial" w:cs="Arial" w:eastAsia="Arial" w:hAnsi="Arial"/>
                <w:sz w:val="14"/>
                <w:szCs w:val="14"/>
                <w:color w:val="auto"/>
              </w:rPr>
              <w:t>358.6</w:t>
            </w:r>
          </w:p>
        </w:tc>
        <w:tc>
          <w:tcPr>
            <w:tcW w:w="980" w:type="dxa"/>
            <w:vAlign w:val="bottom"/>
            <w:tcBorders>
              <w:bottom w:val="single" w:sz="8" w:color="00539B"/>
            </w:tcBorders>
          </w:tcPr>
          <w:p>
            <w:pPr>
              <w:jc w:val="right"/>
              <w:ind w:right="80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187.4</w:t>
            </w:r>
          </w:p>
        </w:tc>
        <w:tc>
          <w:tcPr>
            <w:tcW w:w="320" w:type="dxa"/>
            <w:vAlign w:val="bottom"/>
            <w:tcBorders>
              <w:bottom w:val="single" w:sz="8" w:color="00539B"/>
            </w:tcBorders>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171.2</w:t>
            </w:r>
          </w:p>
        </w:tc>
      </w:tr>
      <w:tr>
        <w:trPr>
          <w:trHeight w:val="192"/>
        </w:trPr>
        <w:tc>
          <w:tcPr>
            <w:tcW w:w="3760" w:type="dxa"/>
            <w:vAlign w:val="bottom"/>
          </w:tcPr>
          <w:p>
            <w:pPr>
              <w:ind w:left="20"/>
              <w:spacing w:after="0"/>
              <w:rPr>
                <w:sz w:val="20"/>
                <w:szCs w:val="20"/>
                <w:color w:val="auto"/>
              </w:rPr>
            </w:pPr>
            <w:r>
              <w:rPr>
                <w:rFonts w:ascii="Arial" w:cs="Arial" w:eastAsia="Arial" w:hAnsi="Arial"/>
                <w:sz w:val="14"/>
                <w:szCs w:val="14"/>
                <w:color w:val="auto"/>
              </w:rPr>
              <w:t>Liabilities:</w:t>
            </w:r>
          </w:p>
        </w:tc>
        <w:tc>
          <w:tcPr>
            <w:tcW w:w="19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3"/>
        </w:trPr>
        <w:tc>
          <w:tcPr>
            <w:tcW w:w="3760" w:type="dxa"/>
            <w:vAlign w:val="bottom"/>
          </w:tcPr>
          <w:p>
            <w:pPr>
              <w:ind w:left="140"/>
              <w:spacing w:after="0"/>
              <w:rPr>
                <w:sz w:val="20"/>
                <w:szCs w:val="20"/>
                <w:color w:val="auto"/>
              </w:rPr>
            </w:pPr>
            <w:r>
              <w:rPr>
                <w:rFonts w:ascii="Arial" w:cs="Arial" w:eastAsia="Arial" w:hAnsi="Arial"/>
                <w:sz w:val="14"/>
                <w:szCs w:val="14"/>
                <w:color w:val="auto"/>
              </w:rPr>
              <w:t>Interest rate derivatives</w:t>
            </w:r>
          </w:p>
        </w:tc>
        <w:tc>
          <w:tcPr>
            <w:tcW w:w="1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37.9</w:t>
            </w:r>
          </w:p>
        </w:tc>
        <w:tc>
          <w:tcPr>
            <w:tcW w:w="98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37.9</w:t>
            </w:r>
          </w:p>
        </w:tc>
      </w:tr>
      <w:tr>
        <w:trPr>
          <w:trHeight w:val="207"/>
        </w:trPr>
        <w:tc>
          <w:tcPr>
            <w:tcW w:w="3760" w:type="dxa"/>
            <w:vAlign w:val="bottom"/>
            <w:tcBorders>
              <w:bottom w:val="single" w:sz="8" w:color="00539B"/>
            </w:tcBorders>
          </w:tcPr>
          <w:p>
            <w:pPr>
              <w:ind w:left="140"/>
              <w:spacing w:after="0"/>
              <w:rPr>
                <w:sz w:val="20"/>
                <w:szCs w:val="20"/>
                <w:color w:val="auto"/>
              </w:rPr>
            </w:pPr>
            <w:r>
              <w:rPr>
                <w:rFonts w:ascii="Arial" w:cs="Arial" w:eastAsia="Arial" w:hAnsi="Arial"/>
                <w:sz w:val="14"/>
                <w:szCs w:val="14"/>
                <w:color w:val="auto"/>
              </w:rPr>
              <w:t>Foreign currency derivatives</w:t>
            </w:r>
          </w:p>
        </w:tc>
        <w:tc>
          <w:tcPr>
            <w:tcW w:w="1900" w:type="dxa"/>
            <w:vAlign w:val="bottom"/>
            <w:tcBorders>
              <w:bottom w:val="single" w:sz="8" w:color="00539B"/>
            </w:tcBorders>
          </w:tcPr>
          <w:p>
            <w:pPr>
              <w:spacing w:after="0"/>
              <w:rPr>
                <w:sz w:val="17"/>
                <w:szCs w:val="17"/>
                <w:color w:val="auto"/>
              </w:rPr>
            </w:pPr>
          </w:p>
        </w:tc>
        <w:tc>
          <w:tcPr>
            <w:tcW w:w="1200" w:type="dxa"/>
            <w:vAlign w:val="bottom"/>
            <w:tcBorders>
              <w:bottom w:val="single" w:sz="8" w:color="00539B"/>
            </w:tcBorders>
          </w:tcPr>
          <w:p>
            <w:pPr>
              <w:jc w:val="right"/>
              <w:ind w:right="8"/>
              <w:spacing w:after="0"/>
              <w:rPr>
                <w:sz w:val="20"/>
                <w:szCs w:val="20"/>
                <w:color w:val="auto"/>
              </w:rPr>
            </w:pPr>
            <w:r>
              <w:rPr>
                <w:rFonts w:ascii="Arial" w:cs="Arial" w:eastAsia="Arial" w:hAnsi="Arial"/>
                <w:sz w:val="14"/>
                <w:szCs w:val="14"/>
                <w:color w:val="auto"/>
              </w:rPr>
              <w:t>12.5</w:t>
            </w:r>
          </w:p>
        </w:tc>
        <w:tc>
          <w:tcPr>
            <w:tcW w:w="980" w:type="dxa"/>
            <w:vAlign w:val="bottom"/>
            <w:tcBorders>
              <w:bottom w:val="single" w:sz="8" w:color="00539B"/>
            </w:tcBorders>
          </w:tcPr>
          <w:p>
            <w:pPr>
              <w:spacing w:after="0"/>
              <w:rPr>
                <w:sz w:val="17"/>
                <w:szCs w:val="17"/>
                <w:color w:val="auto"/>
              </w:rPr>
            </w:pPr>
          </w:p>
        </w:tc>
        <w:tc>
          <w:tcPr>
            <w:tcW w:w="44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00539B"/>
            </w:tcBorders>
          </w:tcPr>
          <w:p>
            <w:pPr>
              <w:spacing w:after="0"/>
              <w:rPr>
                <w:sz w:val="17"/>
                <w:szCs w:val="17"/>
                <w:color w:val="auto"/>
              </w:rPr>
            </w:pPr>
          </w:p>
        </w:tc>
        <w:tc>
          <w:tcPr>
            <w:tcW w:w="116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12.5</w:t>
            </w:r>
          </w:p>
        </w:tc>
      </w:tr>
      <w:tr>
        <w:trPr>
          <w:trHeight w:val="207"/>
        </w:trPr>
        <w:tc>
          <w:tcPr>
            <w:tcW w:w="3760" w:type="dxa"/>
            <w:vAlign w:val="bottom"/>
            <w:tcBorders>
              <w:bottom w:val="single" w:sz="8" w:color="00539B"/>
            </w:tcBorders>
          </w:tcPr>
          <w:p>
            <w:pPr>
              <w:ind w:left="220"/>
              <w:spacing w:after="0"/>
              <w:rPr>
                <w:sz w:val="20"/>
                <w:szCs w:val="20"/>
                <w:color w:val="auto"/>
              </w:rPr>
            </w:pPr>
            <w:r>
              <w:rPr>
                <w:rFonts w:ascii="Arial" w:cs="Arial" w:eastAsia="Arial" w:hAnsi="Arial"/>
                <w:sz w:val="14"/>
                <w:szCs w:val="14"/>
                <w:color w:val="auto"/>
              </w:rPr>
              <w:t>Total</w:t>
            </w:r>
          </w:p>
        </w:tc>
        <w:tc>
          <w:tcPr>
            <w:tcW w:w="1900" w:type="dxa"/>
            <w:vAlign w:val="bottom"/>
            <w:tcBorders>
              <w:bottom w:val="single" w:sz="8" w:color="00539B"/>
            </w:tcBorders>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00539B"/>
            </w:tcBorders>
          </w:tcPr>
          <w:p>
            <w:pPr>
              <w:jc w:val="right"/>
              <w:ind w:right="8"/>
              <w:spacing w:after="0"/>
              <w:rPr>
                <w:sz w:val="20"/>
                <w:szCs w:val="20"/>
                <w:color w:val="auto"/>
              </w:rPr>
            </w:pPr>
            <w:r>
              <w:rPr>
                <w:rFonts w:ascii="Arial" w:cs="Arial" w:eastAsia="Arial" w:hAnsi="Arial"/>
                <w:sz w:val="14"/>
                <w:szCs w:val="14"/>
                <w:color w:val="auto"/>
              </w:rPr>
              <w:t>50.4</w:t>
            </w:r>
          </w:p>
        </w:tc>
        <w:tc>
          <w:tcPr>
            <w:tcW w:w="980" w:type="dxa"/>
            <w:vAlign w:val="bottom"/>
            <w:tcBorders>
              <w:bottom w:val="single" w:sz="8" w:color="00539B"/>
            </w:tcBorders>
          </w:tcPr>
          <w:p>
            <w:pPr>
              <w:jc w:val="right"/>
              <w:ind w:right="80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00539B"/>
            </w:tcBorders>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50.4</w:t>
            </w:r>
          </w:p>
        </w:tc>
      </w:tr>
    </w:tbl>
    <w:p>
      <w:pPr>
        <w:spacing w:after="0" w:line="224" w:lineRule="exact"/>
        <w:rPr>
          <w:sz w:val="20"/>
          <w:szCs w:val="20"/>
          <w:color w:val="auto"/>
        </w:rPr>
      </w:pPr>
    </w:p>
    <w:p>
      <w:pPr>
        <w:ind w:left="33"/>
        <w:spacing w:after="0"/>
        <w:rPr>
          <w:sz w:val="20"/>
          <w:szCs w:val="20"/>
          <w:color w:val="auto"/>
        </w:rPr>
      </w:pPr>
      <w:r>
        <w:rPr>
          <w:rFonts w:ascii="Arial" w:cs="Arial" w:eastAsia="Arial" w:hAnsi="Arial"/>
          <w:sz w:val="18"/>
          <w:szCs w:val="18"/>
          <w:color w:val="auto"/>
        </w:rPr>
        <w:t>At November 30, 2025 and 2024, we had no financial assets or liabilities that were subject to a level 3 fair value measurement.</w:t>
      </w:r>
    </w:p>
    <w:p>
      <w:pPr>
        <w:spacing w:after="0" w:line="171" w:lineRule="exact"/>
        <w:rPr>
          <w:sz w:val="20"/>
          <w:szCs w:val="20"/>
          <w:color w:val="auto"/>
        </w:rPr>
      </w:pPr>
    </w:p>
    <w:p>
      <w:pPr>
        <w:jc w:val="both"/>
        <w:ind w:left="33" w:right="300"/>
        <w:spacing w:after="0" w:line="262" w:lineRule="auto"/>
        <w:rPr>
          <w:sz w:val="20"/>
          <w:szCs w:val="20"/>
          <w:color w:val="auto"/>
        </w:rPr>
      </w:pPr>
      <w:r>
        <w:rPr>
          <w:rFonts w:ascii="Arial" w:cs="Arial" w:eastAsia="Arial" w:hAnsi="Arial"/>
          <w:sz w:val="18"/>
          <w:szCs w:val="18"/>
          <w:color w:val="auto"/>
        </w:rPr>
        <w:t>At November 30, 2025 and 2024, the carrying amount of interest rate derivatives, foreign currency derivatives, cross currency contracts, insurance contracts, and bonds and money market fund investments are equal to their respective fair values. Because of their short-term nature, the amounts reported in the balance sheet for cash and cash equivalents, receivables, short-term borrowings, and trade accounts payable approximate fair value. Investments in affiliates are not readily marketable, and it is not practicable to estimate their fair value.</w:t>
      </w:r>
    </w:p>
    <w:p>
      <w:pPr>
        <w:spacing w:after="0" w:line="122" w:lineRule="exact"/>
        <w:rPr>
          <w:sz w:val="20"/>
          <w:szCs w:val="20"/>
          <w:color w:val="auto"/>
        </w:rPr>
      </w:pPr>
    </w:p>
    <w:p>
      <w:pPr>
        <w:ind w:left="33"/>
        <w:spacing w:after="0" w:line="259" w:lineRule="auto"/>
        <w:rPr>
          <w:sz w:val="20"/>
          <w:szCs w:val="20"/>
          <w:color w:val="auto"/>
        </w:rPr>
      </w:pPr>
      <w:r>
        <w:rPr>
          <w:rFonts w:ascii="Arial" w:cs="Arial" w:eastAsia="Arial" w:hAnsi="Arial"/>
          <w:sz w:val="18"/>
          <w:szCs w:val="18"/>
          <w:color w:val="auto"/>
        </w:rPr>
        <w:t>Insurance contracts, bonds, and money market fund investments are comprised of fixed income and equity securities held for certain non-qualified U.S. employee benefit plans and are stated at fair value on the balance sheet. The fair values of insurance contracts and bonds and money market fund investments are based upon the underlying values of the securities in which they are invested and are from quoted market prices from various stock and bond exchanges for similar type assets. The fair values for interest rate derivatives, foreign currency derivatives, and cross currency contracts are based on values for similar instruments using models with market-based inputs.</w:t>
      </w:r>
    </w:p>
    <w:p>
      <w:pPr>
        <w:spacing w:after="0" w:line="200" w:lineRule="exact"/>
        <w:rPr>
          <w:sz w:val="20"/>
          <w:szCs w:val="20"/>
          <w:color w:val="auto"/>
        </w:rPr>
      </w:pPr>
    </w:p>
    <w:p>
      <w:pPr>
        <w:spacing w:after="0" w:line="317" w:lineRule="exact"/>
        <w:rPr>
          <w:sz w:val="20"/>
          <w:szCs w:val="20"/>
          <w:color w:val="auto"/>
        </w:rPr>
      </w:pPr>
    </w:p>
    <w:p>
      <w:pPr>
        <w:jc w:val="center"/>
        <w:ind w:right="-72"/>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53"/>
          </w:cols>
          <w:pgMar w:left="287" w:top="890" w:right="359" w:bottom="1440" w:gutter="0" w:footer="0" w:header="0"/>
        </w:sectPr>
      </w:pPr>
    </w:p>
    <w:bookmarkStart w:id="66" w:name="page67"/>
    <w:bookmarkEnd w:id="66"/>
    <w:p>
      <w:pPr>
        <w:ind w:left="33"/>
        <w:spacing w:after="0"/>
        <w:rPr>
          <w:sz w:val="20"/>
          <w:szCs w:val="20"/>
          <w:color w:val="auto"/>
        </w:rPr>
      </w:pPr>
      <w:r>
        <w:rPr>
          <w:rFonts w:ascii="Arial" w:cs="Arial" w:eastAsia="Arial" w:hAnsi="Arial"/>
          <w:sz w:val="18"/>
          <w:szCs w:val="18"/>
          <w:color w:val="auto"/>
        </w:rPr>
        <w:t>The carrying amount and fair value of long-term debt, including the current portion, as of November 30 were as follows:</w:t>
      </w:r>
    </w:p>
    <w:p>
      <w:pPr>
        <w:spacing w:after="0" w:line="35" w:lineRule="exact"/>
        <w:rPr>
          <w:sz w:val="20"/>
          <w:szCs w:val="20"/>
          <w:color w:val="auto"/>
        </w:rPr>
      </w:pPr>
    </w:p>
    <w:tbl>
      <w:tblPr>
        <w:tblLayout w:type="fixed"/>
        <w:tblInd w:w="33" w:type="dxa"/>
        <w:tblCellMar>
          <w:top w:w="0" w:type="dxa"/>
          <w:left w:w="0" w:type="dxa"/>
          <w:bottom w:w="0" w:type="dxa"/>
          <w:right w:w="0" w:type="dxa"/>
        </w:tblCellMar>
      </w:tblPr>
      <w:tr>
        <w:trPr>
          <w:trHeight w:val="226"/>
        </w:trPr>
        <w:tc>
          <w:tcPr>
            <w:tcW w:w="6160" w:type="dxa"/>
            <w:vAlign w:val="bottom"/>
            <w:tcBorders>
              <w:top w:val="single" w:sz="8" w:color="00539B"/>
              <w:bottom w:val="single" w:sz="8" w:color="00539B"/>
            </w:tcBorders>
          </w:tcPr>
          <w:p>
            <w:pPr>
              <w:ind w:left="60"/>
              <w:spacing w:after="0"/>
              <w:rPr>
                <w:sz w:val="20"/>
                <w:szCs w:val="20"/>
                <w:color w:val="auto"/>
              </w:rPr>
            </w:pPr>
            <w:r>
              <w:rPr>
                <w:rFonts w:ascii="Times New Roman" w:cs="Times New Roman" w:eastAsia="Times New Roman" w:hAnsi="Times New Roman"/>
                <w:sz w:val="14"/>
                <w:szCs w:val="14"/>
                <w:color w:val="auto"/>
              </w:rPr>
              <w:t>(millions)</w:t>
            </w:r>
          </w:p>
        </w:tc>
        <w:tc>
          <w:tcPr>
            <w:tcW w:w="240" w:type="dxa"/>
            <w:vAlign w:val="bottom"/>
            <w:tcBorders>
              <w:top w:val="single" w:sz="8" w:color="00539B"/>
              <w:bottom w:val="single" w:sz="8" w:color="00539B"/>
            </w:tcBorders>
            <w:shd w:val="clear" w:color="auto" w:fill="E0E3F1"/>
          </w:tcPr>
          <w:p>
            <w:pPr>
              <w:spacing w:after="0"/>
              <w:rPr>
                <w:sz w:val="19"/>
                <w:szCs w:val="19"/>
                <w:color w:val="auto"/>
              </w:rPr>
            </w:pPr>
          </w:p>
        </w:tc>
        <w:tc>
          <w:tcPr>
            <w:tcW w:w="1320" w:type="dxa"/>
            <w:vAlign w:val="bottom"/>
            <w:tcBorders>
              <w:top w:val="single" w:sz="8" w:color="00539B"/>
              <w:bottom w:val="single" w:sz="8" w:color="00539B"/>
            </w:tcBorders>
            <w:gridSpan w:val="2"/>
            <w:shd w:val="clear" w:color="auto" w:fill="E0E3F1"/>
          </w:tcPr>
          <w:p>
            <w:pPr>
              <w:jc w:val="right"/>
              <w:ind w:right="68"/>
              <w:spacing w:after="0"/>
              <w:rPr>
                <w:sz w:val="20"/>
                <w:szCs w:val="20"/>
                <w:color w:val="auto"/>
              </w:rPr>
            </w:pPr>
            <w:r>
              <w:rPr>
                <w:rFonts w:ascii="Arial" w:cs="Arial" w:eastAsia="Arial" w:hAnsi="Arial"/>
                <w:sz w:val="14"/>
                <w:szCs w:val="14"/>
                <w:color w:val="auto"/>
              </w:rPr>
              <w:t>2025</w:t>
            </w:r>
          </w:p>
        </w:tc>
        <w:tc>
          <w:tcPr>
            <w:tcW w:w="960" w:type="dxa"/>
            <w:vAlign w:val="bottom"/>
            <w:tcBorders>
              <w:top w:val="single" w:sz="8" w:color="00539B"/>
              <w:bottom w:val="single" w:sz="8" w:color="00539B"/>
            </w:tcBorders>
            <w:shd w:val="clear" w:color="auto" w:fill="E0E3F1"/>
          </w:tcPr>
          <w:p>
            <w:pPr>
              <w:spacing w:after="0"/>
              <w:rPr>
                <w:sz w:val="19"/>
                <w:szCs w:val="19"/>
                <w:color w:val="auto"/>
              </w:rPr>
            </w:pPr>
          </w:p>
        </w:tc>
        <w:tc>
          <w:tcPr>
            <w:tcW w:w="220" w:type="dxa"/>
            <w:vAlign w:val="bottom"/>
            <w:tcBorders>
              <w:top w:val="single" w:sz="8" w:color="00539B"/>
              <w:bottom w:val="single" w:sz="8" w:color="00539B"/>
            </w:tcBorders>
          </w:tcPr>
          <w:p>
            <w:pPr>
              <w:spacing w:after="0"/>
              <w:rPr>
                <w:sz w:val="19"/>
                <w:szCs w:val="19"/>
                <w:color w:val="auto"/>
              </w:rPr>
            </w:pPr>
          </w:p>
        </w:tc>
        <w:tc>
          <w:tcPr>
            <w:tcW w:w="1340" w:type="dxa"/>
            <w:vAlign w:val="bottom"/>
            <w:tcBorders>
              <w:top w:val="single" w:sz="8" w:color="00539B"/>
              <w:bottom w:val="single" w:sz="8" w:color="00539B"/>
            </w:tcBorders>
            <w:gridSpan w:val="2"/>
          </w:tcPr>
          <w:p>
            <w:pPr>
              <w:jc w:val="right"/>
              <w:ind w:right="68"/>
              <w:spacing w:after="0"/>
              <w:rPr>
                <w:sz w:val="20"/>
                <w:szCs w:val="20"/>
                <w:color w:val="auto"/>
              </w:rPr>
            </w:pPr>
            <w:r>
              <w:rPr>
                <w:rFonts w:ascii="Arial" w:cs="Arial" w:eastAsia="Arial" w:hAnsi="Arial"/>
                <w:sz w:val="14"/>
                <w:szCs w:val="14"/>
                <w:color w:val="auto"/>
              </w:rPr>
              <w:t>2024</w:t>
            </w:r>
          </w:p>
        </w:tc>
        <w:tc>
          <w:tcPr>
            <w:tcW w:w="960" w:type="dxa"/>
            <w:vAlign w:val="bottom"/>
            <w:tcBorders>
              <w:top w:val="single" w:sz="8" w:color="00539B"/>
              <w:bottom w:val="single" w:sz="8" w:color="00539B"/>
            </w:tcBorders>
          </w:tcPr>
          <w:p>
            <w:pPr>
              <w:spacing w:after="0"/>
              <w:rPr>
                <w:sz w:val="19"/>
                <w:szCs w:val="19"/>
                <w:color w:val="auto"/>
              </w:rPr>
            </w:pPr>
          </w:p>
        </w:tc>
      </w:tr>
      <w:tr>
        <w:trPr>
          <w:trHeight w:val="150"/>
        </w:trPr>
        <w:tc>
          <w:tcPr>
            <w:tcW w:w="6160" w:type="dxa"/>
            <w:vAlign w:val="bottom"/>
          </w:tcPr>
          <w:p>
            <w:pPr>
              <w:spacing w:after="0"/>
              <w:rPr>
                <w:sz w:val="13"/>
                <w:szCs w:val="13"/>
                <w:color w:val="auto"/>
              </w:rPr>
            </w:pPr>
          </w:p>
        </w:tc>
        <w:tc>
          <w:tcPr>
            <w:tcW w:w="240" w:type="dxa"/>
            <w:vAlign w:val="bottom"/>
            <w:shd w:val="clear" w:color="auto" w:fill="E0E3F1"/>
          </w:tcPr>
          <w:p>
            <w:pPr>
              <w:spacing w:after="0"/>
              <w:rPr>
                <w:sz w:val="13"/>
                <w:szCs w:val="13"/>
                <w:color w:val="auto"/>
              </w:rPr>
            </w:pPr>
          </w:p>
        </w:tc>
        <w:tc>
          <w:tcPr>
            <w:tcW w:w="1020" w:type="dxa"/>
            <w:vAlign w:val="bottom"/>
            <w:shd w:val="clear" w:color="auto" w:fill="E0E3F1"/>
          </w:tcPr>
          <w:p>
            <w:pPr>
              <w:jc w:val="center"/>
              <w:ind w:right="168"/>
              <w:spacing w:after="0" w:line="151" w:lineRule="exact"/>
              <w:rPr>
                <w:sz w:val="20"/>
                <w:szCs w:val="20"/>
                <w:color w:val="auto"/>
              </w:rPr>
            </w:pPr>
            <w:r>
              <w:rPr>
                <w:rFonts w:ascii="Arial" w:cs="Arial" w:eastAsia="Arial" w:hAnsi="Arial"/>
                <w:sz w:val="14"/>
                <w:szCs w:val="14"/>
                <w:color w:val="auto"/>
              </w:rPr>
              <w:t>Carrying</w:t>
            </w:r>
          </w:p>
        </w:tc>
        <w:tc>
          <w:tcPr>
            <w:tcW w:w="300" w:type="dxa"/>
            <w:vAlign w:val="bottom"/>
            <w:shd w:val="clear" w:color="auto" w:fill="E0E3F1"/>
          </w:tcPr>
          <w:p>
            <w:pPr>
              <w:spacing w:after="0"/>
              <w:rPr>
                <w:sz w:val="13"/>
                <w:szCs w:val="13"/>
                <w:color w:val="auto"/>
              </w:rPr>
            </w:pPr>
          </w:p>
        </w:tc>
        <w:tc>
          <w:tcPr>
            <w:tcW w:w="960" w:type="dxa"/>
            <w:vAlign w:val="bottom"/>
            <w:shd w:val="clear" w:color="auto" w:fill="E0E3F1"/>
          </w:tcPr>
          <w:p>
            <w:pPr>
              <w:jc w:val="right"/>
              <w:ind w:right="428"/>
              <w:spacing w:after="0" w:line="151" w:lineRule="exact"/>
              <w:rPr>
                <w:sz w:val="20"/>
                <w:szCs w:val="20"/>
                <w:color w:val="auto"/>
              </w:rPr>
            </w:pPr>
            <w:r>
              <w:rPr>
                <w:rFonts w:ascii="Arial" w:cs="Arial" w:eastAsia="Arial" w:hAnsi="Arial"/>
                <w:sz w:val="14"/>
                <w:szCs w:val="14"/>
                <w:color w:val="auto"/>
              </w:rPr>
              <w:t>Fair</w:t>
            </w:r>
          </w:p>
        </w:tc>
        <w:tc>
          <w:tcPr>
            <w:tcW w:w="220" w:type="dxa"/>
            <w:vAlign w:val="bottom"/>
          </w:tcPr>
          <w:p>
            <w:pPr>
              <w:spacing w:after="0"/>
              <w:rPr>
                <w:sz w:val="13"/>
                <w:szCs w:val="13"/>
                <w:color w:val="auto"/>
              </w:rPr>
            </w:pPr>
          </w:p>
        </w:tc>
        <w:tc>
          <w:tcPr>
            <w:tcW w:w="1000" w:type="dxa"/>
            <w:vAlign w:val="bottom"/>
          </w:tcPr>
          <w:p>
            <w:pPr>
              <w:jc w:val="center"/>
              <w:ind w:right="108"/>
              <w:spacing w:after="0" w:line="151" w:lineRule="exact"/>
              <w:rPr>
                <w:sz w:val="20"/>
                <w:szCs w:val="20"/>
                <w:color w:val="auto"/>
              </w:rPr>
            </w:pPr>
            <w:r>
              <w:rPr>
                <w:rFonts w:ascii="Arial" w:cs="Arial" w:eastAsia="Arial" w:hAnsi="Arial"/>
                <w:sz w:val="14"/>
                <w:szCs w:val="14"/>
                <w:color w:val="auto"/>
              </w:rPr>
              <w:t>Carrying</w:t>
            </w:r>
          </w:p>
        </w:tc>
        <w:tc>
          <w:tcPr>
            <w:tcW w:w="340" w:type="dxa"/>
            <w:vAlign w:val="bottom"/>
          </w:tcPr>
          <w:p>
            <w:pPr>
              <w:spacing w:after="0"/>
              <w:rPr>
                <w:sz w:val="13"/>
                <w:szCs w:val="13"/>
                <w:color w:val="auto"/>
              </w:rPr>
            </w:pPr>
          </w:p>
        </w:tc>
        <w:tc>
          <w:tcPr>
            <w:tcW w:w="960" w:type="dxa"/>
            <w:vAlign w:val="bottom"/>
          </w:tcPr>
          <w:p>
            <w:pPr>
              <w:jc w:val="right"/>
              <w:ind w:right="448"/>
              <w:spacing w:after="0" w:line="151" w:lineRule="exact"/>
              <w:rPr>
                <w:sz w:val="20"/>
                <w:szCs w:val="20"/>
                <w:color w:val="auto"/>
              </w:rPr>
            </w:pPr>
            <w:r>
              <w:rPr>
                <w:rFonts w:ascii="Arial" w:cs="Arial" w:eastAsia="Arial" w:hAnsi="Arial"/>
                <w:sz w:val="14"/>
                <w:szCs w:val="14"/>
                <w:color w:val="auto"/>
              </w:rPr>
              <w:t>Fair</w:t>
            </w:r>
          </w:p>
        </w:tc>
      </w:tr>
      <w:tr>
        <w:trPr>
          <w:trHeight w:val="185"/>
        </w:trPr>
        <w:tc>
          <w:tcPr>
            <w:tcW w:w="6160" w:type="dxa"/>
            <w:vAlign w:val="bottom"/>
          </w:tcPr>
          <w:p>
            <w:pPr>
              <w:spacing w:after="0"/>
              <w:rPr>
                <w:sz w:val="16"/>
                <w:szCs w:val="16"/>
                <w:color w:val="auto"/>
              </w:rPr>
            </w:pPr>
          </w:p>
        </w:tc>
        <w:tc>
          <w:tcPr>
            <w:tcW w:w="240" w:type="dxa"/>
            <w:vAlign w:val="bottom"/>
            <w:shd w:val="clear" w:color="auto" w:fill="E0E3F1"/>
          </w:tcPr>
          <w:p>
            <w:pPr>
              <w:spacing w:after="0"/>
              <w:rPr>
                <w:sz w:val="16"/>
                <w:szCs w:val="16"/>
                <w:color w:val="auto"/>
              </w:rPr>
            </w:pPr>
          </w:p>
        </w:tc>
        <w:tc>
          <w:tcPr>
            <w:tcW w:w="1020" w:type="dxa"/>
            <w:vAlign w:val="bottom"/>
            <w:shd w:val="clear" w:color="auto" w:fill="E0E3F1"/>
          </w:tcPr>
          <w:p>
            <w:pPr>
              <w:jc w:val="center"/>
              <w:ind w:right="148"/>
              <w:spacing w:after="0"/>
              <w:rPr>
                <w:sz w:val="20"/>
                <w:szCs w:val="20"/>
                <w:color w:val="auto"/>
              </w:rPr>
            </w:pPr>
            <w:r>
              <w:rPr>
                <w:rFonts w:ascii="Arial" w:cs="Arial" w:eastAsia="Arial" w:hAnsi="Arial"/>
                <w:sz w:val="14"/>
                <w:szCs w:val="14"/>
                <w:color w:val="auto"/>
              </w:rPr>
              <w:t>amount</w:t>
            </w:r>
          </w:p>
        </w:tc>
        <w:tc>
          <w:tcPr>
            <w:tcW w:w="300" w:type="dxa"/>
            <w:vAlign w:val="bottom"/>
            <w:shd w:val="clear" w:color="auto" w:fill="E0E3F1"/>
          </w:tcPr>
          <w:p>
            <w:pPr>
              <w:spacing w:after="0"/>
              <w:rPr>
                <w:sz w:val="16"/>
                <w:szCs w:val="16"/>
                <w:color w:val="auto"/>
              </w:rPr>
            </w:pPr>
          </w:p>
        </w:tc>
        <w:tc>
          <w:tcPr>
            <w:tcW w:w="960" w:type="dxa"/>
            <w:vAlign w:val="bottom"/>
            <w:shd w:val="clear" w:color="auto" w:fill="E0E3F1"/>
          </w:tcPr>
          <w:p>
            <w:pPr>
              <w:jc w:val="right"/>
              <w:ind w:right="388"/>
              <w:spacing w:after="0"/>
              <w:rPr>
                <w:sz w:val="20"/>
                <w:szCs w:val="20"/>
                <w:color w:val="auto"/>
              </w:rPr>
            </w:pPr>
            <w:r>
              <w:rPr>
                <w:rFonts w:ascii="Arial" w:cs="Arial" w:eastAsia="Arial" w:hAnsi="Arial"/>
                <w:sz w:val="14"/>
                <w:szCs w:val="14"/>
                <w:color w:val="auto"/>
              </w:rPr>
              <w:t>value</w:t>
            </w:r>
          </w:p>
        </w:tc>
        <w:tc>
          <w:tcPr>
            <w:tcW w:w="220" w:type="dxa"/>
            <w:vAlign w:val="bottom"/>
          </w:tcPr>
          <w:p>
            <w:pPr>
              <w:spacing w:after="0"/>
              <w:rPr>
                <w:sz w:val="16"/>
                <w:szCs w:val="16"/>
                <w:color w:val="auto"/>
              </w:rPr>
            </w:pPr>
          </w:p>
        </w:tc>
        <w:tc>
          <w:tcPr>
            <w:tcW w:w="1000" w:type="dxa"/>
            <w:vAlign w:val="bottom"/>
          </w:tcPr>
          <w:p>
            <w:pPr>
              <w:jc w:val="center"/>
              <w:ind w:right="128"/>
              <w:spacing w:after="0"/>
              <w:rPr>
                <w:sz w:val="20"/>
                <w:szCs w:val="20"/>
                <w:color w:val="auto"/>
              </w:rPr>
            </w:pPr>
            <w:r>
              <w:rPr>
                <w:rFonts w:ascii="Arial" w:cs="Arial" w:eastAsia="Arial" w:hAnsi="Arial"/>
                <w:sz w:val="14"/>
                <w:szCs w:val="14"/>
                <w:color w:val="auto"/>
              </w:rPr>
              <w:t>amount</w:t>
            </w:r>
          </w:p>
        </w:tc>
        <w:tc>
          <w:tcPr>
            <w:tcW w:w="340" w:type="dxa"/>
            <w:vAlign w:val="bottom"/>
          </w:tcPr>
          <w:p>
            <w:pPr>
              <w:spacing w:after="0"/>
              <w:rPr>
                <w:sz w:val="16"/>
                <w:szCs w:val="16"/>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color w:val="auto"/>
              </w:rPr>
              <w:t>value</w:t>
            </w:r>
          </w:p>
        </w:tc>
      </w:tr>
      <w:tr>
        <w:trPr>
          <w:trHeight w:val="194"/>
        </w:trPr>
        <w:tc>
          <w:tcPr>
            <w:tcW w:w="6160" w:type="dxa"/>
            <w:vAlign w:val="bottom"/>
          </w:tcPr>
          <w:p>
            <w:pPr>
              <w:ind w:left="20"/>
              <w:spacing w:after="0"/>
              <w:rPr>
                <w:sz w:val="20"/>
                <w:szCs w:val="20"/>
                <w:color w:val="auto"/>
              </w:rPr>
            </w:pPr>
            <w:r>
              <w:rPr>
                <w:rFonts w:ascii="Arial" w:cs="Arial" w:eastAsia="Arial" w:hAnsi="Arial"/>
                <w:sz w:val="14"/>
                <w:szCs w:val="14"/>
                <w:color w:val="auto"/>
              </w:rPr>
              <w:t>Long-term debt (including current portion)</w:t>
            </w:r>
          </w:p>
        </w:tc>
        <w:tc>
          <w:tcPr>
            <w:tcW w:w="240" w:type="dxa"/>
            <w:vAlign w:val="bottom"/>
            <w:shd w:val="clear" w:color="auto" w:fill="E0E3F1"/>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E0E3F1"/>
          </w:tcPr>
          <w:p>
            <w:pPr>
              <w:jc w:val="right"/>
              <w:spacing w:after="0"/>
              <w:rPr>
                <w:sz w:val="20"/>
                <w:szCs w:val="20"/>
                <w:color w:val="auto"/>
              </w:rPr>
            </w:pPr>
            <w:r>
              <w:rPr>
                <w:rFonts w:ascii="Arial" w:cs="Arial" w:eastAsia="Arial" w:hAnsi="Arial"/>
                <w:sz w:val="14"/>
                <w:szCs w:val="14"/>
                <w:color w:val="auto"/>
              </w:rPr>
              <w:t>3,614.9</w:t>
            </w:r>
          </w:p>
        </w:tc>
        <w:tc>
          <w:tcPr>
            <w:tcW w:w="300" w:type="dxa"/>
            <w:vAlign w:val="bottom"/>
            <w:shd w:val="clear" w:color="auto" w:fill="E0E3F1"/>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shd w:val="clear" w:color="auto" w:fill="E0E3F1"/>
          </w:tcPr>
          <w:p>
            <w:pPr>
              <w:jc w:val="right"/>
              <w:ind w:right="8"/>
              <w:spacing w:after="0"/>
              <w:rPr>
                <w:sz w:val="20"/>
                <w:szCs w:val="20"/>
                <w:color w:val="auto"/>
              </w:rPr>
            </w:pPr>
            <w:r>
              <w:rPr>
                <w:rFonts w:ascii="Arial" w:cs="Arial" w:eastAsia="Arial" w:hAnsi="Arial"/>
                <w:sz w:val="14"/>
                <w:szCs w:val="14"/>
                <w:color w:val="auto"/>
              </w:rPr>
              <w:t>3,505.9</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3,858.8</w:t>
            </w: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3,677.1</w:t>
            </w:r>
          </w:p>
        </w:tc>
      </w:tr>
      <w:tr>
        <w:trPr>
          <w:trHeight w:val="203"/>
        </w:trPr>
        <w:tc>
          <w:tcPr>
            <w:tcW w:w="6160" w:type="dxa"/>
            <w:vAlign w:val="bottom"/>
          </w:tcPr>
          <w:p>
            <w:pPr>
              <w:ind w:left="140"/>
              <w:spacing w:after="0"/>
              <w:rPr>
                <w:sz w:val="20"/>
                <w:szCs w:val="20"/>
                <w:color w:val="auto"/>
              </w:rPr>
            </w:pPr>
            <w:r>
              <w:rPr>
                <w:rFonts w:ascii="Arial" w:cs="Arial" w:eastAsia="Arial" w:hAnsi="Arial"/>
                <w:sz w:val="14"/>
                <w:szCs w:val="14"/>
                <w:color w:val="auto"/>
              </w:rPr>
              <w:t>Level 1 valuation techniques</w:t>
            </w:r>
          </w:p>
        </w:tc>
        <w:tc>
          <w:tcPr>
            <w:tcW w:w="240" w:type="dxa"/>
            <w:vAlign w:val="bottom"/>
            <w:shd w:val="clear" w:color="auto" w:fill="E0E3F1"/>
          </w:tcPr>
          <w:p>
            <w:pPr>
              <w:spacing w:after="0"/>
              <w:rPr>
                <w:sz w:val="17"/>
                <w:szCs w:val="17"/>
                <w:color w:val="auto"/>
              </w:rPr>
            </w:pPr>
          </w:p>
        </w:tc>
        <w:tc>
          <w:tcPr>
            <w:tcW w:w="1020" w:type="dxa"/>
            <w:vAlign w:val="bottom"/>
            <w:shd w:val="clear" w:color="auto" w:fill="E0E3F1"/>
          </w:tcPr>
          <w:p>
            <w:pPr>
              <w:spacing w:after="0"/>
              <w:rPr>
                <w:sz w:val="17"/>
                <w:szCs w:val="17"/>
                <w:color w:val="auto"/>
              </w:rPr>
            </w:pPr>
          </w:p>
        </w:tc>
        <w:tc>
          <w:tcPr>
            <w:tcW w:w="300" w:type="dxa"/>
            <w:vAlign w:val="bottom"/>
            <w:shd w:val="clear" w:color="auto" w:fill="E0E3F1"/>
          </w:tcPr>
          <w:p>
            <w:pPr>
              <w:spacing w:after="0"/>
              <w:rPr>
                <w:sz w:val="17"/>
                <w:szCs w:val="17"/>
                <w:color w:val="auto"/>
              </w:rPr>
            </w:pPr>
          </w:p>
        </w:tc>
        <w:tc>
          <w:tcPr>
            <w:tcW w:w="960" w:type="dxa"/>
            <w:vAlign w:val="bottom"/>
            <w:shd w:val="clear" w:color="auto" w:fill="E0E3F1"/>
          </w:tcPr>
          <w:p>
            <w:pPr>
              <w:jc w:val="right"/>
              <w:ind w:right="8"/>
              <w:spacing w:after="0"/>
              <w:rPr>
                <w:sz w:val="20"/>
                <w:szCs w:val="20"/>
                <w:color w:val="auto"/>
              </w:rPr>
            </w:pPr>
            <w:r>
              <w:rPr>
                <w:rFonts w:ascii="Arial" w:cs="Arial" w:eastAsia="Arial" w:hAnsi="Arial"/>
                <w:sz w:val="14"/>
                <w:szCs w:val="14"/>
                <w:color w:val="auto"/>
              </w:rPr>
              <w:t>3,401.1</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3,557.3</w:t>
            </w:r>
          </w:p>
        </w:tc>
      </w:tr>
      <w:tr>
        <w:trPr>
          <w:trHeight w:val="211"/>
        </w:trPr>
        <w:tc>
          <w:tcPr>
            <w:tcW w:w="6160" w:type="dxa"/>
            <w:vAlign w:val="bottom"/>
          </w:tcPr>
          <w:p>
            <w:pPr>
              <w:ind w:left="140"/>
              <w:spacing w:after="0"/>
              <w:rPr>
                <w:sz w:val="20"/>
                <w:szCs w:val="20"/>
                <w:color w:val="auto"/>
              </w:rPr>
            </w:pPr>
            <w:r>
              <w:rPr>
                <w:rFonts w:ascii="Arial" w:cs="Arial" w:eastAsia="Arial" w:hAnsi="Arial"/>
                <w:sz w:val="14"/>
                <w:szCs w:val="14"/>
                <w:color w:val="auto"/>
              </w:rPr>
              <w:t>Level 2 valuation techniques</w:t>
            </w:r>
          </w:p>
        </w:tc>
        <w:tc>
          <w:tcPr>
            <w:tcW w:w="240" w:type="dxa"/>
            <w:vAlign w:val="bottom"/>
            <w:shd w:val="clear" w:color="auto" w:fill="E0E3F1"/>
          </w:tcPr>
          <w:p>
            <w:pPr>
              <w:spacing w:after="0"/>
              <w:rPr>
                <w:sz w:val="18"/>
                <w:szCs w:val="18"/>
                <w:color w:val="auto"/>
              </w:rPr>
            </w:pPr>
          </w:p>
        </w:tc>
        <w:tc>
          <w:tcPr>
            <w:tcW w:w="1020" w:type="dxa"/>
            <w:vAlign w:val="bottom"/>
            <w:shd w:val="clear" w:color="auto" w:fill="E0E3F1"/>
          </w:tcPr>
          <w:p>
            <w:pPr>
              <w:spacing w:after="0"/>
              <w:rPr>
                <w:sz w:val="18"/>
                <w:szCs w:val="18"/>
                <w:color w:val="auto"/>
              </w:rPr>
            </w:pPr>
          </w:p>
        </w:tc>
        <w:tc>
          <w:tcPr>
            <w:tcW w:w="300" w:type="dxa"/>
            <w:vAlign w:val="bottom"/>
            <w:shd w:val="clear" w:color="auto" w:fill="E0E3F1"/>
          </w:tcPr>
          <w:p>
            <w:pPr>
              <w:spacing w:after="0"/>
              <w:rPr>
                <w:sz w:val="18"/>
                <w:szCs w:val="18"/>
                <w:color w:val="auto"/>
              </w:rPr>
            </w:pPr>
          </w:p>
        </w:tc>
        <w:tc>
          <w:tcPr>
            <w:tcW w:w="960" w:type="dxa"/>
            <w:vAlign w:val="bottom"/>
            <w:shd w:val="clear" w:color="auto" w:fill="E0E3F1"/>
          </w:tcPr>
          <w:p>
            <w:pPr>
              <w:jc w:val="right"/>
              <w:ind w:right="8"/>
              <w:spacing w:after="0"/>
              <w:rPr>
                <w:sz w:val="20"/>
                <w:szCs w:val="20"/>
                <w:color w:val="auto"/>
              </w:rPr>
            </w:pPr>
            <w:r>
              <w:rPr>
                <w:rFonts w:ascii="Arial" w:cs="Arial" w:eastAsia="Arial" w:hAnsi="Arial"/>
                <w:sz w:val="14"/>
                <w:szCs w:val="14"/>
                <w:color w:val="auto"/>
              </w:rPr>
              <w:t>104.8</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119.8</w:t>
            </w:r>
          </w:p>
        </w:tc>
      </w:tr>
    </w:tbl>
    <w:p>
      <w:pPr>
        <w:spacing w:after="0" w:line="238" w:lineRule="exact"/>
        <w:rPr>
          <w:sz w:val="20"/>
          <w:szCs w:val="20"/>
          <w:color w:val="auto"/>
        </w:rPr>
      </w:pPr>
    </w:p>
    <w:p>
      <w:pPr>
        <w:ind w:left="33"/>
        <w:spacing w:after="0"/>
        <w:rPr>
          <w:sz w:val="20"/>
          <w:szCs w:val="20"/>
          <w:color w:val="auto"/>
        </w:rPr>
      </w:pPr>
      <w:r>
        <w:rPr>
          <w:rFonts w:ascii="Arial" w:cs="Arial" w:eastAsia="Arial" w:hAnsi="Arial"/>
          <w:sz w:val="18"/>
          <w:szCs w:val="18"/>
          <w:color w:val="auto"/>
        </w:rPr>
        <w:t>The fair value for Level 2 long-term debt is determined by using quoted prices for similar debt instruments.</w:t>
      </w:r>
    </w:p>
    <w:p>
      <w:pPr>
        <w:spacing w:after="0" w:line="171" w:lineRule="exact"/>
        <w:rPr>
          <w:sz w:val="20"/>
          <w:szCs w:val="20"/>
          <w:color w:val="auto"/>
        </w:rPr>
      </w:pPr>
    </w:p>
    <w:p>
      <w:pPr>
        <w:ind w:left="33"/>
        <w:spacing w:after="0"/>
        <w:rPr>
          <w:sz w:val="20"/>
          <w:szCs w:val="20"/>
          <w:color w:val="auto"/>
        </w:rPr>
      </w:pPr>
      <w:r>
        <w:rPr>
          <w:rFonts w:ascii="Arial" w:cs="Arial" w:eastAsia="Arial" w:hAnsi="Arial"/>
          <w:sz w:val="18"/>
          <w:szCs w:val="18"/>
          <w:b w:val="1"/>
          <w:bCs w:val="1"/>
          <w:color w:val="00539B"/>
        </w:rPr>
        <w:t>9. ACCUMULATED OTHER COMPREHENSIVE LOSS</w:t>
      </w:r>
    </w:p>
    <w:p>
      <w:pPr>
        <w:spacing w:after="0" w:line="90" w:lineRule="exact"/>
        <w:rPr>
          <w:sz w:val="20"/>
          <w:szCs w:val="20"/>
          <w:color w:val="auto"/>
        </w:rPr>
      </w:pPr>
    </w:p>
    <w:p>
      <w:pPr>
        <w:ind w:left="33" w:right="100"/>
        <w:spacing w:after="0" w:line="277" w:lineRule="auto"/>
        <w:rPr>
          <w:sz w:val="20"/>
          <w:szCs w:val="20"/>
          <w:color w:val="auto"/>
        </w:rPr>
      </w:pPr>
      <w:r>
        <w:rPr>
          <w:rFonts w:ascii="Arial" w:cs="Arial" w:eastAsia="Arial" w:hAnsi="Arial"/>
          <w:sz w:val="18"/>
          <w:szCs w:val="18"/>
          <w:color w:val="auto"/>
        </w:rPr>
        <w:t>The following table sets forth the components of accumulated other comprehensive loss, net of tax where applicable, as of November 30 (in millions):</w:t>
      </w:r>
    </w:p>
    <w:tbl>
      <w:tblPr>
        <w:tblLayout w:type="fixed"/>
        <w:tblInd w:w="33" w:type="dxa"/>
        <w:tblCellMar>
          <w:top w:w="0" w:type="dxa"/>
          <w:left w:w="0" w:type="dxa"/>
          <w:bottom w:w="0" w:type="dxa"/>
          <w:right w:w="0" w:type="dxa"/>
        </w:tblCellMar>
      </w:tblPr>
      <w:tr>
        <w:trPr>
          <w:trHeight w:val="206"/>
        </w:trPr>
        <w:tc>
          <w:tcPr>
            <w:tcW w:w="7720" w:type="dxa"/>
            <w:vAlign w:val="bottom"/>
            <w:tcBorders>
              <w:top w:val="single" w:sz="8" w:color="00539B"/>
              <w:bottom w:val="single" w:sz="8" w:color="00539B"/>
            </w:tcBorders>
          </w:tcPr>
          <w:p>
            <w:pPr>
              <w:spacing w:after="0"/>
              <w:rPr>
                <w:sz w:val="17"/>
                <w:szCs w:val="17"/>
                <w:color w:val="auto"/>
              </w:rPr>
            </w:pPr>
          </w:p>
        </w:tc>
        <w:tc>
          <w:tcPr>
            <w:tcW w:w="1140" w:type="dxa"/>
            <w:vAlign w:val="bottom"/>
            <w:tcBorders>
              <w:top w:val="single" w:sz="8" w:color="00539B"/>
              <w:bottom w:val="single" w:sz="8" w:color="00539B"/>
            </w:tcBorders>
            <w:shd w:val="clear" w:color="auto" w:fill="E0E3F1"/>
          </w:tcPr>
          <w:p>
            <w:pPr>
              <w:jc w:val="right"/>
              <w:ind w:right="48"/>
              <w:spacing w:after="0"/>
              <w:rPr>
                <w:sz w:val="20"/>
                <w:szCs w:val="20"/>
                <w:color w:val="auto"/>
              </w:rPr>
            </w:pPr>
            <w:r>
              <w:rPr>
                <w:rFonts w:ascii="Arial" w:cs="Arial" w:eastAsia="Arial" w:hAnsi="Arial"/>
                <w:sz w:val="14"/>
                <w:szCs w:val="14"/>
                <w:color w:val="auto"/>
              </w:rPr>
              <w:t>2025</w:t>
            </w:r>
          </w:p>
        </w:tc>
        <w:tc>
          <w:tcPr>
            <w:tcW w:w="580" w:type="dxa"/>
            <w:vAlign w:val="bottom"/>
            <w:tcBorders>
              <w:top w:val="single" w:sz="8" w:color="00539B"/>
              <w:bottom w:val="single" w:sz="8" w:color="00539B"/>
            </w:tcBorders>
            <w:shd w:val="clear" w:color="auto" w:fill="E0E3F1"/>
          </w:tcPr>
          <w:p>
            <w:pPr>
              <w:spacing w:after="0"/>
              <w:rPr>
                <w:sz w:val="17"/>
                <w:szCs w:val="17"/>
                <w:color w:val="auto"/>
              </w:rPr>
            </w:pPr>
          </w:p>
        </w:tc>
        <w:tc>
          <w:tcPr>
            <w:tcW w:w="400" w:type="dxa"/>
            <w:vAlign w:val="bottom"/>
            <w:tcBorders>
              <w:top w:val="single" w:sz="8" w:color="00539B"/>
              <w:bottom w:val="single" w:sz="8" w:color="00539B"/>
            </w:tcBorders>
          </w:tcPr>
          <w:p>
            <w:pPr>
              <w:spacing w:after="0"/>
              <w:rPr>
                <w:sz w:val="17"/>
                <w:szCs w:val="17"/>
                <w:color w:val="auto"/>
              </w:rPr>
            </w:pPr>
          </w:p>
        </w:tc>
        <w:tc>
          <w:tcPr>
            <w:tcW w:w="1340" w:type="dxa"/>
            <w:vAlign w:val="bottom"/>
            <w:tcBorders>
              <w:top w:val="single" w:sz="8" w:color="00539B"/>
              <w:bottom w:val="single" w:sz="8" w:color="00539B"/>
            </w:tcBorders>
          </w:tcPr>
          <w:p>
            <w:pPr>
              <w:jc w:val="right"/>
              <w:ind w:right="648"/>
              <w:spacing w:after="0"/>
              <w:rPr>
                <w:sz w:val="20"/>
                <w:szCs w:val="20"/>
                <w:color w:val="auto"/>
              </w:rPr>
            </w:pPr>
            <w:r>
              <w:rPr>
                <w:rFonts w:ascii="Arial" w:cs="Arial" w:eastAsia="Arial" w:hAnsi="Arial"/>
                <w:sz w:val="14"/>
                <w:szCs w:val="14"/>
                <w:color w:val="auto"/>
              </w:rPr>
              <w:t>2024</w:t>
            </w:r>
          </w:p>
        </w:tc>
      </w:tr>
      <w:tr>
        <w:trPr>
          <w:trHeight w:val="179"/>
        </w:trPr>
        <w:tc>
          <w:tcPr>
            <w:tcW w:w="7720" w:type="dxa"/>
            <w:vAlign w:val="bottom"/>
          </w:tcPr>
          <w:p>
            <w:pPr>
              <w:ind w:left="20"/>
              <w:spacing w:after="0"/>
              <w:rPr>
                <w:sz w:val="20"/>
                <w:szCs w:val="20"/>
                <w:color w:val="auto"/>
              </w:rPr>
            </w:pPr>
            <w:r>
              <w:rPr>
                <w:rFonts w:ascii="Arial" w:cs="Arial" w:eastAsia="Arial" w:hAnsi="Arial"/>
                <w:sz w:val="14"/>
                <w:szCs w:val="14"/>
                <w:color w:val="auto"/>
              </w:rPr>
              <w:t>Accumulated other comprehensive loss, net of tax where applicable</w:t>
            </w:r>
          </w:p>
        </w:tc>
        <w:tc>
          <w:tcPr>
            <w:tcW w:w="1140" w:type="dxa"/>
            <w:vAlign w:val="bottom"/>
            <w:shd w:val="clear" w:color="auto" w:fill="E0E3F1"/>
          </w:tcPr>
          <w:p>
            <w:pPr>
              <w:spacing w:after="0"/>
              <w:rPr>
                <w:sz w:val="15"/>
                <w:szCs w:val="15"/>
                <w:color w:val="auto"/>
              </w:rPr>
            </w:pPr>
          </w:p>
        </w:tc>
        <w:tc>
          <w:tcPr>
            <w:tcW w:w="580" w:type="dxa"/>
            <w:vAlign w:val="bottom"/>
            <w:shd w:val="clear" w:color="auto" w:fill="E0E3F1"/>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24"/>
        </w:trPr>
        <w:tc>
          <w:tcPr>
            <w:tcW w:w="7720" w:type="dxa"/>
            <w:vAlign w:val="bottom"/>
          </w:tcPr>
          <w:p>
            <w:pPr>
              <w:ind w:left="220"/>
              <w:spacing w:after="0" w:line="224" w:lineRule="exact"/>
              <w:rPr>
                <w:sz w:val="20"/>
                <w:szCs w:val="20"/>
                <w:color w:val="auto"/>
              </w:rPr>
            </w:pPr>
            <w:r>
              <w:rPr>
                <w:rFonts w:ascii="Arial" w:cs="Arial" w:eastAsia="Arial" w:hAnsi="Arial"/>
                <w:sz w:val="14"/>
                <w:szCs w:val="14"/>
                <w:color w:val="auto"/>
              </w:rPr>
              <w:t xml:space="preserve">Foreign currency translation adjustment </w:t>
            </w:r>
            <w:r>
              <w:rPr>
                <w:rFonts w:ascii="Arial" w:cs="Arial" w:eastAsia="Arial" w:hAnsi="Arial"/>
                <w:sz w:val="23"/>
                <w:szCs w:val="23"/>
                <w:color w:val="auto"/>
                <w:vertAlign w:val="superscript"/>
              </w:rPr>
              <w:t>(1)</w:t>
            </w:r>
          </w:p>
        </w:tc>
        <w:tc>
          <w:tcPr>
            <w:tcW w:w="1140" w:type="dxa"/>
            <w:vAlign w:val="bottom"/>
            <w:shd w:val="clear" w:color="auto" w:fill="E0E3F1"/>
          </w:tcPr>
          <w:p>
            <w:pPr>
              <w:jc w:val="right"/>
              <w:ind w:right="968"/>
              <w:spacing w:after="0"/>
              <w:rPr>
                <w:sz w:val="20"/>
                <w:szCs w:val="20"/>
                <w:color w:val="auto"/>
              </w:rPr>
            </w:pPr>
            <w:r>
              <w:rPr>
                <w:rFonts w:ascii="Arial" w:cs="Arial" w:eastAsia="Arial" w:hAnsi="Arial"/>
                <w:sz w:val="14"/>
                <w:szCs w:val="14"/>
                <w:color w:val="auto"/>
              </w:rPr>
              <w:t>$</w:t>
            </w:r>
          </w:p>
        </w:tc>
        <w:tc>
          <w:tcPr>
            <w:tcW w:w="580" w:type="dxa"/>
            <w:vAlign w:val="bottom"/>
            <w:shd w:val="clear" w:color="auto" w:fill="E0E3F1"/>
          </w:tcPr>
          <w:p>
            <w:pPr>
              <w:jc w:val="right"/>
              <w:spacing w:after="0"/>
              <w:rPr>
                <w:sz w:val="20"/>
                <w:szCs w:val="20"/>
                <w:color w:val="auto"/>
              </w:rPr>
            </w:pPr>
            <w:r>
              <w:rPr>
                <w:rFonts w:ascii="Arial" w:cs="Arial" w:eastAsia="Arial" w:hAnsi="Arial"/>
                <w:sz w:val="14"/>
                <w:szCs w:val="14"/>
                <w:color w:val="auto"/>
              </w:rPr>
              <w:t>(269.9)</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(392.0)</w:t>
            </w:r>
          </w:p>
        </w:tc>
      </w:tr>
      <w:tr>
        <w:trPr>
          <w:trHeight w:val="194"/>
        </w:trPr>
        <w:tc>
          <w:tcPr>
            <w:tcW w:w="7720" w:type="dxa"/>
            <w:vAlign w:val="bottom"/>
          </w:tcPr>
          <w:p>
            <w:pPr>
              <w:ind w:left="220"/>
              <w:spacing w:after="0"/>
              <w:rPr>
                <w:sz w:val="20"/>
                <w:szCs w:val="20"/>
                <w:color w:val="auto"/>
              </w:rPr>
            </w:pPr>
            <w:r>
              <w:rPr>
                <w:rFonts w:ascii="Arial" w:cs="Arial" w:eastAsia="Arial" w:hAnsi="Arial"/>
                <w:sz w:val="14"/>
                <w:szCs w:val="14"/>
                <w:color w:val="auto"/>
              </w:rPr>
              <w:t>Unrealized net (loss) gain on foreign currency exchange contracts</w:t>
            </w:r>
          </w:p>
        </w:tc>
        <w:tc>
          <w:tcPr>
            <w:tcW w:w="1140" w:type="dxa"/>
            <w:vAlign w:val="bottom"/>
            <w:shd w:val="clear" w:color="auto" w:fill="E0E3F1"/>
          </w:tcPr>
          <w:p>
            <w:pPr>
              <w:spacing w:after="0"/>
              <w:rPr>
                <w:sz w:val="16"/>
                <w:szCs w:val="16"/>
                <w:color w:val="auto"/>
              </w:rPr>
            </w:pPr>
          </w:p>
        </w:tc>
        <w:tc>
          <w:tcPr>
            <w:tcW w:w="580" w:type="dxa"/>
            <w:vAlign w:val="bottom"/>
            <w:shd w:val="clear" w:color="auto" w:fill="E0E3F1"/>
          </w:tcPr>
          <w:p>
            <w:pPr>
              <w:jc w:val="right"/>
              <w:spacing w:after="0"/>
              <w:rPr>
                <w:sz w:val="20"/>
                <w:szCs w:val="20"/>
                <w:color w:val="auto"/>
              </w:rPr>
            </w:pPr>
            <w:r>
              <w:rPr>
                <w:rFonts w:ascii="Arial" w:cs="Arial" w:eastAsia="Arial" w:hAnsi="Arial"/>
                <w:sz w:val="14"/>
                <w:szCs w:val="14"/>
                <w:color w:val="auto"/>
              </w:rPr>
              <w:t>(3.2)</w:t>
            </w:r>
          </w:p>
        </w:tc>
        <w:tc>
          <w:tcPr>
            <w:tcW w:w="40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2.1</w:t>
            </w:r>
          </w:p>
        </w:tc>
      </w:tr>
      <w:tr>
        <w:trPr>
          <w:trHeight w:val="203"/>
        </w:trPr>
        <w:tc>
          <w:tcPr>
            <w:tcW w:w="7720" w:type="dxa"/>
            <w:vAlign w:val="bottom"/>
          </w:tcPr>
          <w:p>
            <w:pPr>
              <w:ind w:left="220"/>
              <w:spacing w:after="0"/>
              <w:rPr>
                <w:sz w:val="20"/>
                <w:szCs w:val="20"/>
                <w:color w:val="auto"/>
              </w:rPr>
            </w:pPr>
            <w:r>
              <w:rPr>
                <w:rFonts w:ascii="Arial" w:cs="Arial" w:eastAsia="Arial" w:hAnsi="Arial"/>
                <w:sz w:val="14"/>
                <w:szCs w:val="14"/>
                <w:color w:val="auto"/>
              </w:rPr>
              <w:t>Unamortized value of settled interest rate swaps</w:t>
            </w:r>
          </w:p>
        </w:tc>
        <w:tc>
          <w:tcPr>
            <w:tcW w:w="1140" w:type="dxa"/>
            <w:vAlign w:val="bottom"/>
            <w:shd w:val="clear" w:color="auto" w:fill="E0E3F1"/>
          </w:tcPr>
          <w:p>
            <w:pPr>
              <w:spacing w:after="0"/>
              <w:rPr>
                <w:sz w:val="17"/>
                <w:szCs w:val="17"/>
                <w:color w:val="auto"/>
              </w:rPr>
            </w:pPr>
          </w:p>
        </w:tc>
        <w:tc>
          <w:tcPr>
            <w:tcW w:w="580" w:type="dxa"/>
            <w:vAlign w:val="bottom"/>
            <w:shd w:val="clear" w:color="auto" w:fill="E0E3F1"/>
          </w:tcPr>
          <w:p>
            <w:pPr>
              <w:jc w:val="right"/>
              <w:spacing w:after="0"/>
              <w:rPr>
                <w:sz w:val="20"/>
                <w:szCs w:val="20"/>
                <w:color w:val="auto"/>
              </w:rPr>
            </w:pPr>
            <w:r>
              <w:rPr>
                <w:rFonts w:ascii="Arial" w:cs="Arial" w:eastAsia="Arial" w:hAnsi="Arial"/>
                <w:sz w:val="14"/>
                <w:szCs w:val="14"/>
                <w:color w:val="auto"/>
              </w:rPr>
              <w:t>(1.1)</w:t>
            </w:r>
          </w:p>
        </w:tc>
        <w:tc>
          <w:tcPr>
            <w:tcW w:w="4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07"/>
        </w:trPr>
        <w:tc>
          <w:tcPr>
            <w:tcW w:w="7720" w:type="dxa"/>
            <w:vAlign w:val="bottom"/>
            <w:tcBorders>
              <w:bottom w:val="single" w:sz="8" w:color="00539B"/>
            </w:tcBorders>
          </w:tcPr>
          <w:p>
            <w:pPr>
              <w:ind w:left="220"/>
              <w:spacing w:after="0"/>
              <w:rPr>
                <w:sz w:val="20"/>
                <w:szCs w:val="20"/>
                <w:color w:val="auto"/>
              </w:rPr>
            </w:pPr>
            <w:r>
              <w:rPr>
                <w:rFonts w:ascii="Arial" w:cs="Arial" w:eastAsia="Arial" w:hAnsi="Arial"/>
                <w:sz w:val="14"/>
                <w:szCs w:val="14"/>
                <w:color w:val="auto"/>
              </w:rPr>
              <w:t>Pension and other postretirement costs</w:t>
            </w:r>
          </w:p>
        </w:tc>
        <w:tc>
          <w:tcPr>
            <w:tcW w:w="1140" w:type="dxa"/>
            <w:vAlign w:val="bottom"/>
            <w:tcBorders>
              <w:bottom w:val="single" w:sz="8" w:color="00539B"/>
            </w:tcBorders>
            <w:shd w:val="clear" w:color="auto" w:fill="E0E3F1"/>
          </w:tcPr>
          <w:p>
            <w:pPr>
              <w:spacing w:after="0"/>
              <w:rPr>
                <w:sz w:val="17"/>
                <w:szCs w:val="17"/>
                <w:color w:val="auto"/>
              </w:rPr>
            </w:pPr>
          </w:p>
        </w:tc>
        <w:tc>
          <w:tcPr>
            <w:tcW w:w="58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(88.9)</w:t>
            </w:r>
          </w:p>
        </w:tc>
        <w:tc>
          <w:tcPr>
            <w:tcW w:w="400" w:type="dxa"/>
            <w:vAlign w:val="bottom"/>
            <w:tcBorders>
              <w:bottom w:val="single" w:sz="8" w:color="00539B"/>
            </w:tcBorders>
          </w:tcPr>
          <w:p>
            <w:pPr>
              <w:spacing w:after="0"/>
              <w:rPr>
                <w:sz w:val="17"/>
                <w:szCs w:val="17"/>
                <w:color w:val="auto"/>
              </w:rPr>
            </w:pPr>
          </w:p>
        </w:tc>
        <w:tc>
          <w:tcPr>
            <w:tcW w:w="134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(99.7)</w:t>
            </w:r>
          </w:p>
        </w:tc>
      </w:tr>
      <w:tr>
        <w:trPr>
          <w:trHeight w:val="207"/>
        </w:trPr>
        <w:tc>
          <w:tcPr>
            <w:tcW w:w="7720" w:type="dxa"/>
            <w:vAlign w:val="bottom"/>
            <w:tcBorders>
              <w:bottom w:val="single" w:sz="8" w:color="00539B"/>
            </w:tcBorders>
          </w:tcPr>
          <w:p>
            <w:pPr>
              <w:spacing w:after="0"/>
              <w:rPr>
                <w:sz w:val="18"/>
                <w:szCs w:val="18"/>
                <w:color w:val="auto"/>
              </w:rPr>
            </w:pPr>
          </w:p>
        </w:tc>
        <w:tc>
          <w:tcPr>
            <w:tcW w:w="1140" w:type="dxa"/>
            <w:vAlign w:val="bottom"/>
            <w:tcBorders>
              <w:bottom w:val="single" w:sz="8" w:color="00539B"/>
            </w:tcBorders>
            <w:shd w:val="clear" w:color="auto" w:fill="E0E3F1"/>
          </w:tcPr>
          <w:p>
            <w:pPr>
              <w:jc w:val="right"/>
              <w:ind w:right="96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(363.1)</w:t>
            </w:r>
          </w:p>
        </w:tc>
        <w:tc>
          <w:tcPr>
            <w:tcW w:w="400" w:type="dxa"/>
            <w:vAlign w:val="bottom"/>
            <w:tcBorders>
              <w:bottom w:val="single" w:sz="8" w:color="00539B"/>
            </w:tcBorders>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(491.2)</w:t>
            </w:r>
          </w:p>
        </w:tc>
      </w:tr>
    </w:tbl>
    <w:p>
      <w:pPr>
        <w:spacing w:after="0" w:line="85" w:lineRule="exact"/>
        <w:rPr>
          <w:sz w:val="20"/>
          <w:szCs w:val="20"/>
          <w:color w:val="auto"/>
        </w:rPr>
      </w:pPr>
    </w:p>
    <w:p>
      <w:pPr>
        <w:ind w:left="313" w:hanging="313"/>
        <w:spacing w:after="0"/>
        <w:tabs>
          <w:tab w:leader="none" w:pos="313" w:val="left"/>
        </w:tabs>
        <w:numPr>
          <w:ilvl w:val="0"/>
          <w:numId w:val="16"/>
        </w:numPr>
        <w:rPr>
          <w:rFonts w:ascii="Arial" w:cs="Arial" w:eastAsia="Arial" w:hAnsi="Arial"/>
          <w:sz w:val="14"/>
          <w:szCs w:val="14"/>
          <w:color w:val="auto"/>
        </w:rPr>
      </w:pPr>
      <w:r>
        <w:rPr>
          <w:rFonts w:ascii="Arial" w:cs="Arial" w:eastAsia="Arial" w:hAnsi="Arial"/>
          <w:sz w:val="14"/>
          <w:szCs w:val="14"/>
          <w:color w:val="auto"/>
        </w:rPr>
        <w:t>During the year ended November 30, 2025, the foreign currency translation adjustment of accumulated other comprehensive loss decreased on a net basis by</w:t>
      </w:r>
    </w:p>
    <w:p>
      <w:pPr>
        <w:spacing w:after="0" w:line="28" w:lineRule="exact"/>
        <w:rPr>
          <w:rFonts w:ascii="Arial" w:cs="Arial" w:eastAsia="Arial" w:hAnsi="Arial"/>
          <w:sz w:val="14"/>
          <w:szCs w:val="14"/>
          <w:color w:val="auto"/>
        </w:rPr>
      </w:pPr>
    </w:p>
    <w:p>
      <w:pPr>
        <w:ind w:left="333" w:right="20"/>
        <w:spacing w:after="0" w:line="262" w:lineRule="auto"/>
        <w:rPr>
          <w:rFonts w:ascii="Arial" w:cs="Arial" w:eastAsia="Arial" w:hAnsi="Arial"/>
          <w:sz w:val="14"/>
          <w:szCs w:val="14"/>
          <w:color w:val="auto"/>
        </w:rPr>
      </w:pPr>
      <w:r>
        <w:rPr>
          <w:rFonts w:ascii="Arial" w:cs="Arial" w:eastAsia="Arial" w:hAnsi="Arial"/>
          <w:sz w:val="14"/>
          <w:szCs w:val="14"/>
          <w:color w:val="auto"/>
        </w:rPr>
        <w:t>$122.1 million, inclusive of $46.6 million of unrealized losses associated with net investment hedges. During the year ended November 30, 2024, the foreign currency translation adjustment of accumulated other comprehensive loss increased on a net basis by $86.3 million, inclusive of $19.5 million of unrealized gains associated with net investment hedges. These net investment hedges are more fully described in Note 7.</w:t>
      </w:r>
    </w:p>
    <w:p>
      <w:pPr>
        <w:spacing w:after="0" w:line="124" w:lineRule="exact"/>
        <w:rPr>
          <w:sz w:val="20"/>
          <w:szCs w:val="20"/>
          <w:color w:val="auto"/>
        </w:rPr>
      </w:pPr>
    </w:p>
    <w:p>
      <w:pPr>
        <w:ind w:left="33" w:right="540"/>
        <w:spacing w:after="0" w:line="277" w:lineRule="auto"/>
        <w:rPr>
          <w:sz w:val="20"/>
          <w:szCs w:val="20"/>
          <w:color w:val="auto"/>
        </w:rPr>
      </w:pPr>
      <w:r>
        <w:rPr>
          <w:rFonts w:ascii="Arial" w:cs="Arial" w:eastAsia="Arial" w:hAnsi="Arial"/>
          <w:sz w:val="18"/>
          <w:szCs w:val="18"/>
          <w:color w:val="auto"/>
        </w:rPr>
        <w:t>The following table sets forth the amounts reclassified from accumulated other comprehensive income (loss) and into consolidated net income for the years ended November 30:</w:t>
      </w:r>
    </w:p>
    <w:tbl>
      <w:tblPr>
        <w:tblLayout w:type="fixed"/>
        <w:tblInd w:w="33" w:type="dxa"/>
        <w:tblCellMar>
          <w:top w:w="0" w:type="dxa"/>
          <w:left w:w="0" w:type="dxa"/>
          <w:bottom w:w="0" w:type="dxa"/>
          <w:right w:w="0" w:type="dxa"/>
        </w:tblCellMar>
      </w:tblPr>
      <w:tr>
        <w:trPr>
          <w:trHeight w:val="202"/>
        </w:trPr>
        <w:tc>
          <w:tcPr>
            <w:tcW w:w="5220" w:type="dxa"/>
            <w:vAlign w:val="bottom"/>
            <w:tcBorders>
              <w:top w:val="single" w:sz="8" w:color="00539B"/>
            </w:tcBorders>
            <w:gridSpan w:val="2"/>
          </w:tcPr>
          <w:p>
            <w:pPr>
              <w:ind w:left="20"/>
              <w:spacing w:after="0"/>
              <w:rPr>
                <w:sz w:val="20"/>
                <w:szCs w:val="20"/>
                <w:color w:val="auto"/>
              </w:rPr>
            </w:pPr>
            <w:r>
              <w:rPr>
                <w:rFonts w:ascii="Arial" w:cs="Arial" w:eastAsia="Arial" w:hAnsi="Arial"/>
                <w:sz w:val="14"/>
                <w:szCs w:val="14"/>
                <w:color w:val="auto"/>
              </w:rPr>
              <w:t>(millions)</w:t>
            </w:r>
          </w:p>
        </w:tc>
        <w:tc>
          <w:tcPr>
            <w:tcW w:w="240" w:type="dxa"/>
            <w:vAlign w:val="bottom"/>
            <w:tcBorders>
              <w:top w:val="single" w:sz="8" w:color="00539B"/>
            </w:tcBorders>
          </w:tcPr>
          <w:p>
            <w:pPr>
              <w:spacing w:after="0"/>
              <w:rPr>
                <w:sz w:val="17"/>
                <w:szCs w:val="17"/>
                <w:color w:val="auto"/>
              </w:rPr>
            </w:pPr>
          </w:p>
        </w:tc>
        <w:tc>
          <w:tcPr>
            <w:tcW w:w="820" w:type="dxa"/>
            <w:vAlign w:val="bottom"/>
            <w:tcBorders>
              <w:top w:val="single" w:sz="8" w:color="00539B"/>
            </w:tcBorders>
          </w:tcPr>
          <w:p>
            <w:pPr>
              <w:spacing w:after="0"/>
              <w:rPr>
                <w:sz w:val="17"/>
                <w:szCs w:val="17"/>
                <w:color w:val="auto"/>
              </w:rPr>
            </w:pPr>
          </w:p>
        </w:tc>
        <w:tc>
          <w:tcPr>
            <w:tcW w:w="120" w:type="dxa"/>
            <w:vAlign w:val="bottom"/>
            <w:tcBorders>
              <w:top w:val="single" w:sz="8" w:color="00539B"/>
            </w:tcBorders>
          </w:tcPr>
          <w:p>
            <w:pPr>
              <w:spacing w:after="0"/>
              <w:rPr>
                <w:sz w:val="17"/>
                <w:szCs w:val="17"/>
                <w:color w:val="auto"/>
              </w:rPr>
            </w:pPr>
          </w:p>
        </w:tc>
        <w:tc>
          <w:tcPr>
            <w:tcW w:w="240" w:type="dxa"/>
            <w:vAlign w:val="bottom"/>
            <w:tcBorders>
              <w:top w:val="single" w:sz="8" w:color="00539B"/>
            </w:tcBorders>
          </w:tcPr>
          <w:p>
            <w:pPr>
              <w:spacing w:after="0"/>
              <w:rPr>
                <w:sz w:val="17"/>
                <w:szCs w:val="17"/>
                <w:color w:val="auto"/>
              </w:rPr>
            </w:pPr>
          </w:p>
        </w:tc>
        <w:tc>
          <w:tcPr>
            <w:tcW w:w="860" w:type="dxa"/>
            <w:vAlign w:val="bottom"/>
            <w:tcBorders>
              <w:top w:val="single" w:sz="8" w:color="00539B"/>
            </w:tcBorders>
          </w:tcPr>
          <w:p>
            <w:pPr>
              <w:spacing w:after="0"/>
              <w:rPr>
                <w:sz w:val="17"/>
                <w:szCs w:val="17"/>
                <w:color w:val="auto"/>
              </w:rPr>
            </w:pPr>
          </w:p>
        </w:tc>
        <w:tc>
          <w:tcPr>
            <w:tcW w:w="100" w:type="dxa"/>
            <w:vAlign w:val="bottom"/>
            <w:tcBorders>
              <w:top w:val="single" w:sz="8" w:color="00539B"/>
            </w:tcBorders>
          </w:tcPr>
          <w:p>
            <w:pPr>
              <w:spacing w:after="0"/>
              <w:rPr>
                <w:sz w:val="17"/>
                <w:szCs w:val="17"/>
                <w:color w:val="auto"/>
              </w:rPr>
            </w:pPr>
          </w:p>
        </w:tc>
        <w:tc>
          <w:tcPr>
            <w:tcW w:w="240" w:type="dxa"/>
            <w:vAlign w:val="bottom"/>
            <w:tcBorders>
              <w:top w:val="single" w:sz="8" w:color="00539B"/>
            </w:tcBorders>
          </w:tcPr>
          <w:p>
            <w:pPr>
              <w:spacing w:after="0"/>
              <w:rPr>
                <w:sz w:val="17"/>
                <w:szCs w:val="17"/>
                <w:color w:val="auto"/>
              </w:rPr>
            </w:pPr>
          </w:p>
        </w:tc>
        <w:tc>
          <w:tcPr>
            <w:tcW w:w="840" w:type="dxa"/>
            <w:vAlign w:val="bottom"/>
            <w:tcBorders>
              <w:top w:val="single" w:sz="8" w:color="00539B"/>
            </w:tcBorders>
          </w:tcPr>
          <w:p>
            <w:pPr>
              <w:spacing w:after="0"/>
              <w:rPr>
                <w:sz w:val="17"/>
                <w:szCs w:val="17"/>
                <w:color w:val="auto"/>
              </w:rPr>
            </w:pPr>
          </w:p>
        </w:tc>
        <w:tc>
          <w:tcPr>
            <w:tcW w:w="100" w:type="dxa"/>
            <w:vAlign w:val="bottom"/>
            <w:tcBorders>
              <w:top w:val="single" w:sz="8" w:color="00539B"/>
            </w:tcBorders>
          </w:tcPr>
          <w:p>
            <w:pPr>
              <w:spacing w:after="0"/>
              <w:rPr>
                <w:sz w:val="17"/>
                <w:szCs w:val="17"/>
                <w:color w:val="auto"/>
              </w:rPr>
            </w:pPr>
          </w:p>
        </w:tc>
        <w:tc>
          <w:tcPr>
            <w:tcW w:w="2160" w:type="dxa"/>
            <w:vAlign w:val="bottom"/>
            <w:tcBorders>
              <w:top w:val="single" w:sz="8" w:color="00539B"/>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120" w:type="dxa"/>
            <w:vAlign w:val="bottom"/>
            <w:vMerge w:val="restart"/>
          </w:tcPr>
          <w:p>
            <w:pPr>
              <w:ind w:left="20"/>
              <w:spacing w:after="0"/>
              <w:rPr>
                <w:sz w:val="20"/>
                <w:szCs w:val="20"/>
                <w:color w:val="auto"/>
              </w:rPr>
            </w:pPr>
            <w:r>
              <w:rPr>
                <w:rFonts w:ascii="Arial" w:cs="Arial" w:eastAsia="Arial" w:hAnsi="Arial"/>
                <w:sz w:val="14"/>
                <w:szCs w:val="14"/>
                <w:color w:val="auto"/>
              </w:rPr>
              <w:t>Accumulated other comprehensive income (loss) components</w:t>
            </w:r>
          </w:p>
        </w:tc>
        <w:tc>
          <w:tcPr>
            <w:tcW w:w="100" w:type="dxa"/>
            <w:vAlign w:val="bottom"/>
            <w:vMerge w:val="restart"/>
          </w:tcPr>
          <w:p>
            <w:pPr>
              <w:spacing w:after="0"/>
              <w:rPr>
                <w:sz w:val="17"/>
                <w:szCs w:val="17"/>
                <w:color w:val="auto"/>
              </w:rPr>
            </w:pPr>
          </w:p>
        </w:tc>
        <w:tc>
          <w:tcPr>
            <w:tcW w:w="240" w:type="dxa"/>
            <w:vAlign w:val="bottom"/>
            <w:shd w:val="clear" w:color="auto" w:fill="E0E3F1"/>
          </w:tcPr>
          <w:p>
            <w:pPr>
              <w:spacing w:after="0"/>
              <w:rPr>
                <w:sz w:val="17"/>
                <w:szCs w:val="17"/>
                <w:color w:val="auto"/>
              </w:rPr>
            </w:pPr>
          </w:p>
        </w:tc>
        <w:tc>
          <w:tcPr>
            <w:tcW w:w="820" w:type="dxa"/>
            <w:vAlign w:val="bottom"/>
            <w:vMerge w:val="restart"/>
            <w:shd w:val="clear" w:color="auto" w:fill="E0E3F1"/>
          </w:tcPr>
          <w:p>
            <w:pPr>
              <w:jc w:val="right"/>
              <w:ind w:right="288"/>
              <w:spacing w:after="0"/>
              <w:rPr>
                <w:sz w:val="20"/>
                <w:szCs w:val="20"/>
                <w:color w:val="auto"/>
              </w:rPr>
            </w:pPr>
            <w:r>
              <w:rPr>
                <w:rFonts w:ascii="Arial" w:cs="Arial" w:eastAsia="Arial" w:hAnsi="Arial"/>
                <w:sz w:val="14"/>
                <w:szCs w:val="14"/>
                <w:color w:val="auto"/>
              </w:rPr>
              <w:t>2025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vMerge w:val="restart"/>
          </w:tcPr>
          <w:p>
            <w:pPr>
              <w:jc w:val="right"/>
              <w:ind w:right="328"/>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vMerge w:val="restart"/>
          </w:tcPr>
          <w:p>
            <w:pPr>
              <w:jc w:val="right"/>
              <w:ind w:right="308"/>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7"/>
                <w:szCs w:val="17"/>
                <w:color w:val="auto"/>
              </w:rPr>
            </w:pPr>
          </w:p>
        </w:tc>
        <w:tc>
          <w:tcPr>
            <w:tcW w:w="2160" w:type="dxa"/>
            <w:vAlign w:val="bottom"/>
          </w:tcPr>
          <w:p>
            <w:pPr>
              <w:ind w:left="300"/>
              <w:spacing w:after="0"/>
              <w:rPr>
                <w:sz w:val="20"/>
                <w:szCs w:val="20"/>
                <w:color w:val="auto"/>
              </w:rPr>
            </w:pPr>
            <w:r>
              <w:rPr>
                <w:rFonts w:ascii="Arial" w:cs="Arial" w:eastAsia="Arial" w:hAnsi="Arial"/>
                <w:sz w:val="14"/>
                <w:szCs w:val="14"/>
                <w:color w:val="auto"/>
              </w:rPr>
              <w:t>Affected line items in the</w:t>
            </w:r>
          </w:p>
        </w:tc>
        <w:tc>
          <w:tcPr>
            <w:tcW w:w="0" w:type="dxa"/>
            <w:vAlign w:val="bottom"/>
          </w:tcPr>
          <w:p>
            <w:pPr>
              <w:spacing w:after="0"/>
              <w:rPr>
                <w:sz w:val="1"/>
                <w:szCs w:val="1"/>
                <w:color w:val="auto"/>
              </w:rPr>
            </w:pPr>
          </w:p>
        </w:tc>
      </w:tr>
      <w:tr>
        <w:trPr>
          <w:trHeight w:val="185"/>
        </w:trPr>
        <w:tc>
          <w:tcPr>
            <w:tcW w:w="51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40" w:type="dxa"/>
            <w:vAlign w:val="bottom"/>
            <w:tcBorders>
              <w:bottom w:val="single" w:sz="8" w:color="00539B"/>
            </w:tcBorders>
            <w:shd w:val="clear" w:color="auto" w:fill="E0E3F1"/>
          </w:tcPr>
          <w:p>
            <w:pPr>
              <w:spacing w:after="0"/>
              <w:rPr>
                <w:sz w:val="16"/>
                <w:szCs w:val="16"/>
                <w:color w:val="auto"/>
              </w:rPr>
            </w:pPr>
          </w:p>
        </w:tc>
        <w:tc>
          <w:tcPr>
            <w:tcW w:w="820" w:type="dxa"/>
            <w:vAlign w:val="bottom"/>
            <w:tcBorders>
              <w:bottom w:val="single" w:sz="8" w:color="00539B"/>
            </w:tcBorders>
            <w:vMerge w:val="continue"/>
            <w:shd w:val="clear" w:color="auto" w:fill="E0E3F1"/>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consolidated income statement</w:t>
            </w:r>
          </w:p>
        </w:tc>
        <w:tc>
          <w:tcPr>
            <w:tcW w:w="0" w:type="dxa"/>
            <w:vAlign w:val="bottom"/>
          </w:tcPr>
          <w:p>
            <w:pPr>
              <w:spacing w:after="0"/>
              <w:rPr>
                <w:sz w:val="1"/>
                <w:szCs w:val="1"/>
                <w:color w:val="auto"/>
              </w:rPr>
            </w:pPr>
          </w:p>
        </w:tc>
      </w:tr>
      <w:tr>
        <w:trPr>
          <w:trHeight w:val="188"/>
        </w:trPr>
        <w:tc>
          <w:tcPr>
            <w:tcW w:w="5220" w:type="dxa"/>
            <w:vAlign w:val="bottom"/>
            <w:gridSpan w:val="2"/>
          </w:tcPr>
          <w:p>
            <w:pPr>
              <w:ind w:left="20"/>
              <w:spacing w:after="0"/>
              <w:rPr>
                <w:sz w:val="20"/>
                <w:szCs w:val="20"/>
                <w:color w:val="auto"/>
              </w:rPr>
            </w:pPr>
            <w:r>
              <w:rPr>
                <w:rFonts w:ascii="Arial" w:cs="Arial" w:eastAsia="Arial" w:hAnsi="Arial"/>
                <w:sz w:val="14"/>
                <w:szCs w:val="14"/>
                <w:color w:val="auto"/>
              </w:rPr>
              <w:t>(Gains)/losses on cash flow hedges:</w:t>
            </w:r>
          </w:p>
        </w:tc>
        <w:tc>
          <w:tcPr>
            <w:tcW w:w="240" w:type="dxa"/>
            <w:vAlign w:val="bottom"/>
            <w:shd w:val="clear" w:color="auto" w:fill="E0E3F1"/>
          </w:tcPr>
          <w:p>
            <w:pPr>
              <w:spacing w:after="0"/>
              <w:rPr>
                <w:sz w:val="16"/>
                <w:szCs w:val="16"/>
                <w:color w:val="auto"/>
              </w:rPr>
            </w:pPr>
          </w:p>
        </w:tc>
        <w:tc>
          <w:tcPr>
            <w:tcW w:w="820" w:type="dxa"/>
            <w:vAlign w:val="bottom"/>
            <w:shd w:val="clear" w:color="auto" w:fill="E0E3F1"/>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220" w:type="dxa"/>
            <w:vAlign w:val="bottom"/>
            <w:gridSpan w:val="2"/>
          </w:tcPr>
          <w:p>
            <w:pPr>
              <w:ind w:left="360"/>
              <w:spacing w:after="0"/>
              <w:rPr>
                <w:sz w:val="20"/>
                <w:szCs w:val="20"/>
                <w:color w:val="auto"/>
              </w:rPr>
            </w:pPr>
            <w:r>
              <w:rPr>
                <w:rFonts w:ascii="Arial" w:cs="Arial" w:eastAsia="Arial" w:hAnsi="Arial"/>
                <w:sz w:val="14"/>
                <w:szCs w:val="14"/>
                <w:color w:val="auto"/>
              </w:rPr>
              <w:t>Interest rate derivatives</w:t>
            </w:r>
          </w:p>
        </w:tc>
        <w:tc>
          <w:tcPr>
            <w:tcW w:w="240" w:type="dxa"/>
            <w:vAlign w:val="bottom"/>
            <w:shd w:val="clear" w:color="auto" w:fill="E0E3F1"/>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E0E3F1"/>
          </w:tcPr>
          <w:p>
            <w:pPr>
              <w:jc w:val="center"/>
              <w:ind w:left="428"/>
              <w:spacing w:after="0"/>
              <w:rPr>
                <w:sz w:val="20"/>
                <w:szCs w:val="20"/>
                <w:color w:val="auto"/>
              </w:rPr>
            </w:pPr>
            <w:r>
              <w:rPr>
                <w:rFonts w:ascii="Arial" w:cs="Arial" w:eastAsia="Arial" w:hAnsi="Arial"/>
                <w:sz w:val="14"/>
                <w:szCs w:val="14"/>
                <w:color w:val="auto"/>
              </w:rPr>
              <w:t>0.6</w:t>
            </w: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Pr>
          <w:p>
            <w:pPr>
              <w:jc w:val="center"/>
              <w:ind w:left="468"/>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center"/>
              <w:ind w:left="408"/>
              <w:spacing w:after="0"/>
              <w:rPr>
                <w:sz w:val="20"/>
                <w:szCs w:val="20"/>
                <w:color w:val="auto"/>
              </w:rPr>
            </w:pPr>
            <w:r>
              <w:rPr>
                <w:rFonts w:ascii="Arial" w:cs="Arial" w:eastAsia="Arial" w:hAnsi="Arial"/>
                <w:sz w:val="14"/>
                <w:szCs w:val="14"/>
                <w:color w:val="auto"/>
                <w:w w:val="97"/>
              </w:rPr>
              <w:t>(0.1)</w:t>
            </w:r>
          </w:p>
        </w:tc>
        <w:tc>
          <w:tcPr>
            <w:tcW w:w="100" w:type="dxa"/>
            <w:vAlign w:val="bottom"/>
          </w:tcPr>
          <w:p>
            <w:pPr>
              <w:spacing w:after="0"/>
              <w:rPr>
                <w:sz w:val="17"/>
                <w:szCs w:val="17"/>
                <w:color w:val="auto"/>
              </w:rPr>
            </w:pPr>
          </w:p>
        </w:tc>
        <w:tc>
          <w:tcPr>
            <w:tcW w:w="216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0" w:type="dxa"/>
            <w:vAlign w:val="bottom"/>
          </w:tcPr>
          <w:p>
            <w:pPr>
              <w:spacing w:after="0"/>
              <w:rPr>
                <w:sz w:val="1"/>
                <w:szCs w:val="1"/>
                <w:color w:val="auto"/>
              </w:rPr>
            </w:pPr>
          </w:p>
        </w:tc>
      </w:tr>
      <w:tr>
        <w:trPr>
          <w:trHeight w:val="204"/>
        </w:trPr>
        <w:tc>
          <w:tcPr>
            <w:tcW w:w="5220" w:type="dxa"/>
            <w:vAlign w:val="bottom"/>
            <w:gridSpan w:val="2"/>
          </w:tcPr>
          <w:p>
            <w:pPr>
              <w:ind w:left="360"/>
              <w:spacing w:after="0"/>
              <w:rPr>
                <w:sz w:val="20"/>
                <w:szCs w:val="20"/>
                <w:color w:val="auto"/>
              </w:rPr>
            </w:pPr>
            <w:r>
              <w:rPr>
                <w:rFonts w:ascii="Arial" w:cs="Arial" w:eastAsia="Arial" w:hAnsi="Arial"/>
                <w:sz w:val="14"/>
                <w:szCs w:val="14"/>
                <w:color w:val="auto"/>
              </w:rPr>
              <w:t>Foreign exchange contracts</w:t>
            </w:r>
          </w:p>
        </w:tc>
        <w:tc>
          <w:tcPr>
            <w:tcW w:w="240" w:type="dxa"/>
            <w:vAlign w:val="bottom"/>
            <w:tcBorders>
              <w:bottom w:val="single" w:sz="8" w:color="00539B"/>
            </w:tcBorders>
            <w:shd w:val="clear" w:color="auto" w:fill="E0E3F1"/>
          </w:tcPr>
          <w:p>
            <w:pPr>
              <w:spacing w:after="0"/>
              <w:rPr>
                <w:sz w:val="17"/>
                <w:szCs w:val="17"/>
                <w:color w:val="auto"/>
              </w:rPr>
            </w:pPr>
          </w:p>
        </w:tc>
        <w:tc>
          <w:tcPr>
            <w:tcW w:w="820" w:type="dxa"/>
            <w:vAlign w:val="bottom"/>
            <w:tcBorders>
              <w:bottom w:val="single" w:sz="8" w:color="00539B"/>
            </w:tcBorders>
            <w:shd w:val="clear" w:color="auto" w:fill="E0E3F1"/>
          </w:tcPr>
          <w:p>
            <w:pPr>
              <w:jc w:val="center"/>
              <w:ind w:left="428"/>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left="44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left="408"/>
              <w:spacing w:after="0"/>
              <w:rPr>
                <w:sz w:val="20"/>
                <w:szCs w:val="20"/>
                <w:color w:val="auto"/>
              </w:rPr>
            </w:pPr>
            <w:r>
              <w:rPr>
                <w:rFonts w:ascii="Arial" w:cs="Arial" w:eastAsia="Arial" w:hAnsi="Arial"/>
                <w:sz w:val="14"/>
                <w:szCs w:val="14"/>
                <w:color w:val="auto"/>
                <w:w w:val="97"/>
              </w:rPr>
              <w:t>(0.2)</w:t>
            </w:r>
          </w:p>
        </w:tc>
        <w:tc>
          <w:tcPr>
            <w:tcW w:w="100" w:type="dxa"/>
            <w:vAlign w:val="bottom"/>
          </w:tcPr>
          <w:p>
            <w:pPr>
              <w:spacing w:after="0"/>
              <w:rPr>
                <w:sz w:val="17"/>
                <w:szCs w:val="17"/>
                <w:color w:val="auto"/>
              </w:rPr>
            </w:pPr>
          </w:p>
        </w:tc>
        <w:tc>
          <w:tcPr>
            <w:tcW w:w="2160" w:type="dxa"/>
            <w:vAlign w:val="bottom"/>
          </w:tcPr>
          <w:p>
            <w:pPr>
              <w:ind w:left="20"/>
              <w:spacing w:after="0"/>
              <w:rPr>
                <w:sz w:val="20"/>
                <w:szCs w:val="20"/>
                <w:color w:val="auto"/>
              </w:rPr>
            </w:pPr>
            <w:r>
              <w:rPr>
                <w:rFonts w:ascii="Arial" w:cs="Arial" w:eastAsia="Arial" w:hAnsi="Arial"/>
                <w:sz w:val="14"/>
                <w:szCs w:val="14"/>
                <w:color w:val="auto"/>
              </w:rPr>
              <w:t>Cost of goods sold</w:t>
            </w:r>
          </w:p>
        </w:tc>
        <w:tc>
          <w:tcPr>
            <w:tcW w:w="0" w:type="dxa"/>
            <w:vAlign w:val="bottom"/>
          </w:tcPr>
          <w:p>
            <w:pPr>
              <w:spacing w:after="0"/>
              <w:rPr>
                <w:sz w:val="1"/>
                <w:szCs w:val="1"/>
                <w:color w:val="auto"/>
              </w:rPr>
            </w:pPr>
          </w:p>
        </w:tc>
      </w:tr>
      <w:tr>
        <w:trPr>
          <w:trHeight w:val="194"/>
        </w:trPr>
        <w:tc>
          <w:tcPr>
            <w:tcW w:w="5220" w:type="dxa"/>
            <w:vAlign w:val="bottom"/>
            <w:gridSpan w:val="2"/>
          </w:tcPr>
          <w:p>
            <w:pPr>
              <w:jc w:val="right"/>
              <w:ind w:right="120"/>
              <w:spacing w:after="0"/>
              <w:rPr>
                <w:sz w:val="20"/>
                <w:szCs w:val="20"/>
                <w:color w:val="auto"/>
              </w:rPr>
            </w:pPr>
            <w:r>
              <w:rPr>
                <w:rFonts w:ascii="Arial" w:cs="Arial" w:eastAsia="Arial" w:hAnsi="Arial"/>
                <w:sz w:val="14"/>
                <w:szCs w:val="14"/>
                <w:color w:val="auto"/>
              </w:rPr>
              <w:t>Total before taxes</w:t>
            </w:r>
          </w:p>
        </w:tc>
        <w:tc>
          <w:tcPr>
            <w:tcW w:w="240" w:type="dxa"/>
            <w:vAlign w:val="bottom"/>
            <w:shd w:val="clear" w:color="auto" w:fill="E0E3F1"/>
          </w:tcPr>
          <w:p>
            <w:pPr>
              <w:spacing w:after="0"/>
              <w:rPr>
                <w:sz w:val="16"/>
                <w:szCs w:val="16"/>
                <w:color w:val="auto"/>
              </w:rPr>
            </w:pPr>
          </w:p>
        </w:tc>
        <w:tc>
          <w:tcPr>
            <w:tcW w:w="820" w:type="dxa"/>
            <w:vAlign w:val="bottom"/>
            <w:shd w:val="clear" w:color="auto" w:fill="E0E3F1"/>
          </w:tcPr>
          <w:p>
            <w:pPr>
              <w:jc w:val="center"/>
              <w:ind w:left="42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center"/>
              <w:ind w:left="4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center"/>
              <w:ind w:left="408"/>
              <w:spacing w:after="0"/>
              <w:rPr>
                <w:sz w:val="20"/>
                <w:szCs w:val="20"/>
                <w:color w:val="auto"/>
              </w:rPr>
            </w:pPr>
            <w:r>
              <w:rPr>
                <w:rFonts w:ascii="Arial" w:cs="Arial" w:eastAsia="Arial" w:hAnsi="Arial"/>
                <w:sz w:val="14"/>
                <w:szCs w:val="14"/>
                <w:color w:val="auto"/>
                <w:w w:val="97"/>
              </w:rPr>
              <w:t>(0.3)</w:t>
            </w: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220" w:type="dxa"/>
            <w:vAlign w:val="bottom"/>
            <w:gridSpan w:val="2"/>
          </w:tcPr>
          <w:p>
            <w:pPr>
              <w:jc w:val="right"/>
              <w:ind w:right="120"/>
              <w:spacing w:after="0"/>
              <w:rPr>
                <w:sz w:val="20"/>
                <w:szCs w:val="20"/>
                <w:color w:val="auto"/>
              </w:rPr>
            </w:pPr>
            <w:r>
              <w:rPr>
                <w:rFonts w:ascii="Arial" w:cs="Arial" w:eastAsia="Arial" w:hAnsi="Arial"/>
                <w:sz w:val="14"/>
                <w:szCs w:val="14"/>
                <w:color w:val="auto"/>
              </w:rPr>
              <w:t>Tax effect</w:t>
            </w:r>
          </w:p>
        </w:tc>
        <w:tc>
          <w:tcPr>
            <w:tcW w:w="240" w:type="dxa"/>
            <w:vAlign w:val="bottom"/>
            <w:tcBorders>
              <w:bottom w:val="single" w:sz="8" w:color="00539B"/>
            </w:tcBorders>
            <w:shd w:val="clear" w:color="auto" w:fill="E0E3F1"/>
          </w:tcPr>
          <w:p>
            <w:pPr>
              <w:spacing w:after="0"/>
              <w:rPr>
                <w:sz w:val="17"/>
                <w:szCs w:val="17"/>
                <w:color w:val="auto"/>
              </w:rPr>
            </w:pPr>
          </w:p>
        </w:tc>
        <w:tc>
          <w:tcPr>
            <w:tcW w:w="820" w:type="dxa"/>
            <w:vAlign w:val="bottom"/>
            <w:tcBorders>
              <w:bottom w:val="single" w:sz="8" w:color="00539B"/>
            </w:tcBorders>
            <w:shd w:val="clear" w:color="auto" w:fill="E0E3F1"/>
          </w:tcPr>
          <w:p>
            <w:pPr>
              <w:jc w:val="center"/>
              <w:ind w:left="40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left="40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7"/>
                <w:szCs w:val="17"/>
                <w:color w:val="auto"/>
              </w:rPr>
            </w:pPr>
          </w:p>
        </w:tc>
        <w:tc>
          <w:tcPr>
            <w:tcW w:w="2160" w:type="dxa"/>
            <w:vAlign w:val="bottom"/>
          </w:tcPr>
          <w:p>
            <w:pPr>
              <w:ind w:left="20"/>
              <w:spacing w:after="0"/>
              <w:rPr>
                <w:sz w:val="20"/>
                <w:szCs w:val="20"/>
                <w:color w:val="auto"/>
              </w:rPr>
            </w:pPr>
            <w:r>
              <w:rPr>
                <w:rFonts w:ascii="Arial" w:cs="Arial" w:eastAsia="Arial" w:hAnsi="Arial"/>
                <w:sz w:val="14"/>
                <w:szCs w:val="14"/>
                <w:color w:val="auto"/>
              </w:rPr>
              <w:t>Income taxes</w:t>
            </w:r>
          </w:p>
        </w:tc>
        <w:tc>
          <w:tcPr>
            <w:tcW w:w="0" w:type="dxa"/>
            <w:vAlign w:val="bottom"/>
          </w:tcPr>
          <w:p>
            <w:pPr>
              <w:spacing w:after="0"/>
              <w:rPr>
                <w:sz w:val="1"/>
                <w:szCs w:val="1"/>
                <w:color w:val="auto"/>
              </w:rPr>
            </w:pPr>
          </w:p>
        </w:tc>
      </w:tr>
      <w:tr>
        <w:trPr>
          <w:trHeight w:val="207"/>
        </w:trPr>
        <w:tc>
          <w:tcPr>
            <w:tcW w:w="5220" w:type="dxa"/>
            <w:vAlign w:val="bottom"/>
            <w:gridSpan w:val="2"/>
          </w:tcPr>
          <w:p>
            <w:pPr>
              <w:jc w:val="right"/>
              <w:ind w:right="120"/>
              <w:spacing w:after="0"/>
              <w:rPr>
                <w:sz w:val="20"/>
                <w:szCs w:val="20"/>
                <w:color w:val="auto"/>
              </w:rPr>
            </w:pPr>
            <w:r>
              <w:rPr>
                <w:rFonts w:ascii="Arial" w:cs="Arial" w:eastAsia="Arial" w:hAnsi="Arial"/>
                <w:sz w:val="14"/>
                <w:szCs w:val="14"/>
                <w:color w:val="auto"/>
              </w:rPr>
              <w:t>Net, after tax</w:t>
            </w:r>
          </w:p>
        </w:tc>
        <w:tc>
          <w:tcPr>
            <w:tcW w:w="240" w:type="dxa"/>
            <w:vAlign w:val="bottom"/>
            <w:shd w:val="clear" w:color="auto" w:fill="E0E3F1"/>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E0E3F1"/>
          </w:tcPr>
          <w:p>
            <w:pPr>
              <w:jc w:val="center"/>
              <w:ind w:left="428"/>
              <w:spacing w:after="0"/>
              <w:rPr>
                <w:sz w:val="20"/>
                <w:szCs w:val="20"/>
                <w:color w:val="auto"/>
              </w:rPr>
            </w:pPr>
            <w:r>
              <w:rPr>
                <w:rFonts w:ascii="Arial" w:cs="Arial" w:eastAsia="Arial" w:hAnsi="Arial"/>
                <w:sz w:val="14"/>
                <w:szCs w:val="14"/>
                <w:color w:val="auto"/>
              </w:rPr>
              <w:t>0.9</w:t>
            </w: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Pr>
          <w:p>
            <w:pPr>
              <w:jc w:val="center"/>
              <w:ind w:left="448"/>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8"/>
                <w:szCs w:val="18"/>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center"/>
              <w:ind w:left="408"/>
              <w:spacing w:after="0"/>
              <w:rPr>
                <w:sz w:val="20"/>
                <w:szCs w:val="20"/>
                <w:color w:val="auto"/>
              </w:rPr>
            </w:pPr>
            <w:r>
              <w:rPr>
                <w:rFonts w:ascii="Arial" w:cs="Arial" w:eastAsia="Arial" w:hAnsi="Arial"/>
                <w:sz w:val="14"/>
                <w:szCs w:val="14"/>
                <w:color w:val="auto"/>
                <w:w w:val="97"/>
              </w:rPr>
              <w:t>(0.2)</w:t>
            </w: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7"/>
        </w:trPr>
        <w:tc>
          <w:tcPr>
            <w:tcW w:w="5220" w:type="dxa"/>
            <w:vAlign w:val="bottom"/>
            <w:gridSpan w:val="2"/>
          </w:tcPr>
          <w:p>
            <w:pPr>
              <w:ind w:left="20"/>
              <w:spacing w:after="0"/>
              <w:rPr>
                <w:sz w:val="20"/>
                <w:szCs w:val="20"/>
                <w:color w:val="auto"/>
              </w:rPr>
            </w:pPr>
            <w:r>
              <w:rPr>
                <w:rFonts w:ascii="Arial" w:cs="Arial" w:eastAsia="Arial" w:hAnsi="Arial"/>
                <w:sz w:val="14"/>
                <w:szCs w:val="14"/>
                <w:color w:val="auto"/>
              </w:rPr>
              <w:t>Amortization of pension and postretirement benefit adjustments:</w:t>
            </w:r>
          </w:p>
        </w:tc>
        <w:tc>
          <w:tcPr>
            <w:tcW w:w="240" w:type="dxa"/>
            <w:vAlign w:val="bottom"/>
            <w:tcBorders>
              <w:top w:val="single" w:sz="8" w:color="00539B"/>
            </w:tcBorders>
            <w:shd w:val="clear" w:color="auto" w:fill="E0E3F1"/>
          </w:tcPr>
          <w:p>
            <w:pPr>
              <w:spacing w:after="0"/>
              <w:rPr>
                <w:sz w:val="24"/>
                <w:szCs w:val="24"/>
                <w:color w:val="auto"/>
              </w:rPr>
            </w:pPr>
          </w:p>
        </w:tc>
        <w:tc>
          <w:tcPr>
            <w:tcW w:w="820" w:type="dxa"/>
            <w:vAlign w:val="bottom"/>
            <w:tcBorders>
              <w:top w:val="single" w:sz="8" w:color="00539B"/>
            </w:tcBorders>
            <w:shd w:val="clear" w:color="auto" w:fill="E0E3F1"/>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220" w:type="dxa"/>
            <w:vAlign w:val="bottom"/>
            <w:gridSpan w:val="2"/>
          </w:tcPr>
          <w:p>
            <w:pPr>
              <w:ind w:left="360"/>
              <w:spacing w:after="0"/>
              <w:rPr>
                <w:sz w:val="20"/>
                <w:szCs w:val="20"/>
                <w:color w:val="auto"/>
              </w:rPr>
            </w:pPr>
            <w:r>
              <w:rPr>
                <w:rFonts w:ascii="Arial" w:cs="Arial" w:eastAsia="Arial" w:hAnsi="Arial"/>
                <w:sz w:val="14"/>
                <w:szCs w:val="14"/>
                <w:color w:val="auto"/>
              </w:rPr>
              <w:t xml:space="preserve">Amortization of prior service costs </w:t>
            </w:r>
            <w:r>
              <w:rPr>
                <w:rFonts w:ascii="Arial" w:cs="Arial" w:eastAsia="Arial" w:hAnsi="Arial"/>
                <w:sz w:val="8"/>
                <w:szCs w:val="8"/>
                <w:color w:val="auto"/>
              </w:rPr>
              <w:t>(1)</w:t>
            </w:r>
          </w:p>
        </w:tc>
        <w:tc>
          <w:tcPr>
            <w:tcW w:w="240" w:type="dxa"/>
            <w:vAlign w:val="bottom"/>
            <w:shd w:val="clear" w:color="auto" w:fill="E0E3F1"/>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E0E3F1"/>
          </w:tcPr>
          <w:p>
            <w:pPr>
              <w:jc w:val="center"/>
              <w:ind w:left="428"/>
              <w:spacing w:after="0"/>
              <w:rPr>
                <w:sz w:val="20"/>
                <w:szCs w:val="20"/>
                <w:color w:val="auto"/>
              </w:rPr>
            </w:pPr>
            <w:r>
              <w:rPr>
                <w:rFonts w:ascii="Arial" w:cs="Arial" w:eastAsia="Arial" w:hAnsi="Arial"/>
                <w:sz w:val="14"/>
                <w:szCs w:val="14"/>
                <w:color w:val="auto"/>
              </w:rPr>
              <w:t>0.4</w:t>
            </w: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Pr>
          <w:p>
            <w:pPr>
              <w:jc w:val="center"/>
              <w:ind w:left="468"/>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center"/>
              <w:ind w:left="408"/>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7"/>
                <w:szCs w:val="17"/>
                <w:color w:val="auto"/>
              </w:rPr>
            </w:pPr>
          </w:p>
        </w:tc>
        <w:tc>
          <w:tcPr>
            <w:tcW w:w="2160" w:type="dxa"/>
            <w:vAlign w:val="bottom"/>
          </w:tcPr>
          <w:p>
            <w:pPr>
              <w:ind w:left="20"/>
              <w:spacing w:after="0"/>
              <w:rPr>
                <w:sz w:val="20"/>
                <w:szCs w:val="20"/>
                <w:color w:val="auto"/>
              </w:rPr>
            </w:pPr>
            <w:r>
              <w:rPr>
                <w:rFonts w:ascii="Arial" w:cs="Arial" w:eastAsia="Arial" w:hAnsi="Arial"/>
                <w:sz w:val="14"/>
                <w:szCs w:val="14"/>
                <w:color w:val="auto"/>
              </w:rPr>
              <w:t>Other income, net</w:t>
            </w:r>
          </w:p>
        </w:tc>
        <w:tc>
          <w:tcPr>
            <w:tcW w:w="0" w:type="dxa"/>
            <w:vAlign w:val="bottom"/>
          </w:tcPr>
          <w:p>
            <w:pPr>
              <w:spacing w:after="0"/>
              <w:rPr>
                <w:sz w:val="1"/>
                <w:szCs w:val="1"/>
                <w:color w:val="auto"/>
              </w:rPr>
            </w:pPr>
          </w:p>
        </w:tc>
      </w:tr>
      <w:tr>
        <w:trPr>
          <w:trHeight w:val="204"/>
        </w:trPr>
        <w:tc>
          <w:tcPr>
            <w:tcW w:w="5220" w:type="dxa"/>
            <w:vAlign w:val="bottom"/>
            <w:gridSpan w:val="2"/>
          </w:tcPr>
          <w:p>
            <w:pPr>
              <w:ind w:left="360"/>
              <w:spacing w:after="0"/>
              <w:rPr>
                <w:sz w:val="20"/>
                <w:szCs w:val="20"/>
                <w:color w:val="auto"/>
              </w:rPr>
            </w:pPr>
            <w:r>
              <w:rPr>
                <w:rFonts w:ascii="Arial" w:cs="Arial" w:eastAsia="Arial" w:hAnsi="Arial"/>
                <w:sz w:val="14"/>
                <w:szCs w:val="14"/>
                <w:color w:val="auto"/>
              </w:rPr>
              <w:t>Amortization of net actuarial gains</w:t>
            </w:r>
            <w:r>
              <w:rPr>
                <w:rFonts w:ascii="Arial" w:cs="Arial" w:eastAsia="Arial" w:hAnsi="Arial"/>
                <w:sz w:val="8"/>
                <w:szCs w:val="8"/>
                <w:color w:val="auto"/>
              </w:rPr>
              <w:t>(1)</w:t>
            </w:r>
          </w:p>
        </w:tc>
        <w:tc>
          <w:tcPr>
            <w:tcW w:w="240" w:type="dxa"/>
            <w:vAlign w:val="bottom"/>
            <w:tcBorders>
              <w:bottom w:val="single" w:sz="8" w:color="00539B"/>
            </w:tcBorders>
            <w:shd w:val="clear" w:color="auto" w:fill="E0E3F1"/>
          </w:tcPr>
          <w:p>
            <w:pPr>
              <w:spacing w:after="0"/>
              <w:rPr>
                <w:sz w:val="17"/>
                <w:szCs w:val="17"/>
                <w:color w:val="auto"/>
              </w:rPr>
            </w:pPr>
          </w:p>
        </w:tc>
        <w:tc>
          <w:tcPr>
            <w:tcW w:w="820" w:type="dxa"/>
            <w:vAlign w:val="bottom"/>
            <w:tcBorders>
              <w:bottom w:val="single" w:sz="8" w:color="00539B"/>
            </w:tcBorders>
            <w:shd w:val="clear" w:color="auto" w:fill="E0E3F1"/>
          </w:tcPr>
          <w:p>
            <w:pPr>
              <w:jc w:val="center"/>
              <w:ind w:left="40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left="448"/>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left="408"/>
              <w:spacing w:after="0"/>
              <w:rPr>
                <w:sz w:val="20"/>
                <w:szCs w:val="20"/>
                <w:color w:val="auto"/>
              </w:rPr>
            </w:pPr>
            <w:r>
              <w:rPr>
                <w:rFonts w:ascii="Arial" w:cs="Arial" w:eastAsia="Arial" w:hAnsi="Arial"/>
                <w:sz w:val="14"/>
                <w:szCs w:val="14"/>
                <w:color w:val="auto"/>
                <w:w w:val="97"/>
              </w:rPr>
              <w:t>(2.1)</w:t>
            </w:r>
          </w:p>
        </w:tc>
        <w:tc>
          <w:tcPr>
            <w:tcW w:w="100" w:type="dxa"/>
            <w:vAlign w:val="bottom"/>
          </w:tcPr>
          <w:p>
            <w:pPr>
              <w:spacing w:after="0"/>
              <w:rPr>
                <w:sz w:val="17"/>
                <w:szCs w:val="17"/>
                <w:color w:val="auto"/>
              </w:rPr>
            </w:pPr>
          </w:p>
        </w:tc>
        <w:tc>
          <w:tcPr>
            <w:tcW w:w="2160" w:type="dxa"/>
            <w:vAlign w:val="bottom"/>
          </w:tcPr>
          <w:p>
            <w:pPr>
              <w:ind w:left="20"/>
              <w:spacing w:after="0"/>
              <w:rPr>
                <w:sz w:val="20"/>
                <w:szCs w:val="20"/>
                <w:color w:val="auto"/>
              </w:rPr>
            </w:pPr>
            <w:r>
              <w:rPr>
                <w:rFonts w:ascii="Arial" w:cs="Arial" w:eastAsia="Arial" w:hAnsi="Arial"/>
                <w:sz w:val="14"/>
                <w:szCs w:val="14"/>
                <w:color w:val="auto"/>
              </w:rPr>
              <w:t>Other income, net</w:t>
            </w:r>
          </w:p>
        </w:tc>
        <w:tc>
          <w:tcPr>
            <w:tcW w:w="0" w:type="dxa"/>
            <w:vAlign w:val="bottom"/>
          </w:tcPr>
          <w:p>
            <w:pPr>
              <w:spacing w:after="0"/>
              <w:rPr>
                <w:sz w:val="1"/>
                <w:szCs w:val="1"/>
                <w:color w:val="auto"/>
              </w:rPr>
            </w:pPr>
          </w:p>
        </w:tc>
      </w:tr>
      <w:tr>
        <w:trPr>
          <w:trHeight w:val="194"/>
        </w:trPr>
        <w:tc>
          <w:tcPr>
            <w:tcW w:w="5220" w:type="dxa"/>
            <w:vAlign w:val="bottom"/>
            <w:gridSpan w:val="2"/>
          </w:tcPr>
          <w:p>
            <w:pPr>
              <w:jc w:val="right"/>
              <w:ind w:right="120"/>
              <w:spacing w:after="0"/>
              <w:rPr>
                <w:sz w:val="20"/>
                <w:szCs w:val="20"/>
                <w:color w:val="auto"/>
              </w:rPr>
            </w:pPr>
            <w:r>
              <w:rPr>
                <w:rFonts w:ascii="Arial" w:cs="Arial" w:eastAsia="Arial" w:hAnsi="Arial"/>
                <w:sz w:val="14"/>
                <w:szCs w:val="14"/>
                <w:color w:val="auto"/>
              </w:rPr>
              <w:t>Total before taxes</w:t>
            </w:r>
          </w:p>
        </w:tc>
        <w:tc>
          <w:tcPr>
            <w:tcW w:w="240" w:type="dxa"/>
            <w:vAlign w:val="bottom"/>
            <w:shd w:val="clear" w:color="auto" w:fill="E0E3F1"/>
          </w:tcPr>
          <w:p>
            <w:pPr>
              <w:spacing w:after="0"/>
              <w:rPr>
                <w:sz w:val="16"/>
                <w:szCs w:val="16"/>
                <w:color w:val="auto"/>
              </w:rPr>
            </w:pPr>
          </w:p>
        </w:tc>
        <w:tc>
          <w:tcPr>
            <w:tcW w:w="820" w:type="dxa"/>
            <w:vAlign w:val="bottom"/>
            <w:shd w:val="clear" w:color="auto" w:fill="E0E3F1"/>
          </w:tcPr>
          <w:p>
            <w:pPr>
              <w:jc w:val="center"/>
              <w:ind w:left="40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center"/>
              <w:ind w:left="44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center"/>
              <w:ind w:left="408"/>
              <w:spacing w:after="0"/>
              <w:rPr>
                <w:sz w:val="20"/>
                <w:szCs w:val="20"/>
                <w:color w:val="auto"/>
              </w:rPr>
            </w:pPr>
            <w:r>
              <w:rPr>
                <w:rFonts w:ascii="Arial" w:cs="Arial" w:eastAsia="Arial" w:hAnsi="Arial"/>
                <w:sz w:val="14"/>
                <w:szCs w:val="14"/>
                <w:color w:val="auto"/>
                <w:w w:val="97"/>
              </w:rPr>
              <w:t>(1.8)</w:t>
            </w: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220" w:type="dxa"/>
            <w:vAlign w:val="bottom"/>
            <w:tcBorders>
              <w:bottom w:val="single" w:sz="8" w:color="00539B"/>
            </w:tcBorders>
            <w:gridSpan w:val="2"/>
          </w:tcPr>
          <w:p>
            <w:pPr>
              <w:jc w:val="right"/>
              <w:ind w:right="120"/>
              <w:spacing w:after="0"/>
              <w:rPr>
                <w:sz w:val="20"/>
                <w:szCs w:val="20"/>
                <w:color w:val="auto"/>
              </w:rPr>
            </w:pPr>
            <w:r>
              <w:rPr>
                <w:rFonts w:ascii="Arial" w:cs="Arial" w:eastAsia="Arial" w:hAnsi="Arial"/>
                <w:sz w:val="14"/>
                <w:szCs w:val="14"/>
                <w:color w:val="auto"/>
              </w:rPr>
              <w:t>Tax effect</w:t>
            </w:r>
          </w:p>
        </w:tc>
        <w:tc>
          <w:tcPr>
            <w:tcW w:w="240" w:type="dxa"/>
            <w:vAlign w:val="bottom"/>
            <w:tcBorders>
              <w:bottom w:val="single" w:sz="8" w:color="00539B"/>
            </w:tcBorders>
            <w:shd w:val="clear" w:color="auto" w:fill="E0E3F1"/>
          </w:tcPr>
          <w:p>
            <w:pPr>
              <w:spacing w:after="0"/>
              <w:rPr>
                <w:sz w:val="17"/>
                <w:szCs w:val="17"/>
                <w:color w:val="auto"/>
              </w:rPr>
            </w:pPr>
          </w:p>
        </w:tc>
        <w:tc>
          <w:tcPr>
            <w:tcW w:w="820" w:type="dxa"/>
            <w:vAlign w:val="bottom"/>
            <w:tcBorders>
              <w:bottom w:val="single" w:sz="8" w:color="00539B"/>
            </w:tcBorders>
            <w:shd w:val="clear" w:color="auto" w:fill="E0E3F1"/>
          </w:tcPr>
          <w:p>
            <w:pPr>
              <w:jc w:val="center"/>
              <w:ind w:left="42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7"/>
                <w:szCs w:val="17"/>
                <w:color w:val="auto"/>
              </w:rPr>
            </w:pPr>
          </w:p>
        </w:tc>
        <w:tc>
          <w:tcPr>
            <w:tcW w:w="240" w:type="dxa"/>
            <w:vAlign w:val="bottom"/>
            <w:tcBorders>
              <w:bottom w:val="single" w:sz="8" w:color="00539B"/>
            </w:tcBorders>
          </w:tcPr>
          <w:p>
            <w:pPr>
              <w:spacing w:after="0"/>
              <w:rPr>
                <w:sz w:val="17"/>
                <w:szCs w:val="17"/>
                <w:color w:val="auto"/>
              </w:rPr>
            </w:pPr>
          </w:p>
        </w:tc>
        <w:tc>
          <w:tcPr>
            <w:tcW w:w="860" w:type="dxa"/>
            <w:vAlign w:val="bottom"/>
            <w:tcBorders>
              <w:bottom w:val="single" w:sz="8" w:color="00539B"/>
            </w:tcBorders>
          </w:tcPr>
          <w:p>
            <w:pPr>
              <w:jc w:val="center"/>
              <w:ind w:left="468"/>
              <w:spacing w:after="0"/>
              <w:rPr>
                <w:sz w:val="20"/>
                <w:szCs w:val="20"/>
                <w:color w:val="auto"/>
              </w:rPr>
            </w:pPr>
            <w:r>
              <w:rPr>
                <w:rFonts w:ascii="Arial" w:cs="Arial" w:eastAsia="Arial" w:hAnsi="Arial"/>
                <w:sz w:val="14"/>
                <w:szCs w:val="14"/>
                <w:color w:val="auto"/>
              </w:rPr>
              <w:t>0.8</w:t>
            </w:r>
          </w:p>
        </w:tc>
        <w:tc>
          <w:tcPr>
            <w:tcW w:w="100" w:type="dxa"/>
            <w:vAlign w:val="bottom"/>
            <w:tcBorders>
              <w:bottom w:val="single" w:sz="8" w:color="00539B"/>
            </w:tcBorders>
          </w:tcPr>
          <w:p>
            <w:pPr>
              <w:spacing w:after="0"/>
              <w:rPr>
                <w:sz w:val="17"/>
                <w:szCs w:val="17"/>
                <w:color w:val="auto"/>
              </w:rPr>
            </w:pPr>
          </w:p>
        </w:tc>
        <w:tc>
          <w:tcPr>
            <w:tcW w:w="240" w:type="dxa"/>
            <w:vAlign w:val="bottom"/>
            <w:tcBorders>
              <w:bottom w:val="single" w:sz="8" w:color="00539B"/>
            </w:tcBorders>
          </w:tcPr>
          <w:p>
            <w:pPr>
              <w:spacing w:after="0"/>
              <w:rPr>
                <w:sz w:val="17"/>
                <w:szCs w:val="17"/>
                <w:color w:val="auto"/>
              </w:rPr>
            </w:pPr>
          </w:p>
        </w:tc>
        <w:tc>
          <w:tcPr>
            <w:tcW w:w="840" w:type="dxa"/>
            <w:vAlign w:val="bottom"/>
            <w:tcBorders>
              <w:bottom w:val="single" w:sz="8" w:color="00539B"/>
            </w:tcBorders>
          </w:tcPr>
          <w:p>
            <w:pPr>
              <w:jc w:val="center"/>
              <w:ind w:left="408"/>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7"/>
                <w:szCs w:val="17"/>
                <w:color w:val="auto"/>
              </w:rPr>
            </w:pPr>
          </w:p>
        </w:tc>
        <w:tc>
          <w:tcPr>
            <w:tcW w:w="2160" w:type="dxa"/>
            <w:vAlign w:val="bottom"/>
          </w:tcPr>
          <w:p>
            <w:pPr>
              <w:ind w:left="20"/>
              <w:spacing w:after="0"/>
              <w:rPr>
                <w:sz w:val="20"/>
                <w:szCs w:val="20"/>
                <w:color w:val="auto"/>
              </w:rPr>
            </w:pPr>
            <w:r>
              <w:rPr>
                <w:rFonts w:ascii="Arial" w:cs="Arial" w:eastAsia="Arial" w:hAnsi="Arial"/>
                <w:sz w:val="14"/>
                <w:szCs w:val="14"/>
                <w:color w:val="auto"/>
              </w:rPr>
              <w:t>Income taxes</w:t>
            </w:r>
          </w:p>
        </w:tc>
        <w:tc>
          <w:tcPr>
            <w:tcW w:w="0" w:type="dxa"/>
            <w:vAlign w:val="bottom"/>
          </w:tcPr>
          <w:p>
            <w:pPr>
              <w:spacing w:after="0"/>
              <w:rPr>
                <w:sz w:val="1"/>
                <w:szCs w:val="1"/>
                <w:color w:val="auto"/>
              </w:rPr>
            </w:pPr>
          </w:p>
        </w:tc>
      </w:tr>
      <w:tr>
        <w:trPr>
          <w:trHeight w:val="207"/>
        </w:trPr>
        <w:tc>
          <w:tcPr>
            <w:tcW w:w="5220" w:type="dxa"/>
            <w:vAlign w:val="bottom"/>
            <w:tcBorders>
              <w:bottom w:val="single" w:sz="8" w:color="00539B"/>
            </w:tcBorders>
            <w:gridSpan w:val="2"/>
          </w:tcPr>
          <w:p>
            <w:pPr>
              <w:jc w:val="right"/>
              <w:ind w:right="120"/>
              <w:spacing w:after="0"/>
              <w:rPr>
                <w:sz w:val="20"/>
                <w:szCs w:val="20"/>
                <w:color w:val="auto"/>
              </w:rPr>
            </w:pPr>
            <w:r>
              <w:rPr>
                <w:rFonts w:ascii="Arial" w:cs="Arial" w:eastAsia="Arial" w:hAnsi="Arial"/>
                <w:sz w:val="14"/>
                <w:szCs w:val="14"/>
                <w:color w:val="auto"/>
              </w:rPr>
              <w:t>Net, after tax</w:t>
            </w:r>
          </w:p>
        </w:tc>
        <w:tc>
          <w:tcPr>
            <w:tcW w:w="240" w:type="dxa"/>
            <w:vAlign w:val="bottom"/>
            <w:tcBorders>
              <w:bottom w:val="single" w:sz="8" w:color="00539B"/>
            </w:tcBorders>
            <w:shd w:val="clear" w:color="auto" w:fill="E0E3F1"/>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00539B"/>
            </w:tcBorders>
            <w:shd w:val="clear" w:color="auto" w:fill="E0E3F1"/>
          </w:tcPr>
          <w:p>
            <w:pPr>
              <w:jc w:val="center"/>
              <w:ind w:left="408"/>
              <w:spacing w:after="0"/>
              <w:rPr>
                <w:sz w:val="20"/>
                <w:szCs w:val="20"/>
                <w:color w:val="auto"/>
              </w:rPr>
            </w:pPr>
            <w:r>
              <w:rPr>
                <w:rFonts w:ascii="Arial" w:cs="Arial" w:eastAsia="Arial" w:hAnsi="Arial"/>
                <w:sz w:val="14"/>
                <w:szCs w:val="14"/>
                <w:color w:val="auto"/>
              </w:rPr>
              <w:t>(0.9)</w:t>
            </w:r>
          </w:p>
        </w:tc>
        <w:tc>
          <w:tcPr>
            <w:tcW w:w="360" w:type="dxa"/>
            <w:vAlign w:val="bottom"/>
            <w:tcBorders>
              <w:bottom w:val="single" w:sz="8" w:color="00539B"/>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00539B"/>
            </w:tcBorders>
          </w:tcPr>
          <w:p>
            <w:pPr>
              <w:jc w:val="center"/>
              <w:ind w:left="448"/>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00539B"/>
            </w:tcBorders>
          </w:tcPr>
          <w:p>
            <w:pPr>
              <w:spacing w:after="0"/>
              <w:rPr>
                <w:sz w:val="18"/>
                <w:szCs w:val="18"/>
                <w:color w:val="auto"/>
              </w:rPr>
            </w:pPr>
          </w:p>
        </w:tc>
        <w:tc>
          <w:tcPr>
            <w:tcW w:w="240" w:type="dxa"/>
            <w:vAlign w:val="bottom"/>
            <w:tcBorders>
              <w:bottom w:val="single" w:sz="8" w:color="00539B"/>
            </w:tcBorders>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00539B"/>
            </w:tcBorders>
          </w:tcPr>
          <w:p>
            <w:pPr>
              <w:jc w:val="center"/>
              <w:ind w:left="408"/>
              <w:spacing w:after="0"/>
              <w:rPr>
                <w:sz w:val="20"/>
                <w:szCs w:val="20"/>
                <w:color w:val="auto"/>
              </w:rPr>
            </w:pPr>
            <w:r>
              <w:rPr>
                <w:rFonts w:ascii="Arial" w:cs="Arial" w:eastAsia="Arial" w:hAnsi="Arial"/>
                <w:sz w:val="14"/>
                <w:szCs w:val="14"/>
                <w:color w:val="auto"/>
                <w:w w:val="97"/>
              </w:rPr>
              <w:t>(1.4)</w:t>
            </w:r>
          </w:p>
        </w:tc>
        <w:tc>
          <w:tcPr>
            <w:tcW w:w="100" w:type="dxa"/>
            <w:vAlign w:val="bottom"/>
            <w:tcBorders>
              <w:bottom w:val="single" w:sz="8" w:color="00539B"/>
            </w:tcBorders>
          </w:tcPr>
          <w:p>
            <w:pPr>
              <w:spacing w:after="0"/>
              <w:rPr>
                <w:sz w:val="18"/>
                <w:szCs w:val="18"/>
                <w:color w:val="auto"/>
              </w:rPr>
            </w:pPr>
          </w:p>
        </w:tc>
        <w:tc>
          <w:tcPr>
            <w:tcW w:w="2160" w:type="dxa"/>
            <w:vAlign w:val="bottom"/>
            <w:tcBorders>
              <w:bottom w:val="single" w:sz="8" w:color="00539B"/>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73" w:right="240" w:hanging="332"/>
        <w:spacing w:after="0" w:line="286" w:lineRule="auto"/>
        <w:tabs>
          <w:tab w:leader="none" w:pos="171" w:val="left"/>
        </w:tabs>
        <w:numPr>
          <w:ilvl w:val="0"/>
          <w:numId w:val="17"/>
        </w:numPr>
        <w:rPr>
          <w:rFonts w:ascii="Arial" w:cs="Arial" w:eastAsia="Arial" w:hAnsi="Arial"/>
          <w:sz w:val="8"/>
          <w:szCs w:val="8"/>
          <w:color w:val="auto"/>
        </w:rPr>
      </w:pPr>
      <w:r>
        <w:rPr>
          <w:rFonts w:ascii="Arial" w:cs="Arial" w:eastAsia="Arial" w:hAnsi="Arial"/>
          <w:sz w:val="16"/>
          <w:szCs w:val="16"/>
          <w:color w:val="auto"/>
        </w:rPr>
        <w:t>This accumulated other comprehensive income (loss) component is included in the computation of total pension expense and total other postretirement expense (refer to Note 10 for additional details).</w:t>
      </w:r>
    </w:p>
    <w:p>
      <w:pPr>
        <w:spacing w:after="0" w:line="110" w:lineRule="exact"/>
        <w:rPr>
          <w:sz w:val="20"/>
          <w:szCs w:val="20"/>
          <w:color w:val="auto"/>
        </w:rPr>
      </w:pPr>
    </w:p>
    <w:p>
      <w:pPr>
        <w:ind w:left="33"/>
        <w:spacing w:after="0"/>
        <w:rPr>
          <w:sz w:val="20"/>
          <w:szCs w:val="20"/>
          <w:color w:val="auto"/>
        </w:rPr>
      </w:pPr>
      <w:r>
        <w:rPr>
          <w:rFonts w:ascii="Arial" w:cs="Arial" w:eastAsia="Arial" w:hAnsi="Arial"/>
          <w:sz w:val="18"/>
          <w:szCs w:val="18"/>
          <w:b w:val="1"/>
          <w:bCs w:val="1"/>
          <w:color w:val="00539B"/>
        </w:rPr>
        <w:t>10. EMPLOYEE BENEFIT AND RETIREMENT PLANS</w:t>
      </w:r>
    </w:p>
    <w:p>
      <w:pPr>
        <w:spacing w:after="0" w:line="90" w:lineRule="exact"/>
        <w:rPr>
          <w:sz w:val="20"/>
          <w:szCs w:val="20"/>
          <w:color w:val="auto"/>
        </w:rPr>
      </w:pPr>
    </w:p>
    <w:p>
      <w:pPr>
        <w:ind w:left="33" w:right="20"/>
        <w:spacing w:after="0" w:line="257" w:lineRule="auto"/>
        <w:rPr>
          <w:sz w:val="20"/>
          <w:szCs w:val="20"/>
          <w:color w:val="auto"/>
        </w:rPr>
      </w:pPr>
      <w:r>
        <w:rPr>
          <w:rFonts w:ascii="Arial" w:cs="Arial" w:eastAsia="Arial" w:hAnsi="Arial"/>
          <w:sz w:val="18"/>
          <w:szCs w:val="18"/>
          <w:color w:val="auto"/>
        </w:rPr>
        <w:t>We sponsor defined benefit pension plans in the U.S. and certain foreign locations. Additionally, we sponsor defined contribution plans in the U.S. and contribute to defined contribution plans in various locations outside the U.S., including government-sponsored retirement plans. We also provide postretirement medical and life insurance benefits to certain U.S. employees and retirees. We previously froze the accrual of future benefits under certain defined benefit pension plans in the U.S. and certain foreign locations. Although our defined benefit plans in the U.S., United Kingdom, and Canada have generally been frozen, employees who are participants in the plans retained benefits accumulated up to the date of the freeze, based on credited service and eligible earnings, in accordance with the terms of the plans.</w:t>
      </w:r>
    </w:p>
    <w:p>
      <w:pPr>
        <w:spacing w:after="0" w:line="200" w:lineRule="exact"/>
        <w:rPr>
          <w:sz w:val="20"/>
          <w:szCs w:val="20"/>
          <w:color w:val="auto"/>
        </w:rPr>
      </w:pPr>
    </w:p>
    <w:p>
      <w:pPr>
        <w:spacing w:after="0" w:line="320" w:lineRule="exact"/>
        <w:rPr>
          <w:sz w:val="20"/>
          <w:szCs w:val="20"/>
          <w:color w:val="auto"/>
        </w:rPr>
      </w:pPr>
    </w:p>
    <w:p>
      <w:pPr>
        <w:jc w:val="center"/>
        <w:ind w:right="-72"/>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3"/>
          </w:cols>
          <w:pgMar w:left="287" w:top="1052" w:right="37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t>Included in our consolidated balance sheet as of November 30, 2025 on the line entitled "Accumulated other comprehensive loss" was</w:t>
      </w:r>
    </w:p>
    <w:p>
      <w:pPr>
        <w:spacing w:after="0" w:line="27"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$111.6 million ($88.9 million net of tax) related to net unrecognized actuarial losses that have not yet been recognized in net periodic pension or postretirement benefit cost.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539B"/>
        </w:rPr>
        <w:t>Defined Benefit Pension Plans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assumptions used to determine benefit obligations are as follows as of November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0628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20" w:type="dxa"/>
            <w:vAlign w:val="bottom"/>
          </w:tcPr>
          <w:p>
            <w:pPr>
              <w:spacing w:after="0"/>
              <w:rPr>
                <w:sz w:val="16"/>
                <w:szCs w:val="16"/>
                <w:color w:val="auto"/>
              </w:rPr>
            </w:pPr>
          </w:p>
        </w:tc>
        <w:tc>
          <w:tcPr>
            <w:tcW w:w="1920" w:type="dxa"/>
            <w:vAlign w:val="bottom"/>
            <w:gridSpan w:val="3"/>
          </w:tcPr>
          <w:p>
            <w:pPr>
              <w:ind w:left="1000"/>
              <w:spacing w:after="0"/>
              <w:rPr>
                <w:sz w:val="20"/>
                <w:szCs w:val="20"/>
                <w:color w:val="auto"/>
              </w:rPr>
            </w:pPr>
            <w:r>
              <w:rPr>
                <w:rFonts w:ascii="Arial" w:cs="Arial" w:eastAsia="Arial" w:hAnsi="Arial"/>
                <w:sz w:val="14"/>
                <w:szCs w:val="14"/>
                <w:color w:val="auto"/>
              </w:rPr>
              <w:t>United States</w:t>
            </w:r>
          </w:p>
        </w:tc>
        <w:tc>
          <w:tcPr>
            <w:tcW w:w="920" w:type="dxa"/>
            <w:vAlign w:val="bottom"/>
          </w:tcPr>
          <w:p>
            <w:pPr>
              <w:spacing w:after="0"/>
              <w:rPr>
                <w:sz w:val="16"/>
                <w:szCs w:val="16"/>
                <w:color w:val="auto"/>
              </w:rPr>
            </w:pPr>
          </w:p>
        </w:tc>
        <w:tc>
          <w:tcPr>
            <w:tcW w:w="1900" w:type="dxa"/>
            <w:vAlign w:val="bottom"/>
            <w:gridSpan w:val="3"/>
          </w:tcPr>
          <w:p>
            <w:pPr>
              <w:ind w:left="1020"/>
              <w:spacing w:after="0"/>
              <w:rPr>
                <w:sz w:val="20"/>
                <w:szCs w:val="20"/>
                <w:color w:val="auto"/>
              </w:rPr>
            </w:pPr>
            <w:r>
              <w:rPr>
                <w:rFonts w:ascii="Arial" w:cs="Arial" w:eastAsia="Arial" w:hAnsi="Arial"/>
                <w:sz w:val="14"/>
                <w:szCs w:val="14"/>
                <w:color w:val="auto"/>
              </w:rPr>
              <w:t>International</w:t>
            </w:r>
          </w:p>
        </w:tc>
        <w:tc>
          <w:tcPr>
            <w:tcW w:w="940" w:type="dxa"/>
            <w:vAlign w:val="bottom"/>
          </w:tcPr>
          <w:p>
            <w:pPr>
              <w:spacing w:after="0"/>
              <w:rPr>
                <w:sz w:val="16"/>
                <w:szCs w:val="16"/>
                <w:color w:val="auto"/>
              </w:rPr>
            </w:pPr>
          </w:p>
        </w:tc>
      </w:tr>
      <w:tr>
        <w:trPr>
          <w:trHeight w:val="35"/>
        </w:trPr>
        <w:tc>
          <w:tcPr>
            <w:tcW w:w="5520" w:type="dxa"/>
            <w:vAlign w:val="bottom"/>
            <w:tcBorders>
              <w:bottom w:val="single" w:sz="8" w:color="00539B"/>
            </w:tcBorders>
          </w:tcPr>
          <w:p>
            <w:pPr>
              <w:spacing w:after="0"/>
              <w:rPr>
                <w:sz w:val="3"/>
                <w:szCs w:val="3"/>
                <w:color w:val="auto"/>
              </w:rPr>
            </w:pPr>
          </w:p>
        </w:tc>
        <w:tc>
          <w:tcPr>
            <w:tcW w:w="1280" w:type="dxa"/>
            <w:vAlign w:val="bottom"/>
            <w:tcBorders>
              <w:bottom w:val="single" w:sz="8" w:color="00539B"/>
            </w:tcBorders>
          </w:tcPr>
          <w:p>
            <w:pPr>
              <w:spacing w:after="0"/>
              <w:rPr>
                <w:sz w:val="3"/>
                <w:szCs w:val="3"/>
                <w:color w:val="auto"/>
              </w:rPr>
            </w:pPr>
          </w:p>
        </w:tc>
        <w:tc>
          <w:tcPr>
            <w:tcW w:w="140" w:type="dxa"/>
            <w:vAlign w:val="bottom"/>
            <w:tcBorders>
              <w:bottom w:val="single" w:sz="8" w:color="00539B"/>
            </w:tcBorders>
          </w:tcPr>
          <w:p>
            <w:pPr>
              <w:spacing w:after="0"/>
              <w:rPr>
                <w:sz w:val="3"/>
                <w:szCs w:val="3"/>
                <w:color w:val="auto"/>
              </w:rPr>
            </w:pPr>
          </w:p>
        </w:tc>
        <w:tc>
          <w:tcPr>
            <w:tcW w:w="500" w:type="dxa"/>
            <w:vAlign w:val="bottom"/>
            <w:tcBorders>
              <w:bottom w:val="single" w:sz="8" w:color="00539B"/>
            </w:tcBorders>
          </w:tcPr>
          <w:p>
            <w:pPr>
              <w:spacing w:after="0"/>
              <w:rPr>
                <w:sz w:val="3"/>
                <w:szCs w:val="3"/>
                <w:color w:val="auto"/>
              </w:rPr>
            </w:pPr>
          </w:p>
        </w:tc>
        <w:tc>
          <w:tcPr>
            <w:tcW w:w="920" w:type="dxa"/>
            <w:vAlign w:val="bottom"/>
            <w:tcBorders>
              <w:bottom w:val="single" w:sz="8" w:color="00539B"/>
            </w:tcBorders>
          </w:tcPr>
          <w:p>
            <w:pPr>
              <w:spacing w:after="0"/>
              <w:rPr>
                <w:sz w:val="3"/>
                <w:szCs w:val="3"/>
                <w:color w:val="auto"/>
              </w:rPr>
            </w:pPr>
          </w:p>
        </w:tc>
        <w:tc>
          <w:tcPr>
            <w:tcW w:w="1260" w:type="dxa"/>
            <w:vAlign w:val="bottom"/>
            <w:tcBorders>
              <w:bottom w:val="single" w:sz="8" w:color="00539B"/>
            </w:tcBorders>
          </w:tcPr>
          <w:p>
            <w:pPr>
              <w:spacing w:after="0"/>
              <w:rPr>
                <w:sz w:val="3"/>
                <w:szCs w:val="3"/>
                <w:color w:val="auto"/>
              </w:rPr>
            </w:pPr>
          </w:p>
        </w:tc>
        <w:tc>
          <w:tcPr>
            <w:tcW w:w="140" w:type="dxa"/>
            <w:vAlign w:val="bottom"/>
            <w:tcBorders>
              <w:bottom w:val="single" w:sz="8" w:color="00539B"/>
            </w:tcBorders>
          </w:tcPr>
          <w:p>
            <w:pPr>
              <w:spacing w:after="0"/>
              <w:rPr>
                <w:sz w:val="3"/>
                <w:szCs w:val="3"/>
                <w:color w:val="auto"/>
              </w:rPr>
            </w:pPr>
          </w:p>
        </w:tc>
        <w:tc>
          <w:tcPr>
            <w:tcW w:w="500" w:type="dxa"/>
            <w:vAlign w:val="bottom"/>
            <w:tcBorders>
              <w:bottom w:val="single" w:sz="8" w:color="00539B"/>
            </w:tcBorders>
          </w:tcPr>
          <w:p>
            <w:pPr>
              <w:spacing w:after="0"/>
              <w:rPr>
                <w:sz w:val="3"/>
                <w:szCs w:val="3"/>
                <w:color w:val="auto"/>
              </w:rPr>
            </w:pPr>
          </w:p>
        </w:tc>
        <w:tc>
          <w:tcPr>
            <w:tcW w:w="940" w:type="dxa"/>
            <w:vAlign w:val="bottom"/>
            <w:tcBorders>
              <w:bottom w:val="single" w:sz="8" w:color="00539B"/>
            </w:tcBorders>
          </w:tcPr>
          <w:p>
            <w:pPr>
              <w:spacing w:after="0"/>
              <w:rPr>
                <w:sz w:val="3"/>
                <w:szCs w:val="3"/>
                <w:color w:val="auto"/>
              </w:rPr>
            </w:pPr>
          </w:p>
        </w:tc>
      </w:tr>
      <w:tr>
        <w:trPr>
          <w:trHeight w:val="233"/>
        </w:trPr>
        <w:tc>
          <w:tcPr>
            <w:tcW w:w="5520" w:type="dxa"/>
            <w:vAlign w:val="bottom"/>
            <w:tcBorders>
              <w:bottom w:val="single" w:sz="8" w:color="00539B"/>
            </w:tcBorders>
          </w:tcPr>
          <w:p>
            <w:pPr>
              <w:spacing w:after="0"/>
              <w:rPr>
                <w:sz w:val="20"/>
                <w:szCs w:val="20"/>
                <w:color w:val="auto"/>
              </w:rPr>
            </w:pPr>
          </w:p>
        </w:tc>
        <w:tc>
          <w:tcPr>
            <w:tcW w:w="1280" w:type="dxa"/>
            <w:vAlign w:val="bottom"/>
            <w:tcBorders>
              <w:bottom w:val="single" w:sz="8" w:color="00539B"/>
            </w:tcBorders>
            <w:shd w:val="clear" w:color="auto" w:fill="E0E3F1"/>
          </w:tcPr>
          <w:p>
            <w:pPr>
              <w:jc w:val="right"/>
              <w:ind w:right="328"/>
              <w:spacing w:after="0"/>
              <w:rPr>
                <w:sz w:val="20"/>
                <w:szCs w:val="20"/>
                <w:color w:val="auto"/>
              </w:rPr>
            </w:pPr>
            <w:r>
              <w:rPr>
                <w:rFonts w:ascii="Arial" w:cs="Arial" w:eastAsia="Arial" w:hAnsi="Arial"/>
                <w:sz w:val="14"/>
                <w:szCs w:val="14"/>
                <w:color w:val="auto"/>
              </w:rPr>
              <w:t>2025</w:t>
            </w:r>
          </w:p>
        </w:tc>
        <w:tc>
          <w:tcPr>
            <w:tcW w:w="140" w:type="dxa"/>
            <w:vAlign w:val="bottom"/>
            <w:tcBorders>
              <w:bottom w:val="single" w:sz="8" w:color="00539B"/>
            </w:tcBorders>
            <w:shd w:val="clear" w:color="auto" w:fill="E0E3F1"/>
          </w:tcPr>
          <w:p>
            <w:pPr>
              <w:spacing w:after="0"/>
              <w:rPr>
                <w:sz w:val="20"/>
                <w:szCs w:val="20"/>
                <w:color w:val="auto"/>
              </w:rPr>
            </w:pPr>
          </w:p>
        </w:tc>
        <w:tc>
          <w:tcPr>
            <w:tcW w:w="500" w:type="dxa"/>
            <w:vAlign w:val="bottom"/>
            <w:tcBorders>
              <w:bottom w:val="single" w:sz="8" w:color="00539B"/>
            </w:tcBorders>
          </w:tcPr>
          <w:p>
            <w:pPr>
              <w:spacing w:after="0"/>
              <w:rPr>
                <w:sz w:val="20"/>
                <w:szCs w:val="20"/>
                <w:color w:val="auto"/>
              </w:rPr>
            </w:pPr>
          </w:p>
        </w:tc>
        <w:tc>
          <w:tcPr>
            <w:tcW w:w="920" w:type="dxa"/>
            <w:vAlign w:val="bottom"/>
            <w:tcBorders>
              <w:bottom w:val="single" w:sz="8" w:color="00539B"/>
            </w:tcBorders>
          </w:tcPr>
          <w:p>
            <w:pPr>
              <w:jc w:val="right"/>
              <w:ind w:right="468"/>
              <w:spacing w:after="0"/>
              <w:rPr>
                <w:sz w:val="20"/>
                <w:szCs w:val="20"/>
                <w:color w:val="auto"/>
              </w:rPr>
            </w:pPr>
            <w:r>
              <w:rPr>
                <w:rFonts w:ascii="Arial" w:cs="Arial" w:eastAsia="Arial" w:hAnsi="Arial"/>
                <w:sz w:val="14"/>
                <w:szCs w:val="14"/>
                <w:color w:val="auto"/>
              </w:rPr>
              <w:t>2024</w:t>
            </w:r>
          </w:p>
        </w:tc>
        <w:tc>
          <w:tcPr>
            <w:tcW w:w="1260" w:type="dxa"/>
            <w:vAlign w:val="bottom"/>
            <w:tcBorders>
              <w:bottom w:val="single" w:sz="8" w:color="00539B"/>
            </w:tcBorders>
            <w:shd w:val="clear" w:color="auto" w:fill="E0E3F1"/>
          </w:tcPr>
          <w:p>
            <w:pPr>
              <w:jc w:val="right"/>
              <w:ind w:right="328"/>
              <w:spacing w:after="0"/>
              <w:rPr>
                <w:sz w:val="20"/>
                <w:szCs w:val="20"/>
                <w:color w:val="auto"/>
              </w:rPr>
            </w:pPr>
            <w:r>
              <w:rPr>
                <w:rFonts w:ascii="Arial" w:cs="Arial" w:eastAsia="Arial" w:hAnsi="Arial"/>
                <w:sz w:val="14"/>
                <w:szCs w:val="14"/>
                <w:color w:val="auto"/>
              </w:rPr>
              <w:t>2025</w:t>
            </w:r>
          </w:p>
        </w:tc>
        <w:tc>
          <w:tcPr>
            <w:tcW w:w="140" w:type="dxa"/>
            <w:vAlign w:val="bottom"/>
            <w:tcBorders>
              <w:bottom w:val="single" w:sz="8" w:color="00539B"/>
            </w:tcBorders>
            <w:shd w:val="clear" w:color="auto" w:fill="E0E3F1"/>
          </w:tcPr>
          <w:p>
            <w:pPr>
              <w:spacing w:after="0"/>
              <w:rPr>
                <w:sz w:val="20"/>
                <w:szCs w:val="20"/>
                <w:color w:val="auto"/>
              </w:rPr>
            </w:pPr>
          </w:p>
        </w:tc>
        <w:tc>
          <w:tcPr>
            <w:tcW w:w="500" w:type="dxa"/>
            <w:vAlign w:val="bottom"/>
            <w:tcBorders>
              <w:bottom w:val="single" w:sz="8" w:color="00539B"/>
            </w:tcBorders>
          </w:tcPr>
          <w:p>
            <w:pPr>
              <w:spacing w:after="0"/>
              <w:rPr>
                <w:sz w:val="20"/>
                <w:szCs w:val="20"/>
                <w:color w:val="auto"/>
              </w:rPr>
            </w:pPr>
          </w:p>
        </w:tc>
        <w:tc>
          <w:tcPr>
            <w:tcW w:w="940" w:type="dxa"/>
            <w:vAlign w:val="bottom"/>
            <w:tcBorders>
              <w:bottom w:val="single" w:sz="8" w:color="00539B"/>
            </w:tcBorders>
          </w:tcPr>
          <w:p>
            <w:pPr>
              <w:jc w:val="right"/>
              <w:ind w:right="488"/>
              <w:spacing w:after="0"/>
              <w:rPr>
                <w:sz w:val="20"/>
                <w:szCs w:val="20"/>
                <w:color w:val="auto"/>
              </w:rPr>
            </w:pPr>
            <w:r>
              <w:rPr>
                <w:rFonts w:ascii="Arial" w:cs="Arial" w:eastAsia="Arial" w:hAnsi="Arial"/>
                <w:sz w:val="14"/>
                <w:szCs w:val="14"/>
                <w:color w:val="auto"/>
              </w:rPr>
              <w:t>2024</w:t>
            </w:r>
          </w:p>
        </w:tc>
      </w:tr>
      <w:tr>
        <w:trPr>
          <w:trHeight w:val="192"/>
        </w:trPr>
        <w:tc>
          <w:tcPr>
            <w:tcW w:w="5520" w:type="dxa"/>
            <w:vAlign w:val="bottom"/>
          </w:tcPr>
          <w:p>
            <w:pPr>
              <w:ind w:left="20"/>
              <w:spacing w:after="0"/>
              <w:rPr>
                <w:sz w:val="20"/>
                <w:szCs w:val="20"/>
                <w:color w:val="auto"/>
              </w:rPr>
            </w:pPr>
            <w:r>
              <w:rPr>
                <w:rFonts w:ascii="Arial" w:cs="Arial" w:eastAsia="Arial" w:hAnsi="Arial"/>
                <w:sz w:val="14"/>
                <w:szCs w:val="14"/>
                <w:color w:val="auto"/>
              </w:rPr>
              <w:t>Discount rate—funded plans</w:t>
            </w:r>
          </w:p>
        </w:tc>
        <w:tc>
          <w:tcPr>
            <w:tcW w:w="1280" w:type="dxa"/>
            <w:vAlign w:val="bottom"/>
            <w:shd w:val="clear" w:color="auto" w:fill="E0E3F1"/>
          </w:tcPr>
          <w:p>
            <w:pPr>
              <w:jc w:val="right"/>
              <w:spacing w:after="0"/>
              <w:rPr>
                <w:sz w:val="20"/>
                <w:szCs w:val="20"/>
                <w:color w:val="auto"/>
              </w:rPr>
            </w:pPr>
            <w:r>
              <w:rPr>
                <w:rFonts w:ascii="Arial" w:cs="Arial" w:eastAsia="Arial" w:hAnsi="Arial"/>
                <w:sz w:val="14"/>
                <w:szCs w:val="14"/>
                <w:color w:val="auto"/>
              </w:rPr>
              <w:t>5.5</w:t>
            </w:r>
          </w:p>
        </w:tc>
        <w:tc>
          <w:tcPr>
            <w:tcW w:w="140" w:type="dxa"/>
            <w:vAlign w:val="bottom"/>
            <w:shd w:val="clear" w:color="auto" w:fill="E0E3F1"/>
          </w:tcPr>
          <w:p>
            <w:pPr>
              <w:jc w:val="right"/>
              <w:spacing w:after="0"/>
              <w:rPr>
                <w:sz w:val="20"/>
                <w:szCs w:val="20"/>
                <w:color w:val="auto"/>
              </w:rPr>
            </w:pPr>
            <w:r>
              <w:rPr>
                <w:rFonts w:ascii="Arial" w:cs="Arial" w:eastAsia="Arial" w:hAnsi="Arial"/>
                <w:sz w:val="14"/>
                <w:szCs w:val="14"/>
                <w:color w:val="auto"/>
                <w:w w:val="79"/>
              </w:rPr>
              <w:t>%</w:t>
            </w:r>
          </w:p>
        </w:tc>
        <w:tc>
          <w:tcPr>
            <w:tcW w:w="5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5.3 %</w:t>
            </w:r>
          </w:p>
        </w:tc>
        <w:tc>
          <w:tcPr>
            <w:tcW w:w="12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5.1</w:t>
            </w:r>
          </w:p>
        </w:tc>
        <w:tc>
          <w:tcPr>
            <w:tcW w:w="140" w:type="dxa"/>
            <w:vAlign w:val="bottom"/>
            <w:shd w:val="clear" w:color="auto" w:fill="E0E3F1"/>
          </w:tcPr>
          <w:p>
            <w:pPr>
              <w:jc w:val="right"/>
              <w:spacing w:after="0"/>
              <w:rPr>
                <w:sz w:val="20"/>
                <w:szCs w:val="20"/>
                <w:color w:val="auto"/>
              </w:rPr>
            </w:pPr>
            <w:r>
              <w:rPr>
                <w:rFonts w:ascii="Arial" w:cs="Arial" w:eastAsia="Arial" w:hAnsi="Arial"/>
                <w:sz w:val="14"/>
                <w:szCs w:val="14"/>
                <w:color w:val="auto"/>
                <w:w w:val="96"/>
              </w:rPr>
              <w:t>%</w:t>
            </w:r>
          </w:p>
        </w:tc>
        <w:tc>
          <w:tcPr>
            <w:tcW w:w="5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4.7 %</w:t>
            </w:r>
          </w:p>
        </w:tc>
      </w:tr>
      <w:tr>
        <w:trPr>
          <w:trHeight w:val="203"/>
        </w:trPr>
        <w:tc>
          <w:tcPr>
            <w:tcW w:w="5520" w:type="dxa"/>
            <w:vAlign w:val="bottom"/>
          </w:tcPr>
          <w:p>
            <w:pPr>
              <w:ind w:left="20"/>
              <w:spacing w:after="0"/>
              <w:rPr>
                <w:sz w:val="20"/>
                <w:szCs w:val="20"/>
                <w:color w:val="auto"/>
              </w:rPr>
            </w:pPr>
            <w:r>
              <w:rPr>
                <w:rFonts w:ascii="Arial" w:cs="Arial" w:eastAsia="Arial" w:hAnsi="Arial"/>
                <w:sz w:val="14"/>
                <w:szCs w:val="14"/>
                <w:color w:val="auto"/>
              </w:rPr>
              <w:t>Discount rate—unfunded plan</w:t>
            </w:r>
          </w:p>
        </w:tc>
        <w:tc>
          <w:tcPr>
            <w:tcW w:w="1280" w:type="dxa"/>
            <w:vAlign w:val="bottom"/>
            <w:shd w:val="clear" w:color="auto" w:fill="E0E3F1"/>
          </w:tcPr>
          <w:p>
            <w:pPr>
              <w:jc w:val="right"/>
              <w:spacing w:after="0"/>
              <w:rPr>
                <w:sz w:val="20"/>
                <w:szCs w:val="20"/>
                <w:color w:val="auto"/>
              </w:rPr>
            </w:pPr>
            <w:r>
              <w:rPr>
                <w:rFonts w:ascii="Arial" w:cs="Arial" w:eastAsia="Arial" w:hAnsi="Arial"/>
                <w:sz w:val="14"/>
                <w:szCs w:val="14"/>
                <w:color w:val="auto"/>
              </w:rPr>
              <w:t>5.4</w:t>
            </w:r>
          </w:p>
        </w:tc>
        <w:tc>
          <w:tcPr>
            <w:tcW w:w="140" w:type="dxa"/>
            <w:vAlign w:val="bottom"/>
            <w:shd w:val="clear" w:color="auto" w:fill="E0E3F1"/>
          </w:tcPr>
          <w:p>
            <w:pPr>
              <w:jc w:val="right"/>
              <w:spacing w:after="0"/>
              <w:rPr>
                <w:sz w:val="20"/>
                <w:szCs w:val="20"/>
                <w:color w:val="auto"/>
              </w:rPr>
            </w:pPr>
            <w:r>
              <w:rPr>
                <w:rFonts w:ascii="Arial" w:cs="Arial" w:eastAsia="Arial" w:hAnsi="Arial"/>
                <w:sz w:val="14"/>
                <w:szCs w:val="14"/>
                <w:color w:val="auto"/>
                <w:w w:val="79"/>
              </w:rPr>
              <w:t>%</w:t>
            </w:r>
          </w:p>
        </w:tc>
        <w:tc>
          <w:tcPr>
            <w:tcW w:w="5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5.3 %</w:t>
            </w:r>
          </w:p>
        </w:tc>
        <w:tc>
          <w:tcPr>
            <w:tcW w:w="12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E0E3F1"/>
          </w:tcPr>
          <w:p>
            <w:pPr>
              <w:jc w:val="right"/>
              <w:spacing w:after="0"/>
              <w:rPr>
                <w:sz w:val="20"/>
                <w:szCs w:val="20"/>
                <w:color w:val="auto"/>
              </w:rPr>
            </w:pPr>
            <w:r>
              <w:rPr>
                <w:rFonts w:ascii="Arial" w:cs="Arial" w:eastAsia="Arial" w:hAnsi="Arial"/>
                <w:sz w:val="14"/>
                <w:szCs w:val="14"/>
                <w:color w:val="auto"/>
                <w:w w:val="96"/>
              </w:rPr>
              <w:t>%</w:t>
            </w: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218"/>
        </w:trPr>
        <w:tc>
          <w:tcPr>
            <w:tcW w:w="552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Salary scale</w:t>
            </w:r>
          </w:p>
        </w:tc>
        <w:tc>
          <w:tcPr>
            <w:tcW w:w="128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w w:val="79"/>
              </w:rPr>
              <w:t>%</w:t>
            </w:r>
          </w:p>
        </w:tc>
        <w:tc>
          <w:tcPr>
            <w:tcW w:w="500" w:type="dxa"/>
            <w:vAlign w:val="bottom"/>
            <w:tcBorders>
              <w:bottom w:val="single" w:sz="8" w:color="00539B"/>
            </w:tcBorders>
          </w:tcPr>
          <w:p>
            <w:pPr>
              <w:spacing w:after="0"/>
              <w:rPr>
                <w:sz w:val="18"/>
                <w:szCs w:val="18"/>
                <w:color w:val="auto"/>
              </w:rPr>
            </w:pPr>
          </w:p>
        </w:tc>
        <w:tc>
          <w:tcPr>
            <w:tcW w:w="92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 %</w:t>
            </w:r>
          </w:p>
        </w:tc>
        <w:tc>
          <w:tcPr>
            <w:tcW w:w="126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2.9</w:t>
            </w:r>
          </w:p>
        </w:tc>
        <w:tc>
          <w:tcPr>
            <w:tcW w:w="14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w w:val="96"/>
              </w:rPr>
              <w:t>%</w:t>
            </w:r>
          </w:p>
        </w:tc>
        <w:tc>
          <w:tcPr>
            <w:tcW w:w="500" w:type="dxa"/>
            <w:vAlign w:val="bottom"/>
            <w:tcBorders>
              <w:bottom w:val="single" w:sz="8" w:color="00539B"/>
            </w:tcBorders>
          </w:tcPr>
          <w:p>
            <w:pPr>
              <w:spacing w:after="0"/>
              <w:rPr>
                <w:sz w:val="18"/>
                <w:szCs w:val="18"/>
                <w:color w:val="auto"/>
              </w:rPr>
            </w:pPr>
          </w:p>
        </w:tc>
        <w:tc>
          <w:tcPr>
            <w:tcW w:w="94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2.9 %</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assumptions used to determine pension expense for the years ended November 30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9803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ind w:right="248"/>
              <w:spacing w:after="0"/>
              <w:rPr>
                <w:sz w:val="20"/>
                <w:szCs w:val="20"/>
                <w:color w:val="auto"/>
              </w:rPr>
            </w:pPr>
            <w:r>
              <w:rPr>
                <w:rFonts w:ascii="Arial" w:cs="Arial" w:eastAsia="Arial" w:hAnsi="Arial"/>
                <w:sz w:val="14"/>
                <w:szCs w:val="14"/>
                <w:color w:val="auto"/>
              </w:rPr>
              <w:t>United States</w:t>
            </w:r>
          </w:p>
        </w:tc>
        <w:tc>
          <w:tcPr>
            <w:tcW w:w="9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288"/>
              <w:spacing w:after="0"/>
              <w:rPr>
                <w:sz w:val="20"/>
                <w:szCs w:val="20"/>
                <w:color w:val="auto"/>
              </w:rPr>
            </w:pPr>
            <w:r>
              <w:rPr>
                <w:rFonts w:ascii="Arial" w:cs="Arial" w:eastAsia="Arial" w:hAnsi="Arial"/>
                <w:sz w:val="14"/>
                <w:szCs w:val="14"/>
                <w:color w:val="auto"/>
              </w:rPr>
              <w:t>International</w:t>
            </w:r>
          </w:p>
        </w:tc>
        <w:tc>
          <w:tcPr>
            <w:tcW w:w="940" w:type="dxa"/>
            <w:vAlign w:val="bottom"/>
          </w:tcPr>
          <w:p>
            <w:pPr>
              <w:spacing w:after="0"/>
              <w:rPr>
                <w:sz w:val="16"/>
                <w:szCs w:val="16"/>
                <w:color w:val="auto"/>
              </w:rPr>
            </w:pPr>
          </w:p>
        </w:tc>
      </w:tr>
      <w:tr>
        <w:trPr>
          <w:trHeight w:val="35"/>
        </w:trPr>
        <w:tc>
          <w:tcPr>
            <w:tcW w:w="5140" w:type="dxa"/>
            <w:vAlign w:val="bottom"/>
            <w:tcBorders>
              <w:bottom w:val="single" w:sz="8" w:color="00539B"/>
            </w:tcBorders>
            <w:gridSpan w:val="2"/>
          </w:tcPr>
          <w:p>
            <w:pPr>
              <w:spacing w:after="0"/>
              <w:rPr>
                <w:sz w:val="3"/>
                <w:szCs w:val="3"/>
                <w:color w:val="auto"/>
              </w:rPr>
            </w:pPr>
          </w:p>
        </w:tc>
        <w:tc>
          <w:tcPr>
            <w:tcW w:w="240" w:type="dxa"/>
            <w:vAlign w:val="bottom"/>
            <w:tcBorders>
              <w:bottom w:val="single" w:sz="8" w:color="00539B"/>
            </w:tcBorders>
          </w:tcPr>
          <w:p>
            <w:pPr>
              <w:spacing w:after="0"/>
              <w:rPr>
                <w:sz w:val="3"/>
                <w:szCs w:val="3"/>
                <w:color w:val="auto"/>
              </w:rPr>
            </w:pPr>
          </w:p>
        </w:tc>
        <w:tc>
          <w:tcPr>
            <w:tcW w:w="140" w:type="dxa"/>
            <w:vAlign w:val="bottom"/>
            <w:tcBorders>
              <w:bottom w:val="single" w:sz="8" w:color="00539B"/>
            </w:tcBorders>
          </w:tcPr>
          <w:p>
            <w:pPr>
              <w:spacing w:after="0"/>
              <w:rPr>
                <w:sz w:val="3"/>
                <w:szCs w:val="3"/>
                <w:color w:val="auto"/>
              </w:rPr>
            </w:pPr>
          </w:p>
        </w:tc>
        <w:tc>
          <w:tcPr>
            <w:tcW w:w="1340" w:type="dxa"/>
            <w:vAlign w:val="bottom"/>
            <w:tcBorders>
              <w:bottom w:val="single" w:sz="8" w:color="00539B"/>
            </w:tcBorders>
          </w:tcPr>
          <w:p>
            <w:pPr>
              <w:spacing w:after="0"/>
              <w:rPr>
                <w:sz w:val="3"/>
                <w:szCs w:val="3"/>
                <w:color w:val="auto"/>
              </w:rPr>
            </w:pPr>
          </w:p>
        </w:tc>
        <w:tc>
          <w:tcPr>
            <w:tcW w:w="940" w:type="dxa"/>
            <w:vAlign w:val="bottom"/>
            <w:tcBorders>
              <w:bottom w:val="single" w:sz="8" w:color="00539B"/>
            </w:tcBorders>
          </w:tcPr>
          <w:p>
            <w:pPr>
              <w:spacing w:after="0"/>
              <w:rPr>
                <w:sz w:val="3"/>
                <w:szCs w:val="3"/>
                <w:color w:val="auto"/>
              </w:rPr>
            </w:pPr>
          </w:p>
        </w:tc>
        <w:tc>
          <w:tcPr>
            <w:tcW w:w="960" w:type="dxa"/>
            <w:vAlign w:val="bottom"/>
            <w:tcBorders>
              <w:bottom w:val="single" w:sz="8" w:color="00539B"/>
            </w:tcBorders>
          </w:tcPr>
          <w:p>
            <w:pPr>
              <w:spacing w:after="0"/>
              <w:rPr>
                <w:sz w:val="3"/>
                <w:szCs w:val="3"/>
                <w:color w:val="auto"/>
              </w:rPr>
            </w:pPr>
          </w:p>
        </w:tc>
        <w:tc>
          <w:tcPr>
            <w:tcW w:w="160" w:type="dxa"/>
            <w:vAlign w:val="bottom"/>
            <w:tcBorders>
              <w:bottom w:val="single" w:sz="8" w:color="00539B"/>
            </w:tcBorders>
          </w:tcPr>
          <w:p>
            <w:pPr>
              <w:spacing w:after="0"/>
              <w:rPr>
                <w:sz w:val="3"/>
                <w:szCs w:val="3"/>
                <w:color w:val="auto"/>
              </w:rPr>
            </w:pPr>
          </w:p>
        </w:tc>
        <w:tc>
          <w:tcPr>
            <w:tcW w:w="1320" w:type="dxa"/>
            <w:vAlign w:val="bottom"/>
            <w:tcBorders>
              <w:bottom w:val="single" w:sz="8" w:color="00539B"/>
            </w:tcBorders>
          </w:tcPr>
          <w:p>
            <w:pPr>
              <w:spacing w:after="0"/>
              <w:rPr>
                <w:sz w:val="3"/>
                <w:szCs w:val="3"/>
                <w:color w:val="auto"/>
              </w:rPr>
            </w:pPr>
          </w:p>
        </w:tc>
        <w:tc>
          <w:tcPr>
            <w:tcW w:w="940" w:type="dxa"/>
            <w:vAlign w:val="bottom"/>
            <w:tcBorders>
              <w:bottom w:val="single" w:sz="8" w:color="00539B"/>
            </w:tcBorders>
          </w:tcPr>
          <w:p>
            <w:pPr>
              <w:spacing w:after="0"/>
              <w:rPr>
                <w:sz w:val="3"/>
                <w:szCs w:val="3"/>
                <w:color w:val="auto"/>
              </w:rPr>
            </w:pPr>
          </w:p>
        </w:tc>
      </w:tr>
      <w:tr>
        <w:trPr>
          <w:trHeight w:val="233"/>
        </w:trPr>
        <w:tc>
          <w:tcPr>
            <w:tcW w:w="4400" w:type="dxa"/>
            <w:vAlign w:val="bottom"/>
            <w:tcBorders>
              <w:bottom w:val="single" w:sz="8" w:color="00539B"/>
            </w:tcBorders>
          </w:tcPr>
          <w:p>
            <w:pPr>
              <w:spacing w:after="0"/>
              <w:rPr>
                <w:sz w:val="20"/>
                <w:szCs w:val="20"/>
                <w:color w:val="auto"/>
              </w:rPr>
            </w:pPr>
          </w:p>
        </w:tc>
        <w:tc>
          <w:tcPr>
            <w:tcW w:w="74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2025</w:t>
            </w:r>
          </w:p>
        </w:tc>
        <w:tc>
          <w:tcPr>
            <w:tcW w:w="240" w:type="dxa"/>
            <w:vAlign w:val="bottom"/>
            <w:tcBorders>
              <w:bottom w:val="single" w:sz="8" w:color="00539B"/>
            </w:tcBorders>
            <w:shd w:val="clear" w:color="auto" w:fill="E0E3F1"/>
          </w:tcPr>
          <w:p>
            <w:pPr>
              <w:spacing w:after="0"/>
              <w:rPr>
                <w:sz w:val="20"/>
                <w:szCs w:val="20"/>
                <w:color w:val="auto"/>
              </w:rPr>
            </w:pPr>
          </w:p>
        </w:tc>
        <w:tc>
          <w:tcPr>
            <w:tcW w:w="140" w:type="dxa"/>
            <w:vAlign w:val="bottom"/>
            <w:tcBorders>
              <w:bottom w:val="single" w:sz="8" w:color="00539B"/>
            </w:tcBorders>
            <w:shd w:val="clear" w:color="auto" w:fill="E0E3F1"/>
          </w:tcPr>
          <w:p>
            <w:pPr>
              <w:spacing w:after="0"/>
              <w:rPr>
                <w:sz w:val="20"/>
                <w:szCs w:val="20"/>
                <w:color w:val="auto"/>
              </w:rPr>
            </w:pPr>
          </w:p>
        </w:tc>
        <w:tc>
          <w:tcPr>
            <w:tcW w:w="1340" w:type="dxa"/>
            <w:vAlign w:val="bottom"/>
            <w:tcBorders>
              <w:bottom w:val="single" w:sz="8" w:color="00539B"/>
            </w:tcBorders>
          </w:tcPr>
          <w:p>
            <w:pPr>
              <w:jc w:val="right"/>
              <w:ind w:right="528"/>
              <w:spacing w:after="0"/>
              <w:rPr>
                <w:sz w:val="20"/>
                <w:szCs w:val="20"/>
                <w:color w:val="auto"/>
              </w:rPr>
            </w:pPr>
            <w:r>
              <w:rPr>
                <w:rFonts w:ascii="Arial" w:cs="Arial" w:eastAsia="Arial" w:hAnsi="Arial"/>
                <w:sz w:val="14"/>
                <w:szCs w:val="14"/>
                <w:color w:val="auto"/>
              </w:rPr>
              <w:t>2024</w:t>
            </w:r>
          </w:p>
        </w:tc>
        <w:tc>
          <w:tcPr>
            <w:tcW w:w="940" w:type="dxa"/>
            <w:vAlign w:val="bottom"/>
            <w:tcBorders>
              <w:bottom w:val="single" w:sz="8" w:color="00539B"/>
            </w:tcBorders>
          </w:tcPr>
          <w:p>
            <w:pPr>
              <w:jc w:val="right"/>
              <w:ind w:right="328"/>
              <w:spacing w:after="0"/>
              <w:rPr>
                <w:sz w:val="20"/>
                <w:szCs w:val="20"/>
                <w:color w:val="auto"/>
              </w:rPr>
            </w:pPr>
            <w:r>
              <w:rPr>
                <w:rFonts w:ascii="Arial" w:cs="Arial" w:eastAsia="Arial" w:hAnsi="Arial"/>
                <w:sz w:val="14"/>
                <w:szCs w:val="14"/>
                <w:color w:val="auto"/>
              </w:rPr>
              <w:t>2023</w:t>
            </w:r>
          </w:p>
        </w:tc>
        <w:tc>
          <w:tcPr>
            <w:tcW w:w="960" w:type="dxa"/>
            <w:vAlign w:val="bottom"/>
            <w:tcBorders>
              <w:bottom w:val="single" w:sz="8" w:color="00539B"/>
            </w:tcBorders>
            <w:shd w:val="clear" w:color="auto" w:fill="E0E3F1"/>
          </w:tcPr>
          <w:p>
            <w:pPr>
              <w:jc w:val="right"/>
              <w:ind w:right="168"/>
              <w:spacing w:after="0"/>
              <w:rPr>
                <w:sz w:val="20"/>
                <w:szCs w:val="20"/>
                <w:color w:val="auto"/>
              </w:rPr>
            </w:pPr>
            <w:r>
              <w:rPr>
                <w:rFonts w:ascii="Arial" w:cs="Arial" w:eastAsia="Arial" w:hAnsi="Arial"/>
                <w:sz w:val="14"/>
                <w:szCs w:val="14"/>
                <w:color w:val="auto"/>
              </w:rPr>
              <w:t>2025</w:t>
            </w:r>
          </w:p>
        </w:tc>
        <w:tc>
          <w:tcPr>
            <w:tcW w:w="160" w:type="dxa"/>
            <w:vAlign w:val="bottom"/>
            <w:tcBorders>
              <w:bottom w:val="single" w:sz="8" w:color="00539B"/>
            </w:tcBorders>
            <w:shd w:val="clear" w:color="auto" w:fill="E0E3F1"/>
          </w:tcPr>
          <w:p>
            <w:pPr>
              <w:spacing w:after="0"/>
              <w:rPr>
                <w:sz w:val="20"/>
                <w:szCs w:val="20"/>
                <w:color w:val="auto"/>
              </w:rPr>
            </w:pPr>
          </w:p>
        </w:tc>
        <w:tc>
          <w:tcPr>
            <w:tcW w:w="1320" w:type="dxa"/>
            <w:vAlign w:val="bottom"/>
            <w:tcBorders>
              <w:bottom w:val="single" w:sz="8" w:color="00539B"/>
            </w:tcBorders>
          </w:tcPr>
          <w:p>
            <w:pPr>
              <w:jc w:val="right"/>
              <w:ind w:right="528"/>
              <w:spacing w:after="0"/>
              <w:rPr>
                <w:sz w:val="20"/>
                <w:szCs w:val="20"/>
                <w:color w:val="auto"/>
              </w:rPr>
            </w:pPr>
            <w:r>
              <w:rPr>
                <w:rFonts w:ascii="Arial" w:cs="Arial" w:eastAsia="Arial" w:hAnsi="Arial"/>
                <w:sz w:val="14"/>
                <w:szCs w:val="14"/>
                <w:color w:val="auto"/>
              </w:rPr>
              <w:t>2024</w:t>
            </w:r>
          </w:p>
        </w:tc>
        <w:tc>
          <w:tcPr>
            <w:tcW w:w="940" w:type="dxa"/>
            <w:vAlign w:val="bottom"/>
            <w:tcBorders>
              <w:bottom w:val="single" w:sz="8" w:color="00539B"/>
            </w:tcBorders>
          </w:tcPr>
          <w:p>
            <w:pPr>
              <w:jc w:val="right"/>
              <w:ind w:right="328"/>
              <w:spacing w:after="0"/>
              <w:rPr>
                <w:sz w:val="20"/>
                <w:szCs w:val="20"/>
                <w:color w:val="auto"/>
              </w:rPr>
            </w:pPr>
            <w:r>
              <w:rPr>
                <w:rFonts w:ascii="Arial" w:cs="Arial" w:eastAsia="Arial" w:hAnsi="Arial"/>
                <w:sz w:val="14"/>
                <w:szCs w:val="14"/>
                <w:color w:val="auto"/>
              </w:rPr>
              <w:t>2023</w:t>
            </w:r>
          </w:p>
        </w:tc>
      </w:tr>
      <w:tr>
        <w:trPr>
          <w:trHeight w:val="192"/>
        </w:trPr>
        <w:tc>
          <w:tcPr>
            <w:tcW w:w="4400" w:type="dxa"/>
            <w:vAlign w:val="bottom"/>
          </w:tcPr>
          <w:p>
            <w:pPr>
              <w:ind w:left="20"/>
              <w:spacing w:after="0"/>
              <w:rPr>
                <w:sz w:val="20"/>
                <w:szCs w:val="20"/>
                <w:color w:val="auto"/>
              </w:rPr>
            </w:pPr>
            <w:r>
              <w:rPr>
                <w:rFonts w:ascii="Arial" w:cs="Arial" w:eastAsia="Arial" w:hAnsi="Arial"/>
                <w:sz w:val="14"/>
                <w:szCs w:val="14"/>
                <w:color w:val="auto"/>
              </w:rPr>
              <w:t>Discount rate—funded plans</w:t>
            </w:r>
          </w:p>
        </w:tc>
        <w:tc>
          <w:tcPr>
            <w:tcW w:w="740" w:type="dxa"/>
            <w:vAlign w:val="bottom"/>
            <w:shd w:val="clear" w:color="auto" w:fill="E0E3F1"/>
          </w:tcPr>
          <w:p>
            <w:pPr>
              <w:spacing w:after="0"/>
              <w:rPr>
                <w:sz w:val="16"/>
                <w:szCs w:val="16"/>
                <w:color w:val="auto"/>
              </w:rPr>
            </w:pPr>
          </w:p>
        </w:tc>
        <w:tc>
          <w:tcPr>
            <w:tcW w:w="240" w:type="dxa"/>
            <w:vAlign w:val="bottom"/>
            <w:shd w:val="clear" w:color="auto" w:fill="E0E3F1"/>
          </w:tcPr>
          <w:p>
            <w:pPr>
              <w:jc w:val="right"/>
              <w:spacing w:after="0"/>
              <w:rPr>
                <w:sz w:val="20"/>
                <w:szCs w:val="20"/>
                <w:color w:val="auto"/>
              </w:rPr>
            </w:pPr>
            <w:r>
              <w:rPr>
                <w:rFonts w:ascii="Arial" w:cs="Arial" w:eastAsia="Arial" w:hAnsi="Arial"/>
                <w:sz w:val="14"/>
                <w:szCs w:val="14"/>
                <w:color w:val="auto"/>
                <w:w w:val="92"/>
              </w:rPr>
              <w:t>5.3</w:t>
            </w:r>
          </w:p>
        </w:tc>
        <w:tc>
          <w:tcPr>
            <w:tcW w:w="140" w:type="dxa"/>
            <w:vAlign w:val="bottom"/>
            <w:shd w:val="clear" w:color="auto" w:fill="E0E3F1"/>
          </w:tcPr>
          <w:p>
            <w:pPr>
              <w:jc w:val="right"/>
              <w:spacing w:after="0"/>
              <w:rPr>
                <w:sz w:val="20"/>
                <w:szCs w:val="20"/>
                <w:color w:val="auto"/>
              </w:rPr>
            </w:pPr>
            <w:r>
              <w:rPr>
                <w:rFonts w:ascii="Arial" w:cs="Arial" w:eastAsia="Arial" w:hAnsi="Arial"/>
                <w:sz w:val="14"/>
                <w:szCs w:val="14"/>
                <w:color w:val="auto"/>
                <w:w w:val="96"/>
              </w:rPr>
              <w:t>%</w:t>
            </w:r>
          </w:p>
        </w:tc>
        <w:tc>
          <w:tcPr>
            <w:tcW w:w="1340" w:type="dxa"/>
            <w:vAlign w:val="bottom"/>
          </w:tcPr>
          <w:p>
            <w:pPr>
              <w:jc w:val="right"/>
              <w:ind w:right="148"/>
              <w:spacing w:after="0"/>
              <w:rPr>
                <w:sz w:val="20"/>
                <w:szCs w:val="20"/>
                <w:color w:val="auto"/>
              </w:rPr>
            </w:pPr>
            <w:r>
              <w:rPr>
                <w:rFonts w:ascii="Arial" w:cs="Arial" w:eastAsia="Arial" w:hAnsi="Arial"/>
                <w:sz w:val="14"/>
                <w:szCs w:val="14"/>
                <w:color w:val="auto"/>
              </w:rPr>
              <w:t>6.0 %</w:t>
            </w:r>
          </w:p>
        </w:tc>
        <w:tc>
          <w:tcPr>
            <w:tcW w:w="940" w:type="dxa"/>
            <w:vAlign w:val="bottom"/>
          </w:tcPr>
          <w:p>
            <w:pPr>
              <w:jc w:val="right"/>
              <w:spacing w:after="0"/>
              <w:rPr>
                <w:sz w:val="20"/>
                <w:szCs w:val="20"/>
                <w:color w:val="auto"/>
              </w:rPr>
            </w:pPr>
            <w:r>
              <w:rPr>
                <w:rFonts w:ascii="Arial" w:cs="Arial" w:eastAsia="Arial" w:hAnsi="Arial"/>
                <w:sz w:val="14"/>
                <w:szCs w:val="14"/>
                <w:color w:val="auto"/>
              </w:rPr>
              <w:t>5.4 %</w:t>
            </w:r>
          </w:p>
        </w:tc>
        <w:tc>
          <w:tcPr>
            <w:tcW w:w="9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4.7</w:t>
            </w:r>
          </w:p>
        </w:tc>
        <w:tc>
          <w:tcPr>
            <w:tcW w:w="160" w:type="dxa"/>
            <w:vAlign w:val="bottom"/>
            <w:shd w:val="clear" w:color="auto" w:fill="E0E3F1"/>
          </w:tcPr>
          <w:p>
            <w:pPr>
              <w:jc w:val="right"/>
              <w:spacing w:after="0"/>
              <w:rPr>
                <w:sz w:val="20"/>
                <w:szCs w:val="20"/>
                <w:color w:val="auto"/>
              </w:rPr>
            </w:pPr>
            <w:r>
              <w:rPr>
                <w:rFonts w:ascii="Arial" w:cs="Arial" w:eastAsia="Arial" w:hAnsi="Arial"/>
                <w:sz w:val="14"/>
                <w:szCs w:val="14"/>
                <w:color w:val="auto"/>
                <w:w w:val="96"/>
              </w:rPr>
              <w:t>%</w:t>
            </w:r>
          </w:p>
        </w:tc>
        <w:tc>
          <w:tcPr>
            <w:tcW w:w="1320" w:type="dxa"/>
            <w:vAlign w:val="bottom"/>
          </w:tcPr>
          <w:p>
            <w:pPr>
              <w:jc w:val="right"/>
              <w:ind w:right="128"/>
              <w:spacing w:after="0"/>
              <w:rPr>
                <w:sz w:val="20"/>
                <w:szCs w:val="20"/>
                <w:color w:val="auto"/>
              </w:rPr>
            </w:pPr>
            <w:r>
              <w:rPr>
                <w:rFonts w:ascii="Arial" w:cs="Arial" w:eastAsia="Arial" w:hAnsi="Arial"/>
                <w:sz w:val="14"/>
                <w:szCs w:val="14"/>
                <w:color w:val="auto"/>
              </w:rPr>
              <w:t>5.1 %</w:t>
            </w:r>
          </w:p>
        </w:tc>
        <w:tc>
          <w:tcPr>
            <w:tcW w:w="940" w:type="dxa"/>
            <w:vAlign w:val="bottom"/>
          </w:tcPr>
          <w:p>
            <w:pPr>
              <w:jc w:val="right"/>
              <w:spacing w:after="0"/>
              <w:rPr>
                <w:sz w:val="20"/>
                <w:szCs w:val="20"/>
                <w:color w:val="auto"/>
              </w:rPr>
            </w:pPr>
            <w:r>
              <w:rPr>
                <w:rFonts w:ascii="Arial" w:cs="Arial" w:eastAsia="Arial" w:hAnsi="Arial"/>
                <w:sz w:val="14"/>
                <w:szCs w:val="14"/>
                <w:color w:val="auto"/>
              </w:rPr>
              <w:t>4.5 %</w:t>
            </w:r>
          </w:p>
        </w:tc>
      </w:tr>
      <w:tr>
        <w:trPr>
          <w:trHeight w:val="203"/>
        </w:trPr>
        <w:tc>
          <w:tcPr>
            <w:tcW w:w="4400" w:type="dxa"/>
            <w:vAlign w:val="bottom"/>
          </w:tcPr>
          <w:p>
            <w:pPr>
              <w:ind w:left="20"/>
              <w:spacing w:after="0"/>
              <w:rPr>
                <w:sz w:val="20"/>
                <w:szCs w:val="20"/>
                <w:color w:val="auto"/>
              </w:rPr>
            </w:pPr>
            <w:r>
              <w:rPr>
                <w:rFonts w:ascii="Arial" w:cs="Arial" w:eastAsia="Arial" w:hAnsi="Arial"/>
                <w:sz w:val="14"/>
                <w:szCs w:val="14"/>
                <w:color w:val="auto"/>
              </w:rPr>
              <w:t>Discount rate—unfunded plan</w:t>
            </w:r>
          </w:p>
        </w:tc>
        <w:tc>
          <w:tcPr>
            <w:tcW w:w="740" w:type="dxa"/>
            <w:vAlign w:val="bottom"/>
            <w:shd w:val="clear" w:color="auto" w:fill="E0E3F1"/>
          </w:tcPr>
          <w:p>
            <w:pPr>
              <w:spacing w:after="0"/>
              <w:rPr>
                <w:sz w:val="17"/>
                <w:szCs w:val="17"/>
                <w:color w:val="auto"/>
              </w:rPr>
            </w:pPr>
          </w:p>
        </w:tc>
        <w:tc>
          <w:tcPr>
            <w:tcW w:w="240" w:type="dxa"/>
            <w:vAlign w:val="bottom"/>
            <w:shd w:val="clear" w:color="auto" w:fill="E0E3F1"/>
          </w:tcPr>
          <w:p>
            <w:pPr>
              <w:jc w:val="right"/>
              <w:spacing w:after="0"/>
              <w:rPr>
                <w:sz w:val="20"/>
                <w:szCs w:val="20"/>
                <w:color w:val="auto"/>
              </w:rPr>
            </w:pPr>
            <w:r>
              <w:rPr>
                <w:rFonts w:ascii="Arial" w:cs="Arial" w:eastAsia="Arial" w:hAnsi="Arial"/>
                <w:sz w:val="14"/>
                <w:szCs w:val="14"/>
                <w:color w:val="auto"/>
                <w:w w:val="92"/>
              </w:rPr>
              <w:t>5.3</w:t>
            </w:r>
          </w:p>
        </w:tc>
        <w:tc>
          <w:tcPr>
            <w:tcW w:w="140" w:type="dxa"/>
            <w:vAlign w:val="bottom"/>
            <w:shd w:val="clear" w:color="auto" w:fill="E0E3F1"/>
          </w:tcPr>
          <w:p>
            <w:pPr>
              <w:jc w:val="right"/>
              <w:spacing w:after="0"/>
              <w:rPr>
                <w:sz w:val="20"/>
                <w:szCs w:val="20"/>
                <w:color w:val="auto"/>
              </w:rPr>
            </w:pPr>
            <w:r>
              <w:rPr>
                <w:rFonts w:ascii="Arial" w:cs="Arial" w:eastAsia="Arial" w:hAnsi="Arial"/>
                <w:sz w:val="14"/>
                <w:szCs w:val="14"/>
                <w:color w:val="auto"/>
                <w:w w:val="96"/>
              </w:rPr>
              <w:t>%</w:t>
            </w:r>
          </w:p>
        </w:tc>
        <w:tc>
          <w:tcPr>
            <w:tcW w:w="1340" w:type="dxa"/>
            <w:vAlign w:val="bottom"/>
          </w:tcPr>
          <w:p>
            <w:pPr>
              <w:jc w:val="right"/>
              <w:ind w:right="148"/>
              <w:spacing w:after="0"/>
              <w:rPr>
                <w:sz w:val="20"/>
                <w:szCs w:val="20"/>
                <w:color w:val="auto"/>
              </w:rPr>
            </w:pPr>
            <w:r>
              <w:rPr>
                <w:rFonts w:ascii="Arial" w:cs="Arial" w:eastAsia="Arial" w:hAnsi="Arial"/>
                <w:sz w:val="14"/>
                <w:szCs w:val="14"/>
                <w:color w:val="auto"/>
              </w:rPr>
              <w:t>6.0 %</w:t>
            </w:r>
          </w:p>
        </w:tc>
        <w:tc>
          <w:tcPr>
            <w:tcW w:w="940" w:type="dxa"/>
            <w:vAlign w:val="bottom"/>
          </w:tcPr>
          <w:p>
            <w:pPr>
              <w:jc w:val="right"/>
              <w:spacing w:after="0"/>
              <w:rPr>
                <w:sz w:val="20"/>
                <w:szCs w:val="20"/>
                <w:color w:val="auto"/>
              </w:rPr>
            </w:pPr>
            <w:r>
              <w:rPr>
                <w:rFonts w:ascii="Arial" w:cs="Arial" w:eastAsia="Arial" w:hAnsi="Arial"/>
                <w:sz w:val="14"/>
                <w:szCs w:val="14"/>
                <w:color w:val="auto"/>
              </w:rPr>
              <w:t>5.4 %</w:t>
            </w:r>
          </w:p>
        </w:tc>
        <w:tc>
          <w:tcPr>
            <w:tcW w:w="9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E0E3F1"/>
          </w:tcPr>
          <w:p>
            <w:pPr>
              <w:jc w:val="right"/>
              <w:spacing w:after="0"/>
              <w:rPr>
                <w:sz w:val="20"/>
                <w:szCs w:val="20"/>
                <w:color w:val="auto"/>
              </w:rPr>
            </w:pPr>
            <w:r>
              <w:rPr>
                <w:rFonts w:ascii="Arial" w:cs="Arial" w:eastAsia="Arial" w:hAnsi="Arial"/>
                <w:sz w:val="14"/>
                <w:szCs w:val="14"/>
                <w:color w:val="auto"/>
                <w:w w:val="96"/>
              </w:rPr>
              <w:t>%</w:t>
            </w:r>
          </w:p>
        </w:tc>
        <w:tc>
          <w:tcPr>
            <w:tcW w:w="1320" w:type="dxa"/>
            <w:vAlign w:val="bottom"/>
          </w:tcPr>
          <w:p>
            <w:pPr>
              <w:jc w:val="right"/>
              <w:ind w:right="128"/>
              <w:spacing w:after="0"/>
              <w:rPr>
                <w:sz w:val="20"/>
                <w:szCs w:val="20"/>
                <w:color w:val="auto"/>
              </w:rPr>
            </w:pPr>
            <w:r>
              <w:rPr>
                <w:rFonts w:ascii="Arial" w:cs="Arial" w:eastAsia="Arial" w:hAnsi="Arial"/>
                <w:sz w:val="14"/>
                <w:szCs w:val="14"/>
                <w:color w:val="auto"/>
              </w:rPr>
              <w:t>— %</w:t>
            </w:r>
          </w:p>
        </w:tc>
        <w:tc>
          <w:tcPr>
            <w:tcW w:w="94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203"/>
        </w:trPr>
        <w:tc>
          <w:tcPr>
            <w:tcW w:w="4400" w:type="dxa"/>
            <w:vAlign w:val="bottom"/>
          </w:tcPr>
          <w:p>
            <w:pPr>
              <w:ind w:left="20"/>
              <w:spacing w:after="0"/>
              <w:rPr>
                <w:sz w:val="20"/>
                <w:szCs w:val="20"/>
                <w:color w:val="auto"/>
              </w:rPr>
            </w:pPr>
            <w:r>
              <w:rPr>
                <w:rFonts w:ascii="Arial" w:cs="Arial" w:eastAsia="Arial" w:hAnsi="Arial"/>
                <w:sz w:val="14"/>
                <w:szCs w:val="14"/>
                <w:color w:val="auto"/>
              </w:rPr>
              <w:t>Salary scale</w:t>
            </w:r>
          </w:p>
        </w:tc>
        <w:tc>
          <w:tcPr>
            <w:tcW w:w="740" w:type="dxa"/>
            <w:vAlign w:val="bottom"/>
            <w:shd w:val="clear" w:color="auto" w:fill="E0E3F1"/>
          </w:tcPr>
          <w:p>
            <w:pPr>
              <w:spacing w:after="0"/>
              <w:rPr>
                <w:sz w:val="17"/>
                <w:szCs w:val="17"/>
                <w:color w:val="auto"/>
              </w:rPr>
            </w:pPr>
          </w:p>
        </w:tc>
        <w:tc>
          <w:tcPr>
            <w:tcW w:w="240" w:type="dxa"/>
            <w:vAlign w:val="bottom"/>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E0E3F1"/>
          </w:tcPr>
          <w:p>
            <w:pPr>
              <w:jc w:val="right"/>
              <w:spacing w:after="0"/>
              <w:rPr>
                <w:sz w:val="20"/>
                <w:szCs w:val="20"/>
                <w:color w:val="auto"/>
              </w:rPr>
            </w:pPr>
            <w:r>
              <w:rPr>
                <w:rFonts w:ascii="Arial" w:cs="Arial" w:eastAsia="Arial" w:hAnsi="Arial"/>
                <w:sz w:val="14"/>
                <w:szCs w:val="14"/>
                <w:color w:val="auto"/>
                <w:w w:val="96"/>
              </w:rPr>
              <w:t>%</w:t>
            </w:r>
          </w:p>
        </w:tc>
        <w:tc>
          <w:tcPr>
            <w:tcW w:w="1340" w:type="dxa"/>
            <w:vAlign w:val="bottom"/>
          </w:tcPr>
          <w:p>
            <w:pPr>
              <w:jc w:val="right"/>
              <w:ind w:right="148"/>
              <w:spacing w:after="0"/>
              <w:rPr>
                <w:sz w:val="20"/>
                <w:szCs w:val="20"/>
                <w:color w:val="auto"/>
              </w:rPr>
            </w:pPr>
            <w:r>
              <w:rPr>
                <w:rFonts w:ascii="Arial" w:cs="Arial" w:eastAsia="Arial" w:hAnsi="Arial"/>
                <w:sz w:val="14"/>
                <w:szCs w:val="14"/>
                <w:color w:val="auto"/>
              </w:rPr>
              <w:t>— %</w:t>
            </w:r>
          </w:p>
        </w:tc>
        <w:tc>
          <w:tcPr>
            <w:tcW w:w="940" w:type="dxa"/>
            <w:vAlign w:val="bottom"/>
          </w:tcPr>
          <w:p>
            <w:pPr>
              <w:jc w:val="right"/>
              <w:spacing w:after="0"/>
              <w:rPr>
                <w:sz w:val="20"/>
                <w:szCs w:val="20"/>
                <w:color w:val="auto"/>
              </w:rPr>
            </w:pPr>
            <w:r>
              <w:rPr>
                <w:rFonts w:ascii="Arial" w:cs="Arial" w:eastAsia="Arial" w:hAnsi="Arial"/>
                <w:sz w:val="14"/>
                <w:szCs w:val="14"/>
                <w:color w:val="auto"/>
              </w:rPr>
              <w:t>— %</w:t>
            </w:r>
          </w:p>
        </w:tc>
        <w:tc>
          <w:tcPr>
            <w:tcW w:w="9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2.9</w:t>
            </w:r>
          </w:p>
        </w:tc>
        <w:tc>
          <w:tcPr>
            <w:tcW w:w="160" w:type="dxa"/>
            <w:vAlign w:val="bottom"/>
            <w:shd w:val="clear" w:color="auto" w:fill="E0E3F1"/>
          </w:tcPr>
          <w:p>
            <w:pPr>
              <w:jc w:val="right"/>
              <w:spacing w:after="0"/>
              <w:rPr>
                <w:sz w:val="20"/>
                <w:szCs w:val="20"/>
                <w:color w:val="auto"/>
              </w:rPr>
            </w:pPr>
            <w:r>
              <w:rPr>
                <w:rFonts w:ascii="Arial" w:cs="Arial" w:eastAsia="Arial" w:hAnsi="Arial"/>
                <w:sz w:val="14"/>
                <w:szCs w:val="14"/>
                <w:color w:val="auto"/>
                <w:w w:val="96"/>
              </w:rPr>
              <w:t>%</w:t>
            </w:r>
          </w:p>
        </w:tc>
        <w:tc>
          <w:tcPr>
            <w:tcW w:w="1320" w:type="dxa"/>
            <w:vAlign w:val="bottom"/>
          </w:tcPr>
          <w:p>
            <w:pPr>
              <w:jc w:val="right"/>
              <w:ind w:right="128"/>
              <w:spacing w:after="0"/>
              <w:rPr>
                <w:sz w:val="20"/>
                <w:szCs w:val="20"/>
                <w:color w:val="auto"/>
              </w:rPr>
            </w:pPr>
            <w:r>
              <w:rPr>
                <w:rFonts w:ascii="Arial" w:cs="Arial" w:eastAsia="Arial" w:hAnsi="Arial"/>
                <w:sz w:val="14"/>
                <w:szCs w:val="14"/>
                <w:color w:val="auto"/>
              </w:rPr>
              <w:t>2.9 %</w:t>
            </w:r>
          </w:p>
        </w:tc>
        <w:tc>
          <w:tcPr>
            <w:tcW w:w="940" w:type="dxa"/>
            <w:vAlign w:val="bottom"/>
          </w:tcPr>
          <w:p>
            <w:pPr>
              <w:jc w:val="right"/>
              <w:spacing w:after="0"/>
              <w:rPr>
                <w:sz w:val="20"/>
                <w:szCs w:val="20"/>
                <w:color w:val="auto"/>
              </w:rPr>
            </w:pPr>
            <w:r>
              <w:rPr>
                <w:rFonts w:ascii="Arial" w:cs="Arial" w:eastAsia="Arial" w:hAnsi="Arial"/>
                <w:sz w:val="14"/>
                <w:szCs w:val="14"/>
                <w:color w:val="auto"/>
              </w:rPr>
              <w:t>2.9 %</w:t>
            </w:r>
          </w:p>
        </w:tc>
      </w:tr>
      <w:tr>
        <w:trPr>
          <w:trHeight w:val="218"/>
        </w:trPr>
        <w:tc>
          <w:tcPr>
            <w:tcW w:w="440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Expected return on plan assets</w:t>
            </w:r>
          </w:p>
        </w:tc>
        <w:tc>
          <w:tcPr>
            <w:tcW w:w="740" w:type="dxa"/>
            <w:vAlign w:val="bottom"/>
            <w:tcBorders>
              <w:bottom w:val="single" w:sz="8" w:color="00539B"/>
            </w:tcBorders>
            <w:shd w:val="clear" w:color="auto" w:fill="E0E3F1"/>
          </w:tcPr>
          <w:p>
            <w:pPr>
              <w:spacing w:after="0"/>
              <w:rPr>
                <w:sz w:val="18"/>
                <w:szCs w:val="18"/>
                <w:color w:val="auto"/>
              </w:rPr>
            </w:pPr>
          </w:p>
        </w:tc>
        <w:tc>
          <w:tcPr>
            <w:tcW w:w="24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w w:val="92"/>
              </w:rPr>
              <w:t>5.8</w:t>
            </w:r>
          </w:p>
        </w:tc>
        <w:tc>
          <w:tcPr>
            <w:tcW w:w="14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w w:val="96"/>
              </w:rPr>
              <w:t>%</w:t>
            </w:r>
          </w:p>
        </w:tc>
        <w:tc>
          <w:tcPr>
            <w:tcW w:w="1340" w:type="dxa"/>
            <w:vAlign w:val="bottom"/>
            <w:tcBorders>
              <w:bottom w:val="single" w:sz="8" w:color="00539B"/>
            </w:tcBorders>
          </w:tcPr>
          <w:p>
            <w:pPr>
              <w:jc w:val="right"/>
              <w:ind w:right="148"/>
              <w:spacing w:after="0"/>
              <w:rPr>
                <w:sz w:val="20"/>
                <w:szCs w:val="20"/>
                <w:color w:val="auto"/>
              </w:rPr>
            </w:pPr>
            <w:r>
              <w:rPr>
                <w:rFonts w:ascii="Arial" w:cs="Arial" w:eastAsia="Arial" w:hAnsi="Arial"/>
                <w:sz w:val="14"/>
                <w:szCs w:val="14"/>
                <w:color w:val="auto"/>
              </w:rPr>
              <w:t>6.3 %</w:t>
            </w:r>
          </w:p>
        </w:tc>
        <w:tc>
          <w:tcPr>
            <w:tcW w:w="94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6.8 %</w:t>
            </w:r>
          </w:p>
        </w:tc>
        <w:tc>
          <w:tcPr>
            <w:tcW w:w="96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4.7</w:t>
            </w:r>
          </w:p>
        </w:tc>
        <w:tc>
          <w:tcPr>
            <w:tcW w:w="16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w w:val="96"/>
              </w:rPr>
              <w:t>%</w:t>
            </w:r>
          </w:p>
        </w:tc>
        <w:tc>
          <w:tcPr>
            <w:tcW w:w="1320" w:type="dxa"/>
            <w:vAlign w:val="bottom"/>
            <w:tcBorders>
              <w:bottom w:val="single" w:sz="8" w:color="00539B"/>
            </w:tcBorders>
          </w:tcPr>
          <w:p>
            <w:pPr>
              <w:jc w:val="right"/>
              <w:ind w:right="128"/>
              <w:spacing w:after="0"/>
              <w:rPr>
                <w:sz w:val="20"/>
                <w:szCs w:val="20"/>
                <w:color w:val="auto"/>
              </w:rPr>
            </w:pPr>
            <w:r>
              <w:rPr>
                <w:rFonts w:ascii="Arial" w:cs="Arial" w:eastAsia="Arial" w:hAnsi="Arial"/>
                <w:sz w:val="14"/>
                <w:szCs w:val="14"/>
                <w:color w:val="auto"/>
              </w:rPr>
              <w:t>5.2 %</w:t>
            </w:r>
          </w:p>
        </w:tc>
        <w:tc>
          <w:tcPr>
            <w:tcW w:w="94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4.9 %</w:t>
            </w:r>
          </w:p>
        </w:tc>
      </w:tr>
    </w:tbl>
    <w:p>
      <w:pPr>
        <w:spacing w:after="0" w:line="22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Annually, we undertake a process, with the assistance of our external investment consultants, to evaluate the appropriate projected rates of return to use for our pension plans’ assumptions. We engage our investment consultants' research teams to develop capital market assumptions for each asset category in our plans to project investment returns into the future. The specific methods used to develop expected return assumptions vary by asset category. We adjust the outcomes for the fact that plan assets are invested with actively managed funds and subject to tactical asset reallocation.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Our pension expense (income) for the years ended November 30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0628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United States</w:t>
            </w: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International</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35"/>
        </w:trPr>
        <w:tc>
          <w:tcPr>
            <w:tcW w:w="3660" w:type="dxa"/>
            <w:vAlign w:val="bottom"/>
            <w:tcBorders>
              <w:bottom w:val="single" w:sz="8" w:color="00539B"/>
            </w:tcBorders>
          </w:tcPr>
          <w:p>
            <w:pPr>
              <w:spacing w:after="0"/>
              <w:rPr>
                <w:sz w:val="3"/>
                <w:szCs w:val="3"/>
                <w:color w:val="auto"/>
              </w:rPr>
            </w:pPr>
          </w:p>
        </w:tc>
        <w:tc>
          <w:tcPr>
            <w:tcW w:w="280" w:type="dxa"/>
            <w:vAlign w:val="bottom"/>
            <w:tcBorders>
              <w:bottom w:val="single" w:sz="8" w:color="00539B"/>
            </w:tcBorders>
          </w:tcPr>
          <w:p>
            <w:pPr>
              <w:spacing w:after="0"/>
              <w:rPr>
                <w:sz w:val="3"/>
                <w:szCs w:val="3"/>
                <w:color w:val="auto"/>
              </w:rPr>
            </w:pPr>
          </w:p>
        </w:tc>
        <w:tc>
          <w:tcPr>
            <w:tcW w:w="960" w:type="dxa"/>
            <w:vAlign w:val="bottom"/>
            <w:tcBorders>
              <w:bottom w:val="single" w:sz="8" w:color="00539B"/>
            </w:tcBorders>
          </w:tcPr>
          <w:p>
            <w:pPr>
              <w:spacing w:after="0"/>
              <w:rPr>
                <w:sz w:val="3"/>
                <w:szCs w:val="3"/>
                <w:color w:val="auto"/>
              </w:rPr>
            </w:pPr>
          </w:p>
        </w:tc>
        <w:tc>
          <w:tcPr>
            <w:tcW w:w="160" w:type="dxa"/>
            <w:vAlign w:val="bottom"/>
            <w:tcBorders>
              <w:bottom w:val="single" w:sz="8" w:color="00539B"/>
            </w:tcBorders>
          </w:tcPr>
          <w:p>
            <w:pPr>
              <w:spacing w:after="0"/>
              <w:rPr>
                <w:sz w:val="3"/>
                <w:szCs w:val="3"/>
                <w:color w:val="auto"/>
              </w:rPr>
            </w:pPr>
          </w:p>
        </w:tc>
        <w:tc>
          <w:tcPr>
            <w:tcW w:w="1100" w:type="dxa"/>
            <w:vAlign w:val="bottom"/>
            <w:tcBorders>
              <w:bottom w:val="single" w:sz="8" w:color="00539B"/>
            </w:tcBorders>
          </w:tcPr>
          <w:p>
            <w:pPr>
              <w:spacing w:after="0"/>
              <w:rPr>
                <w:sz w:val="3"/>
                <w:szCs w:val="3"/>
                <w:color w:val="auto"/>
              </w:rPr>
            </w:pPr>
          </w:p>
        </w:tc>
        <w:tc>
          <w:tcPr>
            <w:tcW w:w="820" w:type="dxa"/>
            <w:vAlign w:val="bottom"/>
            <w:tcBorders>
              <w:bottom w:val="single" w:sz="8" w:color="00539B"/>
            </w:tcBorders>
          </w:tcPr>
          <w:p>
            <w:pPr>
              <w:spacing w:after="0"/>
              <w:rPr>
                <w:sz w:val="3"/>
                <w:szCs w:val="3"/>
                <w:color w:val="auto"/>
              </w:rPr>
            </w:pPr>
          </w:p>
        </w:tc>
        <w:tc>
          <w:tcPr>
            <w:tcW w:w="440" w:type="dxa"/>
            <w:vAlign w:val="bottom"/>
            <w:tcBorders>
              <w:bottom w:val="single" w:sz="8" w:color="00539B"/>
            </w:tcBorders>
          </w:tcPr>
          <w:p>
            <w:pPr>
              <w:spacing w:after="0"/>
              <w:rPr>
                <w:sz w:val="3"/>
                <w:szCs w:val="3"/>
                <w:color w:val="auto"/>
              </w:rPr>
            </w:pPr>
          </w:p>
        </w:tc>
        <w:tc>
          <w:tcPr>
            <w:tcW w:w="280" w:type="dxa"/>
            <w:vAlign w:val="bottom"/>
            <w:tcBorders>
              <w:bottom w:val="single" w:sz="8" w:color="00539B"/>
            </w:tcBorders>
          </w:tcPr>
          <w:p>
            <w:pPr>
              <w:spacing w:after="0"/>
              <w:rPr>
                <w:sz w:val="3"/>
                <w:szCs w:val="3"/>
                <w:color w:val="auto"/>
              </w:rPr>
            </w:pPr>
          </w:p>
        </w:tc>
        <w:tc>
          <w:tcPr>
            <w:tcW w:w="980" w:type="dxa"/>
            <w:vAlign w:val="bottom"/>
            <w:tcBorders>
              <w:bottom w:val="single" w:sz="8" w:color="00539B"/>
            </w:tcBorders>
          </w:tcPr>
          <w:p>
            <w:pPr>
              <w:spacing w:after="0"/>
              <w:rPr>
                <w:sz w:val="3"/>
                <w:szCs w:val="3"/>
                <w:color w:val="auto"/>
              </w:rPr>
            </w:pPr>
          </w:p>
        </w:tc>
        <w:tc>
          <w:tcPr>
            <w:tcW w:w="160" w:type="dxa"/>
            <w:vAlign w:val="bottom"/>
            <w:tcBorders>
              <w:bottom w:val="single" w:sz="8" w:color="00539B"/>
            </w:tcBorders>
          </w:tcPr>
          <w:p>
            <w:pPr>
              <w:spacing w:after="0"/>
              <w:rPr>
                <w:sz w:val="3"/>
                <w:szCs w:val="3"/>
                <w:color w:val="auto"/>
              </w:rPr>
            </w:pPr>
          </w:p>
        </w:tc>
        <w:tc>
          <w:tcPr>
            <w:tcW w:w="1080" w:type="dxa"/>
            <w:vAlign w:val="bottom"/>
            <w:tcBorders>
              <w:bottom w:val="single" w:sz="8" w:color="00539B"/>
            </w:tcBorders>
          </w:tcPr>
          <w:p>
            <w:pPr>
              <w:spacing w:after="0"/>
              <w:rPr>
                <w:sz w:val="3"/>
                <w:szCs w:val="3"/>
                <w:color w:val="auto"/>
              </w:rPr>
            </w:pPr>
          </w:p>
        </w:tc>
        <w:tc>
          <w:tcPr>
            <w:tcW w:w="300" w:type="dxa"/>
            <w:vAlign w:val="bottom"/>
            <w:tcBorders>
              <w:bottom w:val="single" w:sz="8" w:color="00539B"/>
            </w:tcBorders>
          </w:tcPr>
          <w:p>
            <w:pPr>
              <w:spacing w:after="0"/>
              <w:rPr>
                <w:sz w:val="3"/>
                <w:szCs w:val="3"/>
                <w:color w:val="auto"/>
              </w:rPr>
            </w:pPr>
          </w:p>
        </w:tc>
        <w:tc>
          <w:tcPr>
            <w:tcW w:w="980" w:type="dxa"/>
            <w:vAlign w:val="bottom"/>
            <w:tcBorders>
              <w:bottom w:val="single" w:sz="8" w:color="00539B"/>
            </w:tcBorders>
          </w:tcPr>
          <w:p>
            <w:pPr>
              <w:spacing w:after="0"/>
              <w:rPr>
                <w:sz w:val="3"/>
                <w:szCs w:val="3"/>
                <w:color w:val="auto"/>
              </w:rPr>
            </w:pPr>
          </w:p>
        </w:tc>
      </w:tr>
      <w:tr>
        <w:trPr>
          <w:trHeight w:val="192"/>
        </w:trPr>
        <w:tc>
          <w:tcPr>
            <w:tcW w:w="366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(millions)</w:t>
            </w:r>
          </w:p>
        </w:tc>
        <w:tc>
          <w:tcPr>
            <w:tcW w:w="280" w:type="dxa"/>
            <w:vAlign w:val="bottom"/>
            <w:tcBorders>
              <w:bottom w:val="single" w:sz="8" w:color="00539B"/>
            </w:tcBorders>
            <w:shd w:val="clear" w:color="auto" w:fill="E0E3F1"/>
          </w:tcPr>
          <w:p>
            <w:pPr>
              <w:spacing w:after="0"/>
              <w:rPr>
                <w:sz w:val="16"/>
                <w:szCs w:val="16"/>
                <w:color w:val="auto"/>
              </w:rPr>
            </w:pPr>
          </w:p>
        </w:tc>
        <w:tc>
          <w:tcPr>
            <w:tcW w:w="960" w:type="dxa"/>
            <w:vAlign w:val="bottom"/>
            <w:tcBorders>
              <w:bottom w:val="single" w:sz="8" w:color="00539B"/>
            </w:tcBorders>
            <w:shd w:val="clear" w:color="auto" w:fill="E0E3F1"/>
          </w:tcPr>
          <w:p>
            <w:pPr>
              <w:jc w:val="right"/>
              <w:ind w:right="388"/>
              <w:spacing w:after="0"/>
              <w:rPr>
                <w:sz w:val="20"/>
                <w:szCs w:val="20"/>
                <w:color w:val="auto"/>
              </w:rPr>
            </w:pPr>
            <w:r>
              <w:rPr>
                <w:rFonts w:ascii="Arial" w:cs="Arial" w:eastAsia="Arial" w:hAnsi="Arial"/>
                <w:sz w:val="14"/>
                <w:szCs w:val="14"/>
                <w:color w:val="auto"/>
              </w:rPr>
              <w:t>2025</w:t>
            </w:r>
          </w:p>
        </w:tc>
        <w:tc>
          <w:tcPr>
            <w:tcW w:w="160" w:type="dxa"/>
            <w:vAlign w:val="bottom"/>
            <w:tcBorders>
              <w:bottom w:val="single" w:sz="8" w:color="00539B"/>
            </w:tcBorders>
          </w:tcPr>
          <w:p>
            <w:pPr>
              <w:spacing w:after="0"/>
              <w:rPr>
                <w:sz w:val="16"/>
                <w:szCs w:val="16"/>
                <w:color w:val="auto"/>
              </w:rPr>
            </w:pPr>
          </w:p>
        </w:tc>
        <w:tc>
          <w:tcPr>
            <w:tcW w:w="1100" w:type="dxa"/>
            <w:vAlign w:val="bottom"/>
            <w:tcBorders>
              <w:bottom w:val="single" w:sz="8" w:color="00539B"/>
            </w:tcBorders>
          </w:tcPr>
          <w:p>
            <w:pPr>
              <w:jc w:val="right"/>
              <w:ind w:right="388"/>
              <w:spacing w:after="0"/>
              <w:rPr>
                <w:sz w:val="20"/>
                <w:szCs w:val="20"/>
                <w:color w:val="auto"/>
              </w:rPr>
            </w:pPr>
            <w:r>
              <w:rPr>
                <w:rFonts w:ascii="Arial" w:cs="Arial" w:eastAsia="Arial" w:hAnsi="Arial"/>
                <w:sz w:val="14"/>
                <w:szCs w:val="14"/>
                <w:color w:val="auto"/>
              </w:rPr>
              <w:t>2024</w:t>
            </w:r>
          </w:p>
        </w:tc>
        <w:tc>
          <w:tcPr>
            <w:tcW w:w="82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2023</w:t>
            </w:r>
          </w:p>
        </w:tc>
        <w:tc>
          <w:tcPr>
            <w:tcW w:w="440" w:type="dxa"/>
            <w:vAlign w:val="bottom"/>
            <w:tcBorders>
              <w:bottom w:val="single" w:sz="8" w:color="00539B"/>
            </w:tcBorders>
          </w:tcPr>
          <w:p>
            <w:pPr>
              <w:spacing w:after="0"/>
              <w:rPr>
                <w:sz w:val="16"/>
                <w:szCs w:val="16"/>
                <w:color w:val="auto"/>
              </w:rPr>
            </w:pPr>
          </w:p>
        </w:tc>
        <w:tc>
          <w:tcPr>
            <w:tcW w:w="280" w:type="dxa"/>
            <w:vAlign w:val="bottom"/>
            <w:tcBorders>
              <w:bottom w:val="single" w:sz="8" w:color="00539B"/>
            </w:tcBorders>
            <w:shd w:val="clear" w:color="auto" w:fill="E0E3F1"/>
          </w:tcPr>
          <w:p>
            <w:pPr>
              <w:spacing w:after="0"/>
              <w:rPr>
                <w:sz w:val="16"/>
                <w:szCs w:val="16"/>
                <w:color w:val="auto"/>
              </w:rPr>
            </w:pPr>
          </w:p>
        </w:tc>
        <w:tc>
          <w:tcPr>
            <w:tcW w:w="980" w:type="dxa"/>
            <w:vAlign w:val="bottom"/>
            <w:tcBorders>
              <w:bottom w:val="single" w:sz="8" w:color="00539B"/>
            </w:tcBorders>
            <w:shd w:val="clear" w:color="auto" w:fill="E0E3F1"/>
          </w:tcPr>
          <w:p>
            <w:pPr>
              <w:jc w:val="right"/>
              <w:ind w:right="408"/>
              <w:spacing w:after="0"/>
              <w:rPr>
                <w:sz w:val="20"/>
                <w:szCs w:val="20"/>
                <w:color w:val="auto"/>
              </w:rPr>
            </w:pPr>
            <w:r>
              <w:rPr>
                <w:rFonts w:ascii="Arial" w:cs="Arial" w:eastAsia="Arial" w:hAnsi="Arial"/>
                <w:sz w:val="14"/>
                <w:szCs w:val="14"/>
                <w:color w:val="auto"/>
              </w:rPr>
              <w:t>2025</w:t>
            </w:r>
          </w:p>
        </w:tc>
        <w:tc>
          <w:tcPr>
            <w:tcW w:w="160" w:type="dxa"/>
            <w:vAlign w:val="bottom"/>
            <w:tcBorders>
              <w:bottom w:val="single" w:sz="8" w:color="00539B"/>
            </w:tcBorders>
          </w:tcPr>
          <w:p>
            <w:pPr>
              <w:spacing w:after="0"/>
              <w:rPr>
                <w:sz w:val="16"/>
                <w:szCs w:val="16"/>
                <w:color w:val="auto"/>
              </w:rPr>
            </w:pPr>
          </w:p>
        </w:tc>
        <w:tc>
          <w:tcPr>
            <w:tcW w:w="1080" w:type="dxa"/>
            <w:vAlign w:val="bottom"/>
            <w:tcBorders>
              <w:bottom w:val="single" w:sz="8" w:color="00539B"/>
            </w:tcBorders>
          </w:tcPr>
          <w:p>
            <w:pPr>
              <w:jc w:val="right"/>
              <w:ind w:right="388"/>
              <w:spacing w:after="0"/>
              <w:rPr>
                <w:sz w:val="20"/>
                <w:szCs w:val="20"/>
                <w:color w:val="auto"/>
              </w:rPr>
            </w:pPr>
            <w:r>
              <w:rPr>
                <w:rFonts w:ascii="Arial" w:cs="Arial" w:eastAsia="Arial" w:hAnsi="Arial"/>
                <w:sz w:val="14"/>
                <w:szCs w:val="14"/>
                <w:color w:val="auto"/>
              </w:rPr>
              <w:t>2024</w:t>
            </w:r>
          </w:p>
        </w:tc>
        <w:tc>
          <w:tcPr>
            <w:tcW w:w="300" w:type="dxa"/>
            <w:vAlign w:val="bottom"/>
            <w:tcBorders>
              <w:bottom w:val="single" w:sz="8" w:color="00539B"/>
            </w:tcBorders>
          </w:tcPr>
          <w:p>
            <w:pPr>
              <w:spacing w:after="0"/>
              <w:rPr>
                <w:sz w:val="16"/>
                <w:szCs w:val="16"/>
                <w:color w:val="auto"/>
              </w:rPr>
            </w:pPr>
          </w:p>
        </w:tc>
        <w:tc>
          <w:tcPr>
            <w:tcW w:w="980" w:type="dxa"/>
            <w:vAlign w:val="bottom"/>
            <w:tcBorders>
              <w:bottom w:val="single" w:sz="8" w:color="00539B"/>
            </w:tcBorders>
          </w:tcPr>
          <w:p>
            <w:pPr>
              <w:jc w:val="right"/>
              <w:ind w:right="408"/>
              <w:spacing w:after="0"/>
              <w:rPr>
                <w:sz w:val="20"/>
                <w:szCs w:val="20"/>
                <w:color w:val="auto"/>
              </w:rPr>
            </w:pPr>
            <w:r>
              <w:rPr>
                <w:rFonts w:ascii="Arial" w:cs="Arial" w:eastAsia="Arial" w:hAnsi="Arial"/>
                <w:sz w:val="14"/>
                <w:szCs w:val="14"/>
                <w:color w:val="auto"/>
              </w:rPr>
              <w:t>2023</w:t>
            </w:r>
          </w:p>
        </w:tc>
      </w:tr>
      <w:tr>
        <w:trPr>
          <w:trHeight w:val="192"/>
        </w:trPr>
        <w:tc>
          <w:tcPr>
            <w:tcW w:w="3660" w:type="dxa"/>
            <w:vAlign w:val="bottom"/>
          </w:tcPr>
          <w:p>
            <w:pPr>
              <w:ind w:left="20"/>
              <w:spacing w:after="0"/>
              <w:rPr>
                <w:sz w:val="20"/>
                <w:szCs w:val="20"/>
                <w:color w:val="auto"/>
              </w:rPr>
            </w:pPr>
            <w:r>
              <w:rPr>
                <w:rFonts w:ascii="Arial" w:cs="Arial" w:eastAsia="Arial" w:hAnsi="Arial"/>
                <w:sz w:val="14"/>
                <w:szCs w:val="14"/>
                <w:color w:val="auto"/>
              </w:rPr>
              <w:t>Service cost</w:t>
            </w:r>
          </w:p>
        </w:tc>
        <w:tc>
          <w:tcPr>
            <w:tcW w:w="280" w:type="dxa"/>
            <w:vAlign w:val="bottom"/>
            <w:shd w:val="clear" w:color="auto" w:fill="E0E3F1"/>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1.6</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1.5</w:t>
            </w:r>
          </w:p>
        </w:tc>
        <w:tc>
          <w:tcPr>
            <w:tcW w:w="82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2.0</w:t>
            </w:r>
          </w:p>
        </w:tc>
        <w:tc>
          <w:tcPr>
            <w:tcW w:w="280" w:type="dxa"/>
            <w:vAlign w:val="bottom"/>
            <w:shd w:val="clear" w:color="auto" w:fill="E0E3F1"/>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E0E3F1"/>
          </w:tcPr>
          <w:p>
            <w:pPr>
              <w:jc w:val="right"/>
              <w:ind w:right="8"/>
              <w:spacing w:after="0"/>
              <w:rPr>
                <w:sz w:val="20"/>
                <w:szCs w:val="20"/>
                <w:color w:val="auto"/>
              </w:rPr>
            </w:pPr>
            <w:r>
              <w:rPr>
                <w:rFonts w:ascii="Arial" w:cs="Arial" w:eastAsia="Arial" w:hAnsi="Arial"/>
                <w:sz w:val="14"/>
                <w:szCs w:val="14"/>
                <w:color w:val="auto"/>
              </w:rPr>
              <w:t>0.7</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0.6</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0.6</w:t>
            </w:r>
          </w:p>
        </w:tc>
      </w:tr>
      <w:tr>
        <w:trPr>
          <w:trHeight w:val="203"/>
        </w:trPr>
        <w:tc>
          <w:tcPr>
            <w:tcW w:w="3660" w:type="dxa"/>
            <w:vAlign w:val="bottom"/>
          </w:tcPr>
          <w:p>
            <w:pPr>
              <w:ind w:left="20"/>
              <w:spacing w:after="0"/>
              <w:rPr>
                <w:sz w:val="20"/>
                <w:szCs w:val="20"/>
                <w:color w:val="auto"/>
              </w:rPr>
            </w:pPr>
            <w:r>
              <w:rPr>
                <w:rFonts w:ascii="Arial" w:cs="Arial" w:eastAsia="Arial" w:hAnsi="Arial"/>
                <w:sz w:val="14"/>
                <w:szCs w:val="14"/>
                <w:color w:val="auto"/>
              </w:rPr>
              <w:t>Interest costs</w:t>
            </w:r>
          </w:p>
        </w:tc>
        <w:tc>
          <w:tcPr>
            <w:tcW w:w="280" w:type="dxa"/>
            <w:vAlign w:val="bottom"/>
            <w:shd w:val="clear" w:color="auto" w:fill="E0E3F1"/>
          </w:tcPr>
          <w:p>
            <w:pPr>
              <w:spacing w:after="0"/>
              <w:rPr>
                <w:sz w:val="17"/>
                <w:szCs w:val="17"/>
                <w:color w:val="auto"/>
              </w:rPr>
            </w:pPr>
          </w:p>
        </w:tc>
        <w:tc>
          <w:tcPr>
            <w:tcW w:w="9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35.5</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37.3</w:t>
            </w:r>
          </w:p>
        </w:tc>
        <w:tc>
          <w:tcPr>
            <w:tcW w:w="8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36.1</w:t>
            </w:r>
          </w:p>
        </w:tc>
        <w:tc>
          <w:tcPr>
            <w:tcW w:w="280" w:type="dxa"/>
            <w:vAlign w:val="bottom"/>
            <w:shd w:val="clear" w:color="auto" w:fill="E0E3F1"/>
          </w:tcPr>
          <w:p>
            <w:pPr>
              <w:spacing w:after="0"/>
              <w:rPr>
                <w:sz w:val="17"/>
                <w:szCs w:val="17"/>
                <w:color w:val="auto"/>
              </w:rPr>
            </w:pPr>
          </w:p>
        </w:tc>
        <w:tc>
          <w:tcPr>
            <w:tcW w:w="980" w:type="dxa"/>
            <w:vAlign w:val="bottom"/>
            <w:shd w:val="clear" w:color="auto" w:fill="E0E3F1"/>
          </w:tcPr>
          <w:p>
            <w:pPr>
              <w:jc w:val="right"/>
              <w:ind w:right="8"/>
              <w:spacing w:after="0"/>
              <w:rPr>
                <w:sz w:val="20"/>
                <w:szCs w:val="20"/>
                <w:color w:val="auto"/>
              </w:rPr>
            </w:pPr>
            <w:r>
              <w:rPr>
                <w:rFonts w:ascii="Arial" w:cs="Arial" w:eastAsia="Arial" w:hAnsi="Arial"/>
                <w:sz w:val="14"/>
                <w:szCs w:val="14"/>
                <w:color w:val="auto"/>
              </w:rPr>
              <w:t>10.2</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10.6</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9.9</w:t>
            </w:r>
          </w:p>
        </w:tc>
      </w:tr>
      <w:tr>
        <w:trPr>
          <w:trHeight w:val="203"/>
        </w:trPr>
        <w:tc>
          <w:tcPr>
            <w:tcW w:w="3660" w:type="dxa"/>
            <w:vAlign w:val="bottom"/>
          </w:tcPr>
          <w:p>
            <w:pPr>
              <w:ind w:left="20"/>
              <w:spacing w:after="0"/>
              <w:rPr>
                <w:sz w:val="20"/>
                <w:szCs w:val="20"/>
                <w:color w:val="auto"/>
              </w:rPr>
            </w:pPr>
            <w:r>
              <w:rPr>
                <w:rFonts w:ascii="Arial" w:cs="Arial" w:eastAsia="Arial" w:hAnsi="Arial"/>
                <w:sz w:val="14"/>
                <w:szCs w:val="14"/>
                <w:color w:val="auto"/>
              </w:rPr>
              <w:t>Expected return on plan assets</w:t>
            </w:r>
          </w:p>
        </w:tc>
        <w:tc>
          <w:tcPr>
            <w:tcW w:w="280" w:type="dxa"/>
            <w:vAlign w:val="bottom"/>
            <w:shd w:val="clear" w:color="auto" w:fill="E0E3F1"/>
          </w:tcPr>
          <w:p>
            <w:pPr>
              <w:spacing w:after="0"/>
              <w:rPr>
                <w:sz w:val="17"/>
                <w:szCs w:val="17"/>
                <w:color w:val="auto"/>
              </w:rPr>
            </w:pPr>
          </w:p>
        </w:tc>
        <w:tc>
          <w:tcPr>
            <w:tcW w:w="9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(37.2)</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(39.6)</w:t>
            </w:r>
          </w:p>
        </w:tc>
        <w:tc>
          <w:tcPr>
            <w:tcW w:w="8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(42.3)</w:t>
            </w:r>
          </w:p>
        </w:tc>
        <w:tc>
          <w:tcPr>
            <w:tcW w:w="280" w:type="dxa"/>
            <w:vAlign w:val="bottom"/>
            <w:shd w:val="clear" w:color="auto" w:fill="E0E3F1"/>
          </w:tcPr>
          <w:p>
            <w:pPr>
              <w:spacing w:after="0"/>
              <w:rPr>
                <w:sz w:val="17"/>
                <w:szCs w:val="17"/>
                <w:color w:val="auto"/>
              </w:rPr>
            </w:pPr>
          </w:p>
        </w:tc>
        <w:tc>
          <w:tcPr>
            <w:tcW w:w="980" w:type="dxa"/>
            <w:vAlign w:val="bottom"/>
            <w:shd w:val="clear" w:color="auto" w:fill="E0E3F1"/>
          </w:tcPr>
          <w:p>
            <w:pPr>
              <w:jc w:val="right"/>
              <w:spacing w:after="0"/>
              <w:rPr>
                <w:sz w:val="20"/>
                <w:szCs w:val="20"/>
                <w:color w:val="auto"/>
              </w:rPr>
            </w:pPr>
            <w:r>
              <w:rPr>
                <w:rFonts w:ascii="Arial" w:cs="Arial" w:eastAsia="Arial" w:hAnsi="Arial"/>
                <w:sz w:val="14"/>
                <w:szCs w:val="14"/>
                <w:color w:val="auto"/>
              </w:rPr>
              <w:t>(14.3)</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(16.1)</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(15.1)</w:t>
            </w:r>
          </w:p>
        </w:tc>
      </w:tr>
      <w:tr>
        <w:trPr>
          <w:trHeight w:val="203"/>
        </w:trPr>
        <w:tc>
          <w:tcPr>
            <w:tcW w:w="3660" w:type="dxa"/>
            <w:vAlign w:val="bottom"/>
          </w:tcPr>
          <w:p>
            <w:pPr>
              <w:ind w:left="20"/>
              <w:spacing w:after="0"/>
              <w:rPr>
                <w:sz w:val="20"/>
                <w:szCs w:val="20"/>
                <w:color w:val="auto"/>
              </w:rPr>
            </w:pPr>
            <w:r>
              <w:rPr>
                <w:rFonts w:ascii="Arial" w:cs="Arial" w:eastAsia="Arial" w:hAnsi="Arial"/>
                <w:sz w:val="14"/>
                <w:szCs w:val="14"/>
                <w:color w:val="auto"/>
              </w:rPr>
              <w:t>Amortization of prior service costs</w:t>
            </w:r>
          </w:p>
        </w:tc>
        <w:tc>
          <w:tcPr>
            <w:tcW w:w="280" w:type="dxa"/>
            <w:vAlign w:val="bottom"/>
            <w:shd w:val="clear" w:color="auto" w:fill="E0E3F1"/>
          </w:tcPr>
          <w:p>
            <w:pPr>
              <w:spacing w:after="0"/>
              <w:rPr>
                <w:sz w:val="17"/>
                <w:szCs w:val="17"/>
                <w:color w:val="auto"/>
              </w:rPr>
            </w:pPr>
          </w:p>
        </w:tc>
        <w:tc>
          <w:tcPr>
            <w:tcW w:w="9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0.5</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0.5</w:t>
            </w:r>
          </w:p>
        </w:tc>
        <w:tc>
          <w:tcPr>
            <w:tcW w:w="8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0.5</w:t>
            </w:r>
          </w:p>
        </w:tc>
        <w:tc>
          <w:tcPr>
            <w:tcW w:w="280" w:type="dxa"/>
            <w:vAlign w:val="bottom"/>
            <w:shd w:val="clear" w:color="auto" w:fill="E0E3F1"/>
          </w:tcPr>
          <w:p>
            <w:pPr>
              <w:spacing w:after="0"/>
              <w:rPr>
                <w:sz w:val="17"/>
                <w:szCs w:val="17"/>
                <w:color w:val="auto"/>
              </w:rPr>
            </w:pPr>
          </w:p>
        </w:tc>
        <w:tc>
          <w:tcPr>
            <w:tcW w:w="980" w:type="dxa"/>
            <w:vAlign w:val="bottom"/>
            <w:shd w:val="clear" w:color="auto" w:fill="E0E3F1"/>
          </w:tcPr>
          <w:p>
            <w:pPr>
              <w:jc w:val="right"/>
              <w:ind w:right="8"/>
              <w:spacing w:after="0"/>
              <w:rPr>
                <w:sz w:val="20"/>
                <w:szCs w:val="20"/>
                <w:color w:val="auto"/>
              </w:rPr>
            </w:pPr>
            <w:r>
              <w:rPr>
                <w:rFonts w:ascii="Arial" w:cs="Arial" w:eastAsia="Arial" w:hAnsi="Arial"/>
                <w:sz w:val="14"/>
                <w:szCs w:val="14"/>
                <w:color w:val="auto"/>
              </w:rPr>
              <w:t>0.1</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0.1</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07"/>
        </w:trPr>
        <w:tc>
          <w:tcPr>
            <w:tcW w:w="366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Amortization of net actuarial loss (gain)</w:t>
            </w:r>
          </w:p>
        </w:tc>
        <w:tc>
          <w:tcPr>
            <w:tcW w:w="280" w:type="dxa"/>
            <w:vAlign w:val="bottom"/>
            <w:tcBorders>
              <w:bottom w:val="single" w:sz="8" w:color="00539B"/>
            </w:tcBorders>
            <w:shd w:val="clear" w:color="auto" w:fill="E0E3F1"/>
          </w:tcPr>
          <w:p>
            <w:pPr>
              <w:spacing w:after="0"/>
              <w:rPr>
                <w:sz w:val="17"/>
                <w:szCs w:val="17"/>
                <w:color w:val="auto"/>
              </w:rPr>
            </w:pPr>
          </w:p>
        </w:tc>
        <w:tc>
          <w:tcPr>
            <w:tcW w:w="96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1.1</w:t>
            </w:r>
          </w:p>
        </w:tc>
        <w:tc>
          <w:tcPr>
            <w:tcW w:w="160" w:type="dxa"/>
            <w:vAlign w:val="bottom"/>
            <w:tcBorders>
              <w:bottom w:val="single" w:sz="8" w:color="00539B"/>
            </w:tcBorders>
          </w:tcPr>
          <w:p>
            <w:pPr>
              <w:spacing w:after="0"/>
              <w:rPr>
                <w:sz w:val="17"/>
                <w:szCs w:val="17"/>
                <w:color w:val="auto"/>
              </w:rPr>
            </w:pPr>
          </w:p>
        </w:tc>
        <w:tc>
          <w:tcPr>
            <w:tcW w:w="110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(0.4)</w:t>
            </w:r>
          </w:p>
        </w:tc>
        <w:tc>
          <w:tcPr>
            <w:tcW w:w="820" w:type="dxa"/>
            <w:vAlign w:val="bottom"/>
            <w:tcBorders>
              <w:bottom w:val="single" w:sz="8" w:color="00539B"/>
            </w:tcBorders>
          </w:tcPr>
          <w:p>
            <w:pPr>
              <w:spacing w:after="0"/>
              <w:rPr>
                <w:sz w:val="17"/>
                <w:szCs w:val="17"/>
                <w:color w:val="auto"/>
              </w:rPr>
            </w:pPr>
          </w:p>
        </w:tc>
        <w:tc>
          <w:tcPr>
            <w:tcW w:w="44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0.2</w:t>
            </w:r>
          </w:p>
        </w:tc>
        <w:tc>
          <w:tcPr>
            <w:tcW w:w="280" w:type="dxa"/>
            <w:vAlign w:val="bottom"/>
            <w:tcBorders>
              <w:bottom w:val="single" w:sz="8" w:color="00539B"/>
            </w:tcBorders>
            <w:shd w:val="clear" w:color="auto" w:fill="E0E3F1"/>
          </w:tcPr>
          <w:p>
            <w:pPr>
              <w:spacing w:after="0"/>
              <w:rPr>
                <w:sz w:val="17"/>
                <w:szCs w:val="17"/>
                <w:color w:val="auto"/>
              </w:rPr>
            </w:pPr>
          </w:p>
        </w:tc>
        <w:tc>
          <w:tcPr>
            <w:tcW w:w="98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(0.1)</w:t>
            </w:r>
          </w:p>
        </w:tc>
        <w:tc>
          <w:tcPr>
            <w:tcW w:w="160" w:type="dxa"/>
            <w:vAlign w:val="bottom"/>
            <w:tcBorders>
              <w:bottom w:val="single" w:sz="8" w:color="00539B"/>
            </w:tcBorders>
          </w:tcPr>
          <w:p>
            <w:pPr>
              <w:spacing w:after="0"/>
              <w:rPr>
                <w:sz w:val="17"/>
                <w:szCs w:val="17"/>
                <w:color w:val="auto"/>
              </w:rPr>
            </w:pPr>
          </w:p>
        </w:tc>
        <w:tc>
          <w:tcPr>
            <w:tcW w:w="108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(0.3)</w:t>
            </w:r>
          </w:p>
        </w:tc>
        <w:tc>
          <w:tcPr>
            <w:tcW w:w="300" w:type="dxa"/>
            <w:vAlign w:val="bottom"/>
            <w:tcBorders>
              <w:bottom w:val="single" w:sz="8" w:color="00539B"/>
            </w:tcBorders>
          </w:tcPr>
          <w:p>
            <w:pPr>
              <w:spacing w:after="0"/>
              <w:rPr>
                <w:sz w:val="17"/>
                <w:szCs w:val="17"/>
                <w:color w:val="auto"/>
              </w:rPr>
            </w:pPr>
          </w:p>
        </w:tc>
        <w:tc>
          <w:tcPr>
            <w:tcW w:w="98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(0.1)</w:t>
            </w:r>
          </w:p>
        </w:tc>
      </w:tr>
      <w:tr>
        <w:trPr>
          <w:trHeight w:val="207"/>
        </w:trPr>
        <w:tc>
          <w:tcPr>
            <w:tcW w:w="366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Total pension expense (income)</w:t>
            </w:r>
          </w:p>
        </w:tc>
        <w:tc>
          <w:tcPr>
            <w:tcW w:w="280" w:type="dxa"/>
            <w:vAlign w:val="bottom"/>
            <w:tcBorders>
              <w:bottom w:val="single" w:sz="8" w:color="00539B"/>
            </w:tcBorders>
            <w:shd w:val="clear" w:color="auto" w:fill="E0E3F1"/>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1.5</w:t>
            </w:r>
          </w:p>
        </w:tc>
        <w:tc>
          <w:tcPr>
            <w:tcW w:w="16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(0.7)</w:t>
            </w:r>
          </w:p>
        </w:tc>
        <w:tc>
          <w:tcPr>
            <w:tcW w:w="820" w:type="dxa"/>
            <w:vAlign w:val="bottom"/>
            <w:tcBorders>
              <w:bottom w:val="single" w:sz="8" w:color="00539B"/>
            </w:tcBorders>
          </w:tcPr>
          <w:p>
            <w:pPr>
              <w:jc w:val="right"/>
              <w:ind w:right="64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(3.5)</w:t>
            </w:r>
          </w:p>
        </w:tc>
        <w:tc>
          <w:tcPr>
            <w:tcW w:w="280" w:type="dxa"/>
            <w:vAlign w:val="bottom"/>
            <w:tcBorders>
              <w:bottom w:val="single" w:sz="8" w:color="00539B"/>
            </w:tcBorders>
            <w:shd w:val="clear" w:color="auto" w:fill="E0E3F1"/>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(3.4)</w:t>
            </w:r>
          </w:p>
        </w:tc>
        <w:tc>
          <w:tcPr>
            <w:tcW w:w="16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(5.1)</w:t>
            </w:r>
          </w:p>
        </w:tc>
        <w:tc>
          <w:tcPr>
            <w:tcW w:w="300" w:type="dxa"/>
            <w:vAlign w:val="bottom"/>
            <w:tcBorders>
              <w:bottom w:val="single" w:sz="8" w:color="00539B"/>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(4.6)</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52" w:right="379" w:bottom="1440" w:gutter="0" w:footer="0" w:header="0"/>
        </w:sectPr>
      </w:pPr>
    </w:p>
    <w:bookmarkStart w:id="68" w:name="page69"/>
    <w:bookmarkEnd w:id="68"/>
    <w:p>
      <w:pPr>
        <w:ind w:right="180"/>
        <w:spacing w:after="0" w:line="287" w:lineRule="auto"/>
        <w:rPr>
          <w:sz w:val="20"/>
          <w:szCs w:val="20"/>
          <w:color w:val="auto"/>
        </w:rPr>
      </w:pPr>
      <w:r>
        <w:rPr>
          <w:rFonts w:ascii="Arial" w:cs="Arial" w:eastAsia="Arial" w:hAnsi="Arial"/>
          <w:sz w:val="18"/>
          <w:szCs w:val="18"/>
          <w:color w:val="auto"/>
        </w:rPr>
        <w:t>A roll forward of the benefit obligation, fair value of plan assets and a reconciliation of the pension plans’ funded status as of November 30, the measurement date,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628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2"/>
          </w:tcPr>
          <w:p>
            <w:pPr>
              <w:jc w:val="right"/>
              <w:ind w:right="8"/>
              <w:spacing w:after="0"/>
              <w:rPr>
                <w:sz w:val="20"/>
                <w:szCs w:val="20"/>
                <w:color w:val="auto"/>
              </w:rPr>
            </w:pPr>
            <w:r>
              <w:rPr>
                <w:rFonts w:ascii="Arial" w:cs="Arial" w:eastAsia="Arial" w:hAnsi="Arial"/>
                <w:sz w:val="14"/>
                <w:szCs w:val="14"/>
                <w:color w:val="auto"/>
              </w:rPr>
              <w:t>United States</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gridSpan w:val="2"/>
          </w:tcPr>
          <w:p>
            <w:pPr>
              <w:jc w:val="right"/>
              <w:ind w:right="48"/>
              <w:spacing w:after="0"/>
              <w:rPr>
                <w:sz w:val="20"/>
                <w:szCs w:val="20"/>
                <w:color w:val="auto"/>
              </w:rPr>
            </w:pPr>
            <w:r>
              <w:rPr>
                <w:rFonts w:ascii="Arial" w:cs="Arial" w:eastAsia="Arial" w:hAnsi="Arial"/>
                <w:sz w:val="14"/>
                <w:szCs w:val="14"/>
                <w:color w:val="auto"/>
              </w:rPr>
              <w:t>International</w:t>
            </w:r>
          </w:p>
        </w:tc>
        <w:tc>
          <w:tcPr>
            <w:tcW w:w="1040" w:type="dxa"/>
            <w:vAlign w:val="bottom"/>
          </w:tcPr>
          <w:p>
            <w:pPr>
              <w:spacing w:after="0"/>
              <w:rPr>
                <w:sz w:val="16"/>
                <w:szCs w:val="16"/>
                <w:color w:val="auto"/>
              </w:rPr>
            </w:pPr>
          </w:p>
        </w:tc>
      </w:tr>
      <w:tr>
        <w:trPr>
          <w:trHeight w:val="35"/>
        </w:trPr>
        <w:tc>
          <w:tcPr>
            <w:tcW w:w="5060" w:type="dxa"/>
            <w:vAlign w:val="bottom"/>
            <w:tcBorders>
              <w:bottom w:val="single" w:sz="8" w:color="00539B"/>
            </w:tcBorders>
          </w:tcPr>
          <w:p>
            <w:pPr>
              <w:spacing w:after="0"/>
              <w:rPr>
                <w:sz w:val="3"/>
                <w:szCs w:val="3"/>
                <w:color w:val="auto"/>
              </w:rPr>
            </w:pPr>
          </w:p>
        </w:tc>
        <w:tc>
          <w:tcPr>
            <w:tcW w:w="100" w:type="dxa"/>
            <w:vAlign w:val="bottom"/>
            <w:tcBorders>
              <w:bottom w:val="single" w:sz="8" w:color="00539B"/>
            </w:tcBorders>
          </w:tcPr>
          <w:p>
            <w:pPr>
              <w:spacing w:after="0"/>
              <w:rPr>
                <w:sz w:val="3"/>
                <w:szCs w:val="3"/>
                <w:color w:val="auto"/>
              </w:rPr>
            </w:pPr>
          </w:p>
        </w:tc>
        <w:tc>
          <w:tcPr>
            <w:tcW w:w="1420" w:type="dxa"/>
            <w:vAlign w:val="bottom"/>
            <w:tcBorders>
              <w:bottom w:val="single" w:sz="8" w:color="00539B"/>
            </w:tcBorders>
          </w:tcPr>
          <w:p>
            <w:pPr>
              <w:spacing w:after="0"/>
              <w:rPr>
                <w:sz w:val="3"/>
                <w:szCs w:val="3"/>
                <w:color w:val="auto"/>
              </w:rPr>
            </w:pPr>
          </w:p>
        </w:tc>
        <w:tc>
          <w:tcPr>
            <w:tcW w:w="520" w:type="dxa"/>
            <w:vAlign w:val="bottom"/>
            <w:tcBorders>
              <w:bottom w:val="single" w:sz="8" w:color="00539B"/>
            </w:tcBorders>
          </w:tcPr>
          <w:p>
            <w:pPr>
              <w:spacing w:after="0"/>
              <w:rPr>
                <w:sz w:val="3"/>
                <w:szCs w:val="3"/>
                <w:color w:val="auto"/>
              </w:rPr>
            </w:pPr>
          </w:p>
        </w:tc>
        <w:tc>
          <w:tcPr>
            <w:tcW w:w="1000" w:type="dxa"/>
            <w:vAlign w:val="bottom"/>
            <w:tcBorders>
              <w:bottom w:val="single" w:sz="8" w:color="00539B"/>
            </w:tcBorders>
          </w:tcPr>
          <w:p>
            <w:pPr>
              <w:spacing w:after="0"/>
              <w:rPr>
                <w:sz w:val="3"/>
                <w:szCs w:val="3"/>
                <w:color w:val="auto"/>
              </w:rPr>
            </w:pPr>
          </w:p>
        </w:tc>
        <w:tc>
          <w:tcPr>
            <w:tcW w:w="120" w:type="dxa"/>
            <w:vAlign w:val="bottom"/>
            <w:tcBorders>
              <w:bottom w:val="single" w:sz="8" w:color="00539B"/>
            </w:tcBorders>
          </w:tcPr>
          <w:p>
            <w:pPr>
              <w:spacing w:after="0"/>
              <w:rPr>
                <w:sz w:val="3"/>
                <w:szCs w:val="3"/>
                <w:color w:val="auto"/>
              </w:rPr>
            </w:pPr>
          </w:p>
        </w:tc>
        <w:tc>
          <w:tcPr>
            <w:tcW w:w="1420" w:type="dxa"/>
            <w:vAlign w:val="bottom"/>
            <w:tcBorders>
              <w:bottom w:val="single" w:sz="8" w:color="00539B"/>
            </w:tcBorders>
          </w:tcPr>
          <w:p>
            <w:pPr>
              <w:spacing w:after="0"/>
              <w:rPr>
                <w:sz w:val="3"/>
                <w:szCs w:val="3"/>
                <w:color w:val="auto"/>
              </w:rPr>
            </w:pPr>
          </w:p>
        </w:tc>
        <w:tc>
          <w:tcPr>
            <w:tcW w:w="520" w:type="dxa"/>
            <w:vAlign w:val="bottom"/>
            <w:tcBorders>
              <w:bottom w:val="single" w:sz="8" w:color="00539B"/>
            </w:tcBorders>
          </w:tcPr>
          <w:p>
            <w:pPr>
              <w:spacing w:after="0"/>
              <w:rPr>
                <w:sz w:val="3"/>
                <w:szCs w:val="3"/>
                <w:color w:val="auto"/>
              </w:rPr>
            </w:pPr>
          </w:p>
        </w:tc>
        <w:tc>
          <w:tcPr>
            <w:tcW w:w="1040" w:type="dxa"/>
            <w:vAlign w:val="bottom"/>
            <w:tcBorders>
              <w:bottom w:val="single" w:sz="8" w:color="00539B"/>
            </w:tcBorders>
          </w:tcPr>
          <w:p>
            <w:pPr>
              <w:spacing w:after="0"/>
              <w:rPr>
                <w:sz w:val="3"/>
                <w:szCs w:val="3"/>
                <w:color w:val="auto"/>
              </w:rPr>
            </w:pPr>
          </w:p>
        </w:tc>
      </w:tr>
      <w:tr>
        <w:trPr>
          <w:trHeight w:val="192"/>
        </w:trPr>
        <w:tc>
          <w:tcPr>
            <w:tcW w:w="506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(millions)</w:t>
            </w:r>
          </w:p>
        </w:tc>
        <w:tc>
          <w:tcPr>
            <w:tcW w:w="100" w:type="dxa"/>
            <w:vAlign w:val="bottom"/>
            <w:tcBorders>
              <w:bottom w:val="single" w:sz="8" w:color="00539B"/>
            </w:tcBorders>
            <w:shd w:val="clear" w:color="auto" w:fill="E0E3F1"/>
          </w:tcPr>
          <w:p>
            <w:pPr>
              <w:spacing w:after="0"/>
              <w:rPr>
                <w:sz w:val="16"/>
                <w:szCs w:val="16"/>
                <w:color w:val="auto"/>
              </w:rPr>
            </w:pPr>
          </w:p>
        </w:tc>
        <w:tc>
          <w:tcPr>
            <w:tcW w:w="1420" w:type="dxa"/>
            <w:vAlign w:val="bottom"/>
            <w:tcBorders>
              <w:bottom w:val="single" w:sz="8" w:color="00539B"/>
            </w:tcBorders>
            <w:shd w:val="clear" w:color="auto" w:fill="E0E3F1"/>
          </w:tcPr>
          <w:p>
            <w:pPr>
              <w:jc w:val="right"/>
              <w:ind w:right="528"/>
              <w:spacing w:after="0"/>
              <w:rPr>
                <w:sz w:val="20"/>
                <w:szCs w:val="20"/>
                <w:color w:val="auto"/>
              </w:rPr>
            </w:pPr>
            <w:r>
              <w:rPr>
                <w:rFonts w:ascii="Arial" w:cs="Arial" w:eastAsia="Arial" w:hAnsi="Arial"/>
                <w:sz w:val="14"/>
                <w:szCs w:val="14"/>
                <w:color w:val="auto"/>
              </w:rPr>
              <w:t>2025</w:t>
            </w:r>
          </w:p>
        </w:tc>
        <w:tc>
          <w:tcPr>
            <w:tcW w:w="520" w:type="dxa"/>
            <w:vAlign w:val="bottom"/>
            <w:tcBorders>
              <w:bottom w:val="single" w:sz="8" w:color="00539B"/>
            </w:tcBorders>
          </w:tcPr>
          <w:p>
            <w:pPr>
              <w:spacing w:after="0"/>
              <w:rPr>
                <w:sz w:val="16"/>
                <w:szCs w:val="16"/>
                <w:color w:val="auto"/>
              </w:rPr>
            </w:pPr>
          </w:p>
        </w:tc>
        <w:tc>
          <w:tcPr>
            <w:tcW w:w="1000" w:type="dxa"/>
            <w:vAlign w:val="bottom"/>
            <w:tcBorders>
              <w:bottom w:val="single" w:sz="8" w:color="00539B"/>
            </w:tcBorders>
          </w:tcPr>
          <w:p>
            <w:pPr>
              <w:jc w:val="right"/>
              <w:ind w:right="528"/>
              <w:spacing w:after="0"/>
              <w:rPr>
                <w:sz w:val="20"/>
                <w:szCs w:val="20"/>
                <w:color w:val="auto"/>
              </w:rPr>
            </w:pPr>
            <w:r>
              <w:rPr>
                <w:rFonts w:ascii="Arial" w:cs="Arial" w:eastAsia="Arial" w:hAnsi="Arial"/>
                <w:sz w:val="14"/>
                <w:szCs w:val="14"/>
                <w:color w:val="auto"/>
              </w:rPr>
              <w:t>2024</w:t>
            </w:r>
          </w:p>
        </w:tc>
        <w:tc>
          <w:tcPr>
            <w:tcW w:w="120" w:type="dxa"/>
            <w:vAlign w:val="bottom"/>
            <w:tcBorders>
              <w:bottom w:val="single" w:sz="8" w:color="00539B"/>
            </w:tcBorders>
            <w:shd w:val="clear" w:color="auto" w:fill="E0E3F1"/>
          </w:tcPr>
          <w:p>
            <w:pPr>
              <w:spacing w:after="0"/>
              <w:rPr>
                <w:sz w:val="16"/>
                <w:szCs w:val="16"/>
                <w:color w:val="auto"/>
              </w:rPr>
            </w:pPr>
          </w:p>
        </w:tc>
        <w:tc>
          <w:tcPr>
            <w:tcW w:w="1420" w:type="dxa"/>
            <w:vAlign w:val="bottom"/>
            <w:tcBorders>
              <w:bottom w:val="single" w:sz="8" w:color="00539B"/>
            </w:tcBorders>
            <w:shd w:val="clear" w:color="auto" w:fill="E0E3F1"/>
          </w:tcPr>
          <w:p>
            <w:pPr>
              <w:jc w:val="right"/>
              <w:ind w:right="528"/>
              <w:spacing w:after="0"/>
              <w:rPr>
                <w:sz w:val="20"/>
                <w:szCs w:val="20"/>
                <w:color w:val="auto"/>
              </w:rPr>
            </w:pPr>
            <w:r>
              <w:rPr>
                <w:rFonts w:ascii="Arial" w:cs="Arial" w:eastAsia="Arial" w:hAnsi="Arial"/>
                <w:sz w:val="14"/>
                <w:szCs w:val="14"/>
                <w:color w:val="auto"/>
              </w:rPr>
              <w:t>2025</w:t>
            </w:r>
          </w:p>
        </w:tc>
        <w:tc>
          <w:tcPr>
            <w:tcW w:w="520" w:type="dxa"/>
            <w:vAlign w:val="bottom"/>
            <w:tcBorders>
              <w:bottom w:val="single" w:sz="8" w:color="00539B"/>
            </w:tcBorders>
          </w:tcPr>
          <w:p>
            <w:pPr>
              <w:spacing w:after="0"/>
              <w:rPr>
                <w:sz w:val="16"/>
                <w:szCs w:val="16"/>
                <w:color w:val="auto"/>
              </w:rPr>
            </w:pPr>
          </w:p>
        </w:tc>
        <w:tc>
          <w:tcPr>
            <w:tcW w:w="1040" w:type="dxa"/>
            <w:vAlign w:val="bottom"/>
            <w:tcBorders>
              <w:bottom w:val="single" w:sz="8" w:color="00539B"/>
            </w:tcBorders>
          </w:tcPr>
          <w:p>
            <w:pPr>
              <w:jc w:val="right"/>
              <w:ind w:right="548"/>
              <w:spacing w:after="0"/>
              <w:rPr>
                <w:sz w:val="20"/>
                <w:szCs w:val="20"/>
                <w:color w:val="auto"/>
              </w:rPr>
            </w:pPr>
            <w:r>
              <w:rPr>
                <w:rFonts w:ascii="Arial" w:cs="Arial" w:eastAsia="Arial" w:hAnsi="Arial"/>
                <w:sz w:val="14"/>
                <w:szCs w:val="14"/>
                <w:color w:val="auto"/>
              </w:rPr>
              <w:t>2024</w:t>
            </w:r>
          </w:p>
        </w:tc>
      </w:tr>
      <w:tr>
        <w:trPr>
          <w:trHeight w:val="192"/>
        </w:trPr>
        <w:tc>
          <w:tcPr>
            <w:tcW w:w="5060" w:type="dxa"/>
            <w:vAlign w:val="bottom"/>
          </w:tcPr>
          <w:p>
            <w:pPr>
              <w:ind w:left="20"/>
              <w:spacing w:after="0"/>
              <w:rPr>
                <w:sz w:val="20"/>
                <w:szCs w:val="20"/>
                <w:color w:val="auto"/>
              </w:rPr>
            </w:pPr>
            <w:r>
              <w:rPr>
                <w:rFonts w:ascii="Arial" w:cs="Arial" w:eastAsia="Arial" w:hAnsi="Arial"/>
                <w:sz w:val="14"/>
                <w:szCs w:val="14"/>
                <w:color w:val="auto"/>
              </w:rPr>
              <w:t>Change in benefit obligation:</w:t>
            </w:r>
          </w:p>
        </w:tc>
        <w:tc>
          <w:tcPr>
            <w:tcW w:w="100" w:type="dxa"/>
            <w:vAlign w:val="bottom"/>
            <w:shd w:val="clear" w:color="auto" w:fill="E0E3F1"/>
          </w:tcPr>
          <w:p>
            <w:pPr>
              <w:spacing w:after="0"/>
              <w:rPr>
                <w:sz w:val="16"/>
                <w:szCs w:val="16"/>
                <w:color w:val="auto"/>
              </w:rPr>
            </w:pPr>
          </w:p>
        </w:tc>
        <w:tc>
          <w:tcPr>
            <w:tcW w:w="1420" w:type="dxa"/>
            <w:vAlign w:val="bottom"/>
            <w:shd w:val="clear" w:color="auto" w:fill="E0E3F1"/>
          </w:tcPr>
          <w:p>
            <w:pPr>
              <w:spacing w:after="0"/>
              <w:rPr>
                <w:sz w:val="16"/>
                <w:szCs w:val="16"/>
                <w:color w:val="auto"/>
              </w:rPr>
            </w:pPr>
          </w:p>
        </w:tc>
        <w:tc>
          <w:tcPr>
            <w:tcW w:w="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shd w:val="clear" w:color="auto" w:fill="E0E3F1"/>
          </w:tcPr>
          <w:p>
            <w:pPr>
              <w:spacing w:after="0"/>
              <w:rPr>
                <w:sz w:val="16"/>
                <w:szCs w:val="16"/>
                <w:color w:val="auto"/>
              </w:rPr>
            </w:pPr>
          </w:p>
        </w:tc>
        <w:tc>
          <w:tcPr>
            <w:tcW w:w="1420" w:type="dxa"/>
            <w:vAlign w:val="bottom"/>
            <w:shd w:val="clear" w:color="auto" w:fill="E0E3F1"/>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3"/>
        </w:trPr>
        <w:tc>
          <w:tcPr>
            <w:tcW w:w="5060" w:type="dxa"/>
            <w:vAlign w:val="bottom"/>
          </w:tcPr>
          <w:p>
            <w:pPr>
              <w:ind w:left="360"/>
              <w:spacing w:after="0"/>
              <w:rPr>
                <w:sz w:val="20"/>
                <w:szCs w:val="20"/>
                <w:color w:val="auto"/>
              </w:rPr>
            </w:pPr>
            <w:r>
              <w:rPr>
                <w:rFonts w:ascii="Arial" w:cs="Arial" w:eastAsia="Arial" w:hAnsi="Arial"/>
                <w:sz w:val="14"/>
                <w:szCs w:val="14"/>
                <w:color w:val="auto"/>
              </w:rPr>
              <w:t>Benefit obligation at beginning of year</w:t>
            </w:r>
          </w:p>
        </w:tc>
        <w:tc>
          <w:tcPr>
            <w:tcW w:w="100" w:type="dxa"/>
            <w:vAlign w:val="bottom"/>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E0E3F1"/>
          </w:tcPr>
          <w:p>
            <w:pPr>
              <w:jc w:val="right"/>
              <w:spacing w:after="0"/>
              <w:rPr>
                <w:sz w:val="20"/>
                <w:szCs w:val="20"/>
                <w:color w:val="auto"/>
              </w:rPr>
            </w:pPr>
            <w:r>
              <w:rPr>
                <w:rFonts w:ascii="Arial" w:cs="Arial" w:eastAsia="Arial" w:hAnsi="Arial"/>
                <w:sz w:val="14"/>
                <w:szCs w:val="14"/>
                <w:color w:val="auto"/>
              </w:rPr>
              <w:t>695.0</w:t>
            </w: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645.3</w:t>
            </w:r>
          </w:p>
        </w:tc>
        <w:tc>
          <w:tcPr>
            <w:tcW w:w="120" w:type="dxa"/>
            <w:vAlign w:val="bottom"/>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E0E3F1"/>
          </w:tcPr>
          <w:p>
            <w:pPr>
              <w:jc w:val="right"/>
              <w:ind w:right="8"/>
              <w:spacing w:after="0"/>
              <w:rPr>
                <w:sz w:val="20"/>
                <w:szCs w:val="20"/>
                <w:color w:val="auto"/>
              </w:rPr>
            </w:pPr>
            <w:r>
              <w:rPr>
                <w:rFonts w:ascii="Arial" w:cs="Arial" w:eastAsia="Arial" w:hAnsi="Arial"/>
                <w:sz w:val="14"/>
                <w:szCs w:val="14"/>
                <w:color w:val="auto"/>
              </w:rPr>
              <w:t>216.9</w:t>
            </w: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214.0</w:t>
            </w:r>
          </w:p>
        </w:tc>
      </w:tr>
      <w:tr>
        <w:trPr>
          <w:trHeight w:val="203"/>
        </w:trPr>
        <w:tc>
          <w:tcPr>
            <w:tcW w:w="5060" w:type="dxa"/>
            <w:vAlign w:val="bottom"/>
          </w:tcPr>
          <w:p>
            <w:pPr>
              <w:ind w:left="680"/>
              <w:spacing w:after="0"/>
              <w:rPr>
                <w:sz w:val="20"/>
                <w:szCs w:val="20"/>
                <w:color w:val="auto"/>
              </w:rPr>
            </w:pPr>
            <w:r>
              <w:rPr>
                <w:rFonts w:ascii="Arial" w:cs="Arial" w:eastAsia="Arial" w:hAnsi="Arial"/>
                <w:sz w:val="14"/>
                <w:szCs w:val="14"/>
                <w:color w:val="auto"/>
              </w:rPr>
              <w:t>Service cost</w:t>
            </w:r>
          </w:p>
        </w:tc>
        <w:tc>
          <w:tcPr>
            <w:tcW w:w="100" w:type="dxa"/>
            <w:vAlign w:val="bottom"/>
            <w:shd w:val="clear" w:color="auto" w:fill="E0E3F1"/>
          </w:tcPr>
          <w:p>
            <w:pPr>
              <w:spacing w:after="0"/>
              <w:rPr>
                <w:sz w:val="17"/>
                <w:szCs w:val="17"/>
                <w:color w:val="auto"/>
              </w:rPr>
            </w:pPr>
          </w:p>
        </w:tc>
        <w:tc>
          <w:tcPr>
            <w:tcW w:w="1420" w:type="dxa"/>
            <w:vAlign w:val="bottom"/>
            <w:shd w:val="clear" w:color="auto" w:fill="E0E3F1"/>
          </w:tcPr>
          <w:p>
            <w:pPr>
              <w:jc w:val="right"/>
              <w:spacing w:after="0"/>
              <w:rPr>
                <w:sz w:val="20"/>
                <w:szCs w:val="20"/>
                <w:color w:val="auto"/>
              </w:rPr>
            </w:pPr>
            <w:r>
              <w:rPr>
                <w:rFonts w:ascii="Arial" w:cs="Arial" w:eastAsia="Arial" w:hAnsi="Arial"/>
                <w:sz w:val="14"/>
                <w:szCs w:val="14"/>
                <w:color w:val="auto"/>
              </w:rPr>
              <w:t>1.6</w:t>
            </w:r>
          </w:p>
        </w:tc>
        <w:tc>
          <w:tcPr>
            <w:tcW w:w="5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shd w:val="clear" w:color="auto" w:fill="E0E3F1"/>
          </w:tcPr>
          <w:p>
            <w:pPr>
              <w:spacing w:after="0"/>
              <w:rPr>
                <w:sz w:val="17"/>
                <w:szCs w:val="17"/>
                <w:color w:val="auto"/>
              </w:rPr>
            </w:pPr>
          </w:p>
        </w:tc>
        <w:tc>
          <w:tcPr>
            <w:tcW w:w="1420" w:type="dxa"/>
            <w:vAlign w:val="bottom"/>
            <w:shd w:val="clear" w:color="auto" w:fill="E0E3F1"/>
          </w:tcPr>
          <w:p>
            <w:pPr>
              <w:jc w:val="right"/>
              <w:ind w:right="8"/>
              <w:spacing w:after="0"/>
              <w:rPr>
                <w:sz w:val="20"/>
                <w:szCs w:val="20"/>
                <w:color w:val="auto"/>
              </w:rPr>
            </w:pPr>
            <w:r>
              <w:rPr>
                <w:rFonts w:ascii="Arial" w:cs="Arial" w:eastAsia="Arial" w:hAnsi="Arial"/>
                <w:sz w:val="14"/>
                <w:szCs w:val="14"/>
                <w:color w:val="auto"/>
              </w:rPr>
              <w:t>0.7</w:t>
            </w:r>
          </w:p>
        </w:tc>
        <w:tc>
          <w:tcPr>
            <w:tcW w:w="5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0.6</w:t>
            </w:r>
          </w:p>
        </w:tc>
      </w:tr>
      <w:tr>
        <w:trPr>
          <w:trHeight w:val="203"/>
        </w:trPr>
        <w:tc>
          <w:tcPr>
            <w:tcW w:w="5060" w:type="dxa"/>
            <w:vAlign w:val="bottom"/>
          </w:tcPr>
          <w:p>
            <w:pPr>
              <w:ind w:left="680"/>
              <w:spacing w:after="0"/>
              <w:rPr>
                <w:sz w:val="20"/>
                <w:szCs w:val="20"/>
                <w:color w:val="auto"/>
              </w:rPr>
            </w:pPr>
            <w:r>
              <w:rPr>
                <w:rFonts w:ascii="Arial" w:cs="Arial" w:eastAsia="Arial" w:hAnsi="Arial"/>
                <w:sz w:val="14"/>
                <w:szCs w:val="14"/>
                <w:color w:val="auto"/>
              </w:rPr>
              <w:t>Interest costs</w:t>
            </w:r>
          </w:p>
        </w:tc>
        <w:tc>
          <w:tcPr>
            <w:tcW w:w="100" w:type="dxa"/>
            <w:vAlign w:val="bottom"/>
            <w:shd w:val="clear" w:color="auto" w:fill="E0E3F1"/>
          </w:tcPr>
          <w:p>
            <w:pPr>
              <w:spacing w:after="0"/>
              <w:rPr>
                <w:sz w:val="17"/>
                <w:szCs w:val="17"/>
                <w:color w:val="auto"/>
              </w:rPr>
            </w:pPr>
          </w:p>
        </w:tc>
        <w:tc>
          <w:tcPr>
            <w:tcW w:w="1420" w:type="dxa"/>
            <w:vAlign w:val="bottom"/>
            <w:shd w:val="clear" w:color="auto" w:fill="E0E3F1"/>
          </w:tcPr>
          <w:p>
            <w:pPr>
              <w:jc w:val="right"/>
              <w:spacing w:after="0"/>
              <w:rPr>
                <w:sz w:val="20"/>
                <w:szCs w:val="20"/>
                <w:color w:val="auto"/>
              </w:rPr>
            </w:pPr>
            <w:r>
              <w:rPr>
                <w:rFonts w:ascii="Arial" w:cs="Arial" w:eastAsia="Arial" w:hAnsi="Arial"/>
                <w:sz w:val="14"/>
                <w:szCs w:val="14"/>
                <w:color w:val="auto"/>
              </w:rPr>
              <w:t>35.5</w:t>
            </w:r>
          </w:p>
        </w:tc>
        <w:tc>
          <w:tcPr>
            <w:tcW w:w="5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37.3</w:t>
            </w:r>
          </w:p>
        </w:tc>
        <w:tc>
          <w:tcPr>
            <w:tcW w:w="120" w:type="dxa"/>
            <w:vAlign w:val="bottom"/>
            <w:shd w:val="clear" w:color="auto" w:fill="E0E3F1"/>
          </w:tcPr>
          <w:p>
            <w:pPr>
              <w:spacing w:after="0"/>
              <w:rPr>
                <w:sz w:val="17"/>
                <w:szCs w:val="17"/>
                <w:color w:val="auto"/>
              </w:rPr>
            </w:pPr>
          </w:p>
        </w:tc>
        <w:tc>
          <w:tcPr>
            <w:tcW w:w="1420" w:type="dxa"/>
            <w:vAlign w:val="bottom"/>
            <w:shd w:val="clear" w:color="auto" w:fill="E0E3F1"/>
          </w:tcPr>
          <w:p>
            <w:pPr>
              <w:jc w:val="right"/>
              <w:ind w:right="8"/>
              <w:spacing w:after="0"/>
              <w:rPr>
                <w:sz w:val="20"/>
                <w:szCs w:val="20"/>
                <w:color w:val="auto"/>
              </w:rPr>
            </w:pPr>
            <w:r>
              <w:rPr>
                <w:rFonts w:ascii="Arial" w:cs="Arial" w:eastAsia="Arial" w:hAnsi="Arial"/>
                <w:sz w:val="14"/>
                <w:szCs w:val="14"/>
                <w:color w:val="auto"/>
              </w:rPr>
              <w:t>10.2</w:t>
            </w:r>
          </w:p>
        </w:tc>
        <w:tc>
          <w:tcPr>
            <w:tcW w:w="5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10.6</w:t>
            </w:r>
          </w:p>
        </w:tc>
      </w:tr>
      <w:tr>
        <w:trPr>
          <w:trHeight w:val="203"/>
        </w:trPr>
        <w:tc>
          <w:tcPr>
            <w:tcW w:w="5060" w:type="dxa"/>
            <w:vAlign w:val="bottom"/>
          </w:tcPr>
          <w:p>
            <w:pPr>
              <w:ind w:left="680"/>
              <w:spacing w:after="0"/>
              <w:rPr>
                <w:sz w:val="20"/>
                <w:szCs w:val="20"/>
                <w:color w:val="auto"/>
              </w:rPr>
            </w:pPr>
            <w:r>
              <w:rPr>
                <w:rFonts w:ascii="Arial" w:cs="Arial" w:eastAsia="Arial" w:hAnsi="Arial"/>
                <w:sz w:val="14"/>
                <w:szCs w:val="14"/>
                <w:color w:val="auto"/>
              </w:rPr>
              <w:t>Actuarial (gain) loss</w:t>
            </w:r>
          </w:p>
        </w:tc>
        <w:tc>
          <w:tcPr>
            <w:tcW w:w="100" w:type="dxa"/>
            <w:vAlign w:val="bottom"/>
            <w:shd w:val="clear" w:color="auto" w:fill="E0E3F1"/>
          </w:tcPr>
          <w:p>
            <w:pPr>
              <w:spacing w:after="0"/>
              <w:rPr>
                <w:sz w:val="17"/>
                <w:szCs w:val="17"/>
                <w:color w:val="auto"/>
              </w:rPr>
            </w:pPr>
          </w:p>
        </w:tc>
        <w:tc>
          <w:tcPr>
            <w:tcW w:w="1420" w:type="dxa"/>
            <w:vAlign w:val="bottom"/>
            <w:shd w:val="clear" w:color="auto" w:fill="E0E3F1"/>
          </w:tcPr>
          <w:p>
            <w:pPr>
              <w:jc w:val="right"/>
              <w:spacing w:after="0"/>
              <w:rPr>
                <w:sz w:val="20"/>
                <w:szCs w:val="20"/>
                <w:color w:val="auto"/>
              </w:rPr>
            </w:pPr>
            <w:r>
              <w:rPr>
                <w:rFonts w:ascii="Arial" w:cs="Arial" w:eastAsia="Arial" w:hAnsi="Arial"/>
                <w:sz w:val="14"/>
                <w:szCs w:val="14"/>
                <w:color w:val="auto"/>
              </w:rPr>
              <w:t>(12.4)</w:t>
            </w:r>
          </w:p>
        </w:tc>
        <w:tc>
          <w:tcPr>
            <w:tcW w:w="5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56.3</w:t>
            </w:r>
          </w:p>
        </w:tc>
        <w:tc>
          <w:tcPr>
            <w:tcW w:w="120" w:type="dxa"/>
            <w:vAlign w:val="bottom"/>
            <w:shd w:val="clear" w:color="auto" w:fill="E0E3F1"/>
          </w:tcPr>
          <w:p>
            <w:pPr>
              <w:spacing w:after="0"/>
              <w:rPr>
                <w:sz w:val="17"/>
                <w:szCs w:val="17"/>
                <w:color w:val="auto"/>
              </w:rPr>
            </w:pPr>
          </w:p>
        </w:tc>
        <w:tc>
          <w:tcPr>
            <w:tcW w:w="1420" w:type="dxa"/>
            <w:vAlign w:val="bottom"/>
            <w:shd w:val="clear" w:color="auto" w:fill="E0E3F1"/>
          </w:tcPr>
          <w:p>
            <w:pPr>
              <w:jc w:val="right"/>
              <w:spacing w:after="0"/>
              <w:rPr>
                <w:sz w:val="20"/>
                <w:szCs w:val="20"/>
                <w:color w:val="auto"/>
              </w:rPr>
            </w:pPr>
            <w:r>
              <w:rPr>
                <w:rFonts w:ascii="Arial" w:cs="Arial" w:eastAsia="Arial" w:hAnsi="Arial"/>
                <w:sz w:val="14"/>
                <w:szCs w:val="14"/>
                <w:color w:val="auto"/>
              </w:rPr>
              <w:t>(9.7)</w:t>
            </w:r>
          </w:p>
        </w:tc>
        <w:tc>
          <w:tcPr>
            <w:tcW w:w="5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7.8</w:t>
            </w:r>
          </w:p>
        </w:tc>
      </w:tr>
      <w:tr>
        <w:trPr>
          <w:trHeight w:val="203"/>
        </w:trPr>
        <w:tc>
          <w:tcPr>
            <w:tcW w:w="5060" w:type="dxa"/>
            <w:vAlign w:val="bottom"/>
          </w:tcPr>
          <w:p>
            <w:pPr>
              <w:ind w:left="680"/>
              <w:spacing w:after="0"/>
              <w:rPr>
                <w:sz w:val="20"/>
                <w:szCs w:val="20"/>
                <w:color w:val="auto"/>
              </w:rPr>
            </w:pPr>
            <w:r>
              <w:rPr>
                <w:rFonts w:ascii="Arial" w:cs="Arial" w:eastAsia="Arial" w:hAnsi="Arial"/>
                <w:sz w:val="14"/>
                <w:szCs w:val="14"/>
                <w:color w:val="auto"/>
              </w:rPr>
              <w:t>Benefits paid</w:t>
            </w:r>
          </w:p>
        </w:tc>
        <w:tc>
          <w:tcPr>
            <w:tcW w:w="100" w:type="dxa"/>
            <w:vAlign w:val="bottom"/>
            <w:shd w:val="clear" w:color="auto" w:fill="E0E3F1"/>
          </w:tcPr>
          <w:p>
            <w:pPr>
              <w:spacing w:after="0"/>
              <w:rPr>
                <w:sz w:val="17"/>
                <w:szCs w:val="17"/>
                <w:color w:val="auto"/>
              </w:rPr>
            </w:pPr>
          </w:p>
        </w:tc>
        <w:tc>
          <w:tcPr>
            <w:tcW w:w="1420" w:type="dxa"/>
            <w:vAlign w:val="bottom"/>
            <w:shd w:val="clear" w:color="auto" w:fill="E0E3F1"/>
          </w:tcPr>
          <w:p>
            <w:pPr>
              <w:jc w:val="right"/>
              <w:spacing w:after="0"/>
              <w:rPr>
                <w:sz w:val="20"/>
                <w:szCs w:val="20"/>
                <w:color w:val="auto"/>
              </w:rPr>
            </w:pPr>
            <w:r>
              <w:rPr>
                <w:rFonts w:ascii="Arial" w:cs="Arial" w:eastAsia="Arial" w:hAnsi="Arial"/>
                <w:sz w:val="14"/>
                <w:szCs w:val="14"/>
                <w:color w:val="auto"/>
              </w:rPr>
              <w:t>(46.4)</w:t>
            </w:r>
          </w:p>
        </w:tc>
        <w:tc>
          <w:tcPr>
            <w:tcW w:w="5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(45.4)</w:t>
            </w:r>
          </w:p>
        </w:tc>
        <w:tc>
          <w:tcPr>
            <w:tcW w:w="120" w:type="dxa"/>
            <w:vAlign w:val="bottom"/>
            <w:shd w:val="clear" w:color="auto" w:fill="E0E3F1"/>
          </w:tcPr>
          <w:p>
            <w:pPr>
              <w:spacing w:after="0"/>
              <w:rPr>
                <w:sz w:val="17"/>
                <w:szCs w:val="17"/>
                <w:color w:val="auto"/>
              </w:rPr>
            </w:pPr>
          </w:p>
        </w:tc>
        <w:tc>
          <w:tcPr>
            <w:tcW w:w="1420" w:type="dxa"/>
            <w:vAlign w:val="bottom"/>
            <w:shd w:val="clear" w:color="auto" w:fill="E0E3F1"/>
          </w:tcPr>
          <w:p>
            <w:pPr>
              <w:jc w:val="right"/>
              <w:spacing w:after="0"/>
              <w:rPr>
                <w:sz w:val="20"/>
                <w:szCs w:val="20"/>
                <w:color w:val="auto"/>
              </w:rPr>
            </w:pPr>
            <w:r>
              <w:rPr>
                <w:rFonts w:ascii="Arial" w:cs="Arial" w:eastAsia="Arial" w:hAnsi="Arial"/>
                <w:sz w:val="14"/>
                <w:szCs w:val="14"/>
                <w:color w:val="auto"/>
              </w:rPr>
              <w:t>(14.2)</w:t>
            </w:r>
          </w:p>
        </w:tc>
        <w:tc>
          <w:tcPr>
            <w:tcW w:w="5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(13.5)</w:t>
            </w:r>
          </w:p>
        </w:tc>
      </w:tr>
      <w:tr>
        <w:trPr>
          <w:trHeight w:val="207"/>
        </w:trPr>
        <w:tc>
          <w:tcPr>
            <w:tcW w:w="5060" w:type="dxa"/>
            <w:vAlign w:val="bottom"/>
            <w:tcBorders>
              <w:bottom w:val="single" w:sz="8" w:color="00539B"/>
            </w:tcBorders>
          </w:tcPr>
          <w:p>
            <w:pPr>
              <w:ind w:left="680"/>
              <w:spacing w:after="0"/>
              <w:rPr>
                <w:sz w:val="20"/>
                <w:szCs w:val="20"/>
                <w:color w:val="auto"/>
              </w:rPr>
            </w:pPr>
            <w:r>
              <w:rPr>
                <w:rFonts w:ascii="Arial" w:cs="Arial" w:eastAsia="Arial" w:hAnsi="Arial"/>
                <w:sz w:val="14"/>
                <w:szCs w:val="14"/>
                <w:color w:val="auto"/>
              </w:rPr>
              <w:t>Foreign currency impact</w:t>
            </w:r>
          </w:p>
        </w:tc>
        <w:tc>
          <w:tcPr>
            <w:tcW w:w="100" w:type="dxa"/>
            <w:vAlign w:val="bottom"/>
            <w:tcBorders>
              <w:bottom w:val="single" w:sz="8" w:color="00539B"/>
            </w:tcBorders>
            <w:shd w:val="clear" w:color="auto" w:fill="E0E3F1"/>
          </w:tcPr>
          <w:p>
            <w:pPr>
              <w:spacing w:after="0"/>
              <w:rPr>
                <w:sz w:val="17"/>
                <w:szCs w:val="17"/>
                <w:color w:val="auto"/>
              </w:rPr>
            </w:pPr>
          </w:p>
        </w:tc>
        <w:tc>
          <w:tcPr>
            <w:tcW w:w="142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00539B"/>
            </w:tcBorders>
          </w:tcPr>
          <w:p>
            <w:pPr>
              <w:spacing w:after="0"/>
              <w:rPr>
                <w:sz w:val="17"/>
                <w:szCs w:val="17"/>
                <w:color w:val="auto"/>
              </w:rPr>
            </w:pPr>
          </w:p>
        </w:tc>
        <w:tc>
          <w:tcPr>
            <w:tcW w:w="100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00539B"/>
            </w:tcBorders>
            <w:shd w:val="clear" w:color="auto" w:fill="E0E3F1"/>
          </w:tcPr>
          <w:p>
            <w:pPr>
              <w:spacing w:after="0"/>
              <w:rPr>
                <w:sz w:val="17"/>
                <w:szCs w:val="17"/>
                <w:color w:val="auto"/>
              </w:rPr>
            </w:pPr>
          </w:p>
        </w:tc>
        <w:tc>
          <w:tcPr>
            <w:tcW w:w="1420" w:type="dxa"/>
            <w:vAlign w:val="bottom"/>
            <w:tcBorders>
              <w:bottom w:val="single" w:sz="8" w:color="00539B"/>
            </w:tcBorders>
            <w:shd w:val="clear" w:color="auto" w:fill="E0E3F1"/>
          </w:tcPr>
          <w:p>
            <w:pPr>
              <w:jc w:val="right"/>
              <w:ind w:right="8"/>
              <w:spacing w:after="0"/>
              <w:rPr>
                <w:sz w:val="20"/>
                <w:szCs w:val="20"/>
                <w:color w:val="auto"/>
              </w:rPr>
            </w:pPr>
            <w:r>
              <w:rPr>
                <w:rFonts w:ascii="Arial" w:cs="Arial" w:eastAsia="Arial" w:hAnsi="Arial"/>
                <w:sz w:val="14"/>
                <w:szCs w:val="14"/>
                <w:color w:val="auto"/>
              </w:rPr>
              <w:t>7.2</w:t>
            </w:r>
          </w:p>
        </w:tc>
        <w:tc>
          <w:tcPr>
            <w:tcW w:w="520" w:type="dxa"/>
            <w:vAlign w:val="bottom"/>
            <w:tcBorders>
              <w:bottom w:val="single" w:sz="8" w:color="00539B"/>
            </w:tcBorders>
          </w:tcPr>
          <w:p>
            <w:pPr>
              <w:spacing w:after="0"/>
              <w:rPr>
                <w:sz w:val="17"/>
                <w:szCs w:val="17"/>
                <w:color w:val="auto"/>
              </w:rPr>
            </w:pPr>
          </w:p>
        </w:tc>
        <w:tc>
          <w:tcPr>
            <w:tcW w:w="104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(2.6)</w:t>
            </w:r>
          </w:p>
        </w:tc>
      </w:tr>
      <w:tr>
        <w:trPr>
          <w:trHeight w:val="196"/>
        </w:trPr>
        <w:tc>
          <w:tcPr>
            <w:tcW w:w="506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Benefit obligation at end of year</w:t>
            </w:r>
          </w:p>
        </w:tc>
        <w:tc>
          <w:tcPr>
            <w:tcW w:w="10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673.3</w:t>
            </w:r>
          </w:p>
        </w:tc>
        <w:tc>
          <w:tcPr>
            <w:tcW w:w="520" w:type="dxa"/>
            <w:vAlign w:val="bottom"/>
            <w:tcBorders>
              <w:bottom w:val="single" w:sz="8" w:color="00539B"/>
            </w:tcBorders>
          </w:tcPr>
          <w:p>
            <w:pPr>
              <w:jc w:val="right"/>
              <w:ind w:right="3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695.0</w:t>
            </w:r>
          </w:p>
        </w:tc>
        <w:tc>
          <w:tcPr>
            <w:tcW w:w="12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00539B"/>
            </w:tcBorders>
            <w:shd w:val="clear" w:color="auto" w:fill="E0E3F1"/>
          </w:tcPr>
          <w:p>
            <w:pPr>
              <w:jc w:val="right"/>
              <w:ind w:right="8"/>
              <w:spacing w:after="0"/>
              <w:rPr>
                <w:sz w:val="20"/>
                <w:szCs w:val="20"/>
                <w:color w:val="auto"/>
              </w:rPr>
            </w:pPr>
            <w:r>
              <w:rPr>
                <w:rFonts w:ascii="Arial" w:cs="Arial" w:eastAsia="Arial" w:hAnsi="Arial"/>
                <w:sz w:val="14"/>
                <w:szCs w:val="14"/>
                <w:color w:val="auto"/>
              </w:rPr>
              <w:t>211.1</w:t>
            </w:r>
          </w:p>
        </w:tc>
        <w:tc>
          <w:tcPr>
            <w:tcW w:w="520" w:type="dxa"/>
            <w:vAlign w:val="bottom"/>
            <w:tcBorders>
              <w:bottom w:val="single" w:sz="8" w:color="00539B"/>
            </w:tcBorders>
          </w:tcPr>
          <w:p>
            <w:pPr>
              <w:jc w:val="right"/>
              <w:ind w:right="3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216.9</w:t>
            </w:r>
          </w:p>
        </w:tc>
      </w:tr>
      <w:tr>
        <w:trPr>
          <w:trHeight w:val="192"/>
        </w:trPr>
        <w:tc>
          <w:tcPr>
            <w:tcW w:w="5060" w:type="dxa"/>
            <w:vAlign w:val="bottom"/>
          </w:tcPr>
          <w:p>
            <w:pPr>
              <w:ind w:left="20"/>
              <w:spacing w:after="0"/>
              <w:rPr>
                <w:sz w:val="20"/>
                <w:szCs w:val="20"/>
                <w:color w:val="auto"/>
              </w:rPr>
            </w:pPr>
            <w:r>
              <w:rPr>
                <w:rFonts w:ascii="Arial" w:cs="Arial" w:eastAsia="Arial" w:hAnsi="Arial"/>
                <w:sz w:val="14"/>
                <w:szCs w:val="14"/>
                <w:color w:val="auto"/>
              </w:rPr>
              <w:t>Change in fair value of plan assets:</w:t>
            </w:r>
          </w:p>
        </w:tc>
        <w:tc>
          <w:tcPr>
            <w:tcW w:w="100" w:type="dxa"/>
            <w:vAlign w:val="bottom"/>
            <w:shd w:val="clear" w:color="auto" w:fill="E0E3F1"/>
          </w:tcPr>
          <w:p>
            <w:pPr>
              <w:spacing w:after="0"/>
              <w:rPr>
                <w:sz w:val="16"/>
                <w:szCs w:val="16"/>
                <w:color w:val="auto"/>
              </w:rPr>
            </w:pPr>
          </w:p>
        </w:tc>
        <w:tc>
          <w:tcPr>
            <w:tcW w:w="1420" w:type="dxa"/>
            <w:vAlign w:val="bottom"/>
            <w:shd w:val="clear" w:color="auto" w:fill="E0E3F1"/>
          </w:tcPr>
          <w:p>
            <w:pPr>
              <w:spacing w:after="0"/>
              <w:rPr>
                <w:sz w:val="16"/>
                <w:szCs w:val="16"/>
                <w:color w:val="auto"/>
              </w:rPr>
            </w:pPr>
          </w:p>
        </w:tc>
        <w:tc>
          <w:tcPr>
            <w:tcW w:w="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shd w:val="clear" w:color="auto" w:fill="E0E3F1"/>
          </w:tcPr>
          <w:p>
            <w:pPr>
              <w:spacing w:after="0"/>
              <w:rPr>
                <w:sz w:val="16"/>
                <w:szCs w:val="16"/>
                <w:color w:val="auto"/>
              </w:rPr>
            </w:pPr>
          </w:p>
        </w:tc>
        <w:tc>
          <w:tcPr>
            <w:tcW w:w="1420" w:type="dxa"/>
            <w:vAlign w:val="bottom"/>
            <w:shd w:val="clear" w:color="auto" w:fill="E0E3F1"/>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3"/>
        </w:trPr>
        <w:tc>
          <w:tcPr>
            <w:tcW w:w="5060" w:type="dxa"/>
            <w:vAlign w:val="bottom"/>
          </w:tcPr>
          <w:p>
            <w:pPr>
              <w:ind w:left="360"/>
              <w:spacing w:after="0"/>
              <w:rPr>
                <w:sz w:val="20"/>
                <w:szCs w:val="20"/>
                <w:color w:val="auto"/>
              </w:rPr>
            </w:pPr>
            <w:r>
              <w:rPr>
                <w:rFonts w:ascii="Arial" w:cs="Arial" w:eastAsia="Arial" w:hAnsi="Arial"/>
                <w:sz w:val="14"/>
                <w:szCs w:val="14"/>
                <w:color w:val="auto"/>
              </w:rPr>
              <w:t>Fair value of plan assets at beginning of year</w:t>
            </w:r>
          </w:p>
        </w:tc>
        <w:tc>
          <w:tcPr>
            <w:tcW w:w="100" w:type="dxa"/>
            <w:vAlign w:val="bottom"/>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E0E3F1"/>
          </w:tcPr>
          <w:p>
            <w:pPr>
              <w:jc w:val="right"/>
              <w:spacing w:after="0"/>
              <w:rPr>
                <w:sz w:val="20"/>
                <w:szCs w:val="20"/>
                <w:color w:val="auto"/>
              </w:rPr>
            </w:pPr>
            <w:r>
              <w:rPr>
                <w:rFonts w:ascii="Arial" w:cs="Arial" w:eastAsia="Arial" w:hAnsi="Arial"/>
                <w:sz w:val="14"/>
                <w:szCs w:val="14"/>
                <w:color w:val="auto"/>
              </w:rPr>
              <w:t>670.7</w:t>
            </w: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630.7</w:t>
            </w:r>
          </w:p>
        </w:tc>
        <w:tc>
          <w:tcPr>
            <w:tcW w:w="120" w:type="dxa"/>
            <w:vAlign w:val="bottom"/>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E0E3F1"/>
          </w:tcPr>
          <w:p>
            <w:pPr>
              <w:jc w:val="right"/>
              <w:ind w:right="8"/>
              <w:spacing w:after="0"/>
              <w:rPr>
                <w:sz w:val="20"/>
                <w:szCs w:val="20"/>
                <w:color w:val="auto"/>
              </w:rPr>
            </w:pPr>
            <w:r>
              <w:rPr>
                <w:rFonts w:ascii="Arial" w:cs="Arial" w:eastAsia="Arial" w:hAnsi="Arial"/>
                <w:sz w:val="14"/>
                <w:szCs w:val="14"/>
                <w:color w:val="auto"/>
              </w:rPr>
              <w:t>272.4</w:t>
            </w: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267.0</w:t>
            </w:r>
          </w:p>
        </w:tc>
      </w:tr>
      <w:tr>
        <w:trPr>
          <w:trHeight w:val="203"/>
        </w:trPr>
        <w:tc>
          <w:tcPr>
            <w:tcW w:w="5060" w:type="dxa"/>
            <w:vAlign w:val="bottom"/>
          </w:tcPr>
          <w:p>
            <w:pPr>
              <w:ind w:left="680"/>
              <w:spacing w:after="0"/>
              <w:rPr>
                <w:sz w:val="20"/>
                <w:szCs w:val="20"/>
                <w:color w:val="auto"/>
              </w:rPr>
            </w:pPr>
            <w:r>
              <w:rPr>
                <w:rFonts w:ascii="Arial" w:cs="Arial" w:eastAsia="Arial" w:hAnsi="Arial"/>
                <w:sz w:val="14"/>
                <w:szCs w:val="14"/>
                <w:color w:val="auto"/>
              </w:rPr>
              <w:t>Actual return on plan assets</w:t>
            </w:r>
          </w:p>
        </w:tc>
        <w:tc>
          <w:tcPr>
            <w:tcW w:w="100" w:type="dxa"/>
            <w:vAlign w:val="bottom"/>
            <w:shd w:val="clear" w:color="auto" w:fill="E0E3F1"/>
          </w:tcPr>
          <w:p>
            <w:pPr>
              <w:spacing w:after="0"/>
              <w:rPr>
                <w:sz w:val="17"/>
                <w:szCs w:val="17"/>
                <w:color w:val="auto"/>
              </w:rPr>
            </w:pPr>
          </w:p>
        </w:tc>
        <w:tc>
          <w:tcPr>
            <w:tcW w:w="1420" w:type="dxa"/>
            <w:vAlign w:val="bottom"/>
            <w:shd w:val="clear" w:color="auto" w:fill="E0E3F1"/>
          </w:tcPr>
          <w:p>
            <w:pPr>
              <w:jc w:val="right"/>
              <w:spacing w:after="0"/>
              <w:rPr>
                <w:sz w:val="20"/>
                <w:szCs w:val="20"/>
                <w:color w:val="auto"/>
              </w:rPr>
            </w:pPr>
            <w:r>
              <w:rPr>
                <w:rFonts w:ascii="Arial" w:cs="Arial" w:eastAsia="Arial" w:hAnsi="Arial"/>
                <w:sz w:val="14"/>
                <w:szCs w:val="14"/>
                <w:color w:val="auto"/>
              </w:rPr>
              <w:t>44.1</w:t>
            </w:r>
          </w:p>
        </w:tc>
        <w:tc>
          <w:tcPr>
            <w:tcW w:w="5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76.2</w:t>
            </w:r>
          </w:p>
        </w:tc>
        <w:tc>
          <w:tcPr>
            <w:tcW w:w="120" w:type="dxa"/>
            <w:vAlign w:val="bottom"/>
            <w:shd w:val="clear" w:color="auto" w:fill="E0E3F1"/>
          </w:tcPr>
          <w:p>
            <w:pPr>
              <w:spacing w:after="0"/>
              <w:rPr>
                <w:sz w:val="17"/>
                <w:szCs w:val="17"/>
                <w:color w:val="auto"/>
              </w:rPr>
            </w:pPr>
          </w:p>
        </w:tc>
        <w:tc>
          <w:tcPr>
            <w:tcW w:w="1420" w:type="dxa"/>
            <w:vAlign w:val="bottom"/>
            <w:shd w:val="clear" w:color="auto" w:fill="E0E3F1"/>
          </w:tcPr>
          <w:p>
            <w:pPr>
              <w:jc w:val="right"/>
              <w:ind w:right="8"/>
              <w:spacing w:after="0"/>
              <w:rPr>
                <w:sz w:val="20"/>
                <w:szCs w:val="20"/>
                <w:color w:val="auto"/>
              </w:rPr>
            </w:pPr>
            <w:r>
              <w:rPr>
                <w:rFonts w:ascii="Arial" w:cs="Arial" w:eastAsia="Arial" w:hAnsi="Arial"/>
                <w:sz w:val="14"/>
                <w:szCs w:val="14"/>
                <w:color w:val="auto"/>
              </w:rPr>
              <w:t>2.3</w:t>
            </w:r>
          </w:p>
        </w:tc>
        <w:tc>
          <w:tcPr>
            <w:tcW w:w="5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21.1</w:t>
            </w:r>
          </w:p>
        </w:tc>
      </w:tr>
      <w:tr>
        <w:trPr>
          <w:trHeight w:val="203"/>
        </w:trPr>
        <w:tc>
          <w:tcPr>
            <w:tcW w:w="5060" w:type="dxa"/>
            <w:vAlign w:val="bottom"/>
          </w:tcPr>
          <w:p>
            <w:pPr>
              <w:ind w:left="680"/>
              <w:spacing w:after="0"/>
              <w:rPr>
                <w:sz w:val="20"/>
                <w:szCs w:val="20"/>
                <w:color w:val="auto"/>
              </w:rPr>
            </w:pPr>
            <w:r>
              <w:rPr>
                <w:rFonts w:ascii="Arial" w:cs="Arial" w:eastAsia="Arial" w:hAnsi="Arial"/>
                <w:sz w:val="14"/>
                <w:szCs w:val="14"/>
                <w:color w:val="auto"/>
              </w:rPr>
              <w:t>Employer contributions</w:t>
            </w:r>
          </w:p>
        </w:tc>
        <w:tc>
          <w:tcPr>
            <w:tcW w:w="100" w:type="dxa"/>
            <w:vAlign w:val="bottom"/>
            <w:shd w:val="clear" w:color="auto" w:fill="E0E3F1"/>
          </w:tcPr>
          <w:p>
            <w:pPr>
              <w:spacing w:after="0"/>
              <w:rPr>
                <w:sz w:val="17"/>
                <w:szCs w:val="17"/>
                <w:color w:val="auto"/>
              </w:rPr>
            </w:pPr>
          </w:p>
        </w:tc>
        <w:tc>
          <w:tcPr>
            <w:tcW w:w="1420" w:type="dxa"/>
            <w:vAlign w:val="bottom"/>
            <w:shd w:val="clear" w:color="auto" w:fill="E0E3F1"/>
          </w:tcPr>
          <w:p>
            <w:pPr>
              <w:jc w:val="right"/>
              <w:spacing w:after="0"/>
              <w:rPr>
                <w:sz w:val="20"/>
                <w:szCs w:val="20"/>
                <w:color w:val="auto"/>
              </w:rPr>
            </w:pPr>
            <w:r>
              <w:rPr>
                <w:rFonts w:ascii="Arial" w:cs="Arial" w:eastAsia="Arial" w:hAnsi="Arial"/>
                <w:sz w:val="14"/>
                <w:szCs w:val="14"/>
                <w:color w:val="auto"/>
              </w:rPr>
              <w:t>8.3</w:t>
            </w:r>
          </w:p>
        </w:tc>
        <w:tc>
          <w:tcPr>
            <w:tcW w:w="5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9.2</w:t>
            </w:r>
          </w:p>
        </w:tc>
        <w:tc>
          <w:tcPr>
            <w:tcW w:w="120" w:type="dxa"/>
            <w:vAlign w:val="bottom"/>
            <w:shd w:val="clear" w:color="auto" w:fill="E0E3F1"/>
          </w:tcPr>
          <w:p>
            <w:pPr>
              <w:spacing w:after="0"/>
              <w:rPr>
                <w:sz w:val="17"/>
                <w:szCs w:val="17"/>
                <w:color w:val="auto"/>
              </w:rPr>
            </w:pPr>
          </w:p>
        </w:tc>
        <w:tc>
          <w:tcPr>
            <w:tcW w:w="1420" w:type="dxa"/>
            <w:vAlign w:val="bottom"/>
            <w:shd w:val="clear" w:color="auto" w:fill="E0E3F1"/>
          </w:tcPr>
          <w:p>
            <w:pPr>
              <w:jc w:val="right"/>
              <w:ind w:right="8"/>
              <w:spacing w:after="0"/>
              <w:rPr>
                <w:sz w:val="20"/>
                <w:szCs w:val="20"/>
                <w:color w:val="auto"/>
              </w:rPr>
            </w:pPr>
            <w:r>
              <w:rPr>
                <w:rFonts w:ascii="Arial" w:cs="Arial" w:eastAsia="Arial" w:hAnsi="Arial"/>
                <w:sz w:val="14"/>
                <w:szCs w:val="14"/>
                <w:color w:val="auto"/>
              </w:rPr>
              <w:t>0.9</w:t>
            </w:r>
          </w:p>
        </w:tc>
        <w:tc>
          <w:tcPr>
            <w:tcW w:w="5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0.8</w:t>
            </w:r>
          </w:p>
        </w:tc>
      </w:tr>
      <w:tr>
        <w:trPr>
          <w:trHeight w:val="203"/>
        </w:trPr>
        <w:tc>
          <w:tcPr>
            <w:tcW w:w="5060" w:type="dxa"/>
            <w:vAlign w:val="bottom"/>
          </w:tcPr>
          <w:p>
            <w:pPr>
              <w:ind w:left="680"/>
              <w:spacing w:after="0"/>
              <w:rPr>
                <w:sz w:val="20"/>
                <w:szCs w:val="20"/>
                <w:color w:val="auto"/>
              </w:rPr>
            </w:pPr>
            <w:r>
              <w:rPr>
                <w:rFonts w:ascii="Arial" w:cs="Arial" w:eastAsia="Arial" w:hAnsi="Arial"/>
                <w:sz w:val="14"/>
                <w:szCs w:val="14"/>
                <w:color w:val="auto"/>
              </w:rPr>
              <w:t>Benefits paid</w:t>
            </w:r>
          </w:p>
        </w:tc>
        <w:tc>
          <w:tcPr>
            <w:tcW w:w="100" w:type="dxa"/>
            <w:vAlign w:val="bottom"/>
            <w:shd w:val="clear" w:color="auto" w:fill="E0E3F1"/>
          </w:tcPr>
          <w:p>
            <w:pPr>
              <w:spacing w:after="0"/>
              <w:rPr>
                <w:sz w:val="17"/>
                <w:szCs w:val="17"/>
                <w:color w:val="auto"/>
              </w:rPr>
            </w:pPr>
          </w:p>
        </w:tc>
        <w:tc>
          <w:tcPr>
            <w:tcW w:w="1420" w:type="dxa"/>
            <w:vAlign w:val="bottom"/>
            <w:shd w:val="clear" w:color="auto" w:fill="E0E3F1"/>
          </w:tcPr>
          <w:p>
            <w:pPr>
              <w:jc w:val="right"/>
              <w:spacing w:after="0"/>
              <w:rPr>
                <w:sz w:val="20"/>
                <w:szCs w:val="20"/>
                <w:color w:val="auto"/>
              </w:rPr>
            </w:pPr>
            <w:r>
              <w:rPr>
                <w:rFonts w:ascii="Arial" w:cs="Arial" w:eastAsia="Arial" w:hAnsi="Arial"/>
                <w:sz w:val="14"/>
                <w:szCs w:val="14"/>
                <w:color w:val="auto"/>
              </w:rPr>
              <w:t>(46.4)</w:t>
            </w:r>
          </w:p>
        </w:tc>
        <w:tc>
          <w:tcPr>
            <w:tcW w:w="5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(45.4)</w:t>
            </w:r>
          </w:p>
        </w:tc>
        <w:tc>
          <w:tcPr>
            <w:tcW w:w="120" w:type="dxa"/>
            <w:vAlign w:val="bottom"/>
            <w:shd w:val="clear" w:color="auto" w:fill="E0E3F1"/>
          </w:tcPr>
          <w:p>
            <w:pPr>
              <w:spacing w:after="0"/>
              <w:rPr>
                <w:sz w:val="17"/>
                <w:szCs w:val="17"/>
                <w:color w:val="auto"/>
              </w:rPr>
            </w:pPr>
          </w:p>
        </w:tc>
        <w:tc>
          <w:tcPr>
            <w:tcW w:w="1420" w:type="dxa"/>
            <w:vAlign w:val="bottom"/>
            <w:shd w:val="clear" w:color="auto" w:fill="E0E3F1"/>
          </w:tcPr>
          <w:p>
            <w:pPr>
              <w:jc w:val="right"/>
              <w:spacing w:after="0"/>
              <w:rPr>
                <w:sz w:val="20"/>
                <w:szCs w:val="20"/>
                <w:color w:val="auto"/>
              </w:rPr>
            </w:pPr>
            <w:r>
              <w:rPr>
                <w:rFonts w:ascii="Arial" w:cs="Arial" w:eastAsia="Arial" w:hAnsi="Arial"/>
                <w:sz w:val="14"/>
                <w:szCs w:val="14"/>
                <w:color w:val="auto"/>
              </w:rPr>
              <w:t>(14.2)</w:t>
            </w:r>
          </w:p>
        </w:tc>
        <w:tc>
          <w:tcPr>
            <w:tcW w:w="5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(13.5)</w:t>
            </w:r>
          </w:p>
        </w:tc>
      </w:tr>
      <w:tr>
        <w:trPr>
          <w:trHeight w:val="207"/>
        </w:trPr>
        <w:tc>
          <w:tcPr>
            <w:tcW w:w="5060" w:type="dxa"/>
            <w:vAlign w:val="bottom"/>
            <w:tcBorders>
              <w:bottom w:val="single" w:sz="8" w:color="00539B"/>
            </w:tcBorders>
          </w:tcPr>
          <w:p>
            <w:pPr>
              <w:ind w:left="680"/>
              <w:spacing w:after="0"/>
              <w:rPr>
                <w:sz w:val="20"/>
                <w:szCs w:val="20"/>
                <w:color w:val="auto"/>
              </w:rPr>
            </w:pPr>
            <w:r>
              <w:rPr>
                <w:rFonts w:ascii="Arial" w:cs="Arial" w:eastAsia="Arial" w:hAnsi="Arial"/>
                <w:sz w:val="14"/>
                <w:szCs w:val="14"/>
                <w:color w:val="auto"/>
              </w:rPr>
              <w:t>Foreign currency impact</w:t>
            </w:r>
          </w:p>
        </w:tc>
        <w:tc>
          <w:tcPr>
            <w:tcW w:w="100" w:type="dxa"/>
            <w:vAlign w:val="bottom"/>
            <w:tcBorders>
              <w:bottom w:val="single" w:sz="8" w:color="00539B"/>
            </w:tcBorders>
            <w:shd w:val="clear" w:color="auto" w:fill="E0E3F1"/>
          </w:tcPr>
          <w:p>
            <w:pPr>
              <w:spacing w:after="0"/>
              <w:rPr>
                <w:sz w:val="17"/>
                <w:szCs w:val="17"/>
                <w:color w:val="auto"/>
              </w:rPr>
            </w:pPr>
          </w:p>
        </w:tc>
        <w:tc>
          <w:tcPr>
            <w:tcW w:w="142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00539B"/>
            </w:tcBorders>
          </w:tcPr>
          <w:p>
            <w:pPr>
              <w:spacing w:after="0"/>
              <w:rPr>
                <w:sz w:val="17"/>
                <w:szCs w:val="17"/>
                <w:color w:val="auto"/>
              </w:rPr>
            </w:pPr>
          </w:p>
        </w:tc>
        <w:tc>
          <w:tcPr>
            <w:tcW w:w="100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00539B"/>
            </w:tcBorders>
            <w:shd w:val="clear" w:color="auto" w:fill="E0E3F1"/>
          </w:tcPr>
          <w:p>
            <w:pPr>
              <w:spacing w:after="0"/>
              <w:rPr>
                <w:sz w:val="17"/>
                <w:szCs w:val="17"/>
                <w:color w:val="auto"/>
              </w:rPr>
            </w:pPr>
          </w:p>
        </w:tc>
        <w:tc>
          <w:tcPr>
            <w:tcW w:w="1420" w:type="dxa"/>
            <w:vAlign w:val="bottom"/>
            <w:tcBorders>
              <w:bottom w:val="single" w:sz="8" w:color="00539B"/>
            </w:tcBorders>
            <w:shd w:val="clear" w:color="auto" w:fill="E0E3F1"/>
          </w:tcPr>
          <w:p>
            <w:pPr>
              <w:jc w:val="right"/>
              <w:ind w:right="8"/>
              <w:spacing w:after="0"/>
              <w:rPr>
                <w:sz w:val="20"/>
                <w:szCs w:val="20"/>
                <w:color w:val="auto"/>
              </w:rPr>
            </w:pPr>
            <w:r>
              <w:rPr>
                <w:rFonts w:ascii="Arial" w:cs="Arial" w:eastAsia="Arial" w:hAnsi="Arial"/>
                <w:sz w:val="14"/>
                <w:szCs w:val="14"/>
                <w:color w:val="auto"/>
              </w:rPr>
              <w:t>8.0</w:t>
            </w:r>
          </w:p>
        </w:tc>
        <w:tc>
          <w:tcPr>
            <w:tcW w:w="520" w:type="dxa"/>
            <w:vAlign w:val="bottom"/>
            <w:tcBorders>
              <w:bottom w:val="single" w:sz="8" w:color="00539B"/>
            </w:tcBorders>
          </w:tcPr>
          <w:p>
            <w:pPr>
              <w:spacing w:after="0"/>
              <w:rPr>
                <w:sz w:val="17"/>
                <w:szCs w:val="17"/>
                <w:color w:val="auto"/>
              </w:rPr>
            </w:pPr>
          </w:p>
        </w:tc>
        <w:tc>
          <w:tcPr>
            <w:tcW w:w="104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(3.0)</w:t>
            </w:r>
          </w:p>
        </w:tc>
      </w:tr>
      <w:tr>
        <w:trPr>
          <w:trHeight w:val="196"/>
        </w:trPr>
        <w:tc>
          <w:tcPr>
            <w:tcW w:w="506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Fair value of plan assets at end of year</w:t>
            </w:r>
          </w:p>
        </w:tc>
        <w:tc>
          <w:tcPr>
            <w:tcW w:w="10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676.7</w:t>
            </w:r>
          </w:p>
        </w:tc>
        <w:tc>
          <w:tcPr>
            <w:tcW w:w="520" w:type="dxa"/>
            <w:vAlign w:val="bottom"/>
            <w:tcBorders>
              <w:bottom w:val="single" w:sz="8" w:color="00539B"/>
            </w:tcBorders>
          </w:tcPr>
          <w:p>
            <w:pPr>
              <w:jc w:val="right"/>
              <w:ind w:right="3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670.7</w:t>
            </w:r>
          </w:p>
        </w:tc>
        <w:tc>
          <w:tcPr>
            <w:tcW w:w="12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00539B"/>
            </w:tcBorders>
            <w:shd w:val="clear" w:color="auto" w:fill="E0E3F1"/>
          </w:tcPr>
          <w:p>
            <w:pPr>
              <w:jc w:val="right"/>
              <w:ind w:right="8"/>
              <w:spacing w:after="0"/>
              <w:rPr>
                <w:sz w:val="20"/>
                <w:szCs w:val="20"/>
                <w:color w:val="auto"/>
              </w:rPr>
            </w:pPr>
            <w:r>
              <w:rPr>
                <w:rFonts w:ascii="Arial" w:cs="Arial" w:eastAsia="Arial" w:hAnsi="Arial"/>
                <w:sz w:val="14"/>
                <w:szCs w:val="14"/>
                <w:color w:val="auto"/>
              </w:rPr>
              <w:t>269.4</w:t>
            </w:r>
          </w:p>
        </w:tc>
        <w:tc>
          <w:tcPr>
            <w:tcW w:w="520" w:type="dxa"/>
            <w:vAlign w:val="bottom"/>
            <w:tcBorders>
              <w:bottom w:val="single" w:sz="8" w:color="00539B"/>
            </w:tcBorders>
          </w:tcPr>
          <w:p>
            <w:pPr>
              <w:jc w:val="right"/>
              <w:ind w:right="3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272.4</w:t>
            </w:r>
          </w:p>
        </w:tc>
      </w:tr>
      <w:tr>
        <w:trPr>
          <w:trHeight w:val="207"/>
        </w:trPr>
        <w:tc>
          <w:tcPr>
            <w:tcW w:w="506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Funded status</w:t>
            </w:r>
          </w:p>
        </w:tc>
        <w:tc>
          <w:tcPr>
            <w:tcW w:w="10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3.4</w:t>
            </w:r>
          </w:p>
        </w:tc>
        <w:tc>
          <w:tcPr>
            <w:tcW w:w="520" w:type="dxa"/>
            <w:vAlign w:val="bottom"/>
            <w:tcBorders>
              <w:bottom w:val="single" w:sz="8" w:color="00539B"/>
            </w:tcBorders>
          </w:tcPr>
          <w:p>
            <w:pPr>
              <w:jc w:val="right"/>
              <w:ind w:right="3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(24.3)</w:t>
            </w:r>
          </w:p>
        </w:tc>
        <w:tc>
          <w:tcPr>
            <w:tcW w:w="12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00539B"/>
            </w:tcBorders>
            <w:shd w:val="clear" w:color="auto" w:fill="E0E3F1"/>
          </w:tcPr>
          <w:p>
            <w:pPr>
              <w:jc w:val="right"/>
              <w:ind w:right="8"/>
              <w:spacing w:after="0"/>
              <w:rPr>
                <w:sz w:val="20"/>
                <w:szCs w:val="20"/>
                <w:color w:val="auto"/>
              </w:rPr>
            </w:pPr>
            <w:r>
              <w:rPr>
                <w:rFonts w:ascii="Arial" w:cs="Arial" w:eastAsia="Arial" w:hAnsi="Arial"/>
                <w:sz w:val="14"/>
                <w:szCs w:val="14"/>
                <w:color w:val="auto"/>
              </w:rPr>
              <w:t>58.3</w:t>
            </w:r>
          </w:p>
        </w:tc>
        <w:tc>
          <w:tcPr>
            <w:tcW w:w="520" w:type="dxa"/>
            <w:vAlign w:val="bottom"/>
            <w:tcBorders>
              <w:bottom w:val="single" w:sz="8" w:color="00539B"/>
            </w:tcBorders>
          </w:tcPr>
          <w:p>
            <w:pPr>
              <w:jc w:val="right"/>
              <w:ind w:right="3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55.5</w:t>
            </w:r>
          </w:p>
        </w:tc>
      </w:tr>
      <w:tr>
        <w:trPr>
          <w:trHeight w:val="194"/>
        </w:trPr>
        <w:tc>
          <w:tcPr>
            <w:tcW w:w="5060" w:type="dxa"/>
            <w:vAlign w:val="bottom"/>
          </w:tcPr>
          <w:p>
            <w:pPr>
              <w:ind w:left="20"/>
              <w:spacing w:after="0"/>
              <w:rPr>
                <w:sz w:val="20"/>
                <w:szCs w:val="20"/>
                <w:color w:val="auto"/>
              </w:rPr>
            </w:pPr>
            <w:r>
              <w:rPr>
                <w:rFonts w:ascii="Arial" w:cs="Arial" w:eastAsia="Arial" w:hAnsi="Arial"/>
                <w:sz w:val="14"/>
                <w:szCs w:val="14"/>
                <w:color w:val="auto"/>
              </w:rPr>
              <w:t>Pension plans in which accumulated benefit obligation exceeded plan assets</w:t>
            </w:r>
          </w:p>
        </w:tc>
        <w:tc>
          <w:tcPr>
            <w:tcW w:w="100" w:type="dxa"/>
            <w:vAlign w:val="bottom"/>
            <w:shd w:val="clear" w:color="auto" w:fill="E0E3F1"/>
          </w:tcPr>
          <w:p>
            <w:pPr>
              <w:spacing w:after="0"/>
              <w:rPr>
                <w:sz w:val="16"/>
                <w:szCs w:val="16"/>
                <w:color w:val="auto"/>
              </w:rPr>
            </w:pPr>
          </w:p>
        </w:tc>
        <w:tc>
          <w:tcPr>
            <w:tcW w:w="1420" w:type="dxa"/>
            <w:vAlign w:val="bottom"/>
            <w:shd w:val="clear" w:color="auto" w:fill="E0E3F1"/>
          </w:tcPr>
          <w:p>
            <w:pPr>
              <w:spacing w:after="0"/>
              <w:rPr>
                <w:sz w:val="16"/>
                <w:szCs w:val="16"/>
                <w:color w:val="auto"/>
              </w:rPr>
            </w:pPr>
          </w:p>
        </w:tc>
        <w:tc>
          <w:tcPr>
            <w:tcW w:w="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shd w:val="clear" w:color="auto" w:fill="E0E3F1"/>
          </w:tcPr>
          <w:p>
            <w:pPr>
              <w:spacing w:after="0"/>
              <w:rPr>
                <w:sz w:val="16"/>
                <w:szCs w:val="16"/>
                <w:color w:val="auto"/>
              </w:rPr>
            </w:pPr>
          </w:p>
        </w:tc>
        <w:tc>
          <w:tcPr>
            <w:tcW w:w="1420" w:type="dxa"/>
            <w:vAlign w:val="bottom"/>
            <w:shd w:val="clear" w:color="auto" w:fill="E0E3F1"/>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3"/>
        </w:trPr>
        <w:tc>
          <w:tcPr>
            <w:tcW w:w="5060" w:type="dxa"/>
            <w:vAlign w:val="bottom"/>
          </w:tcPr>
          <w:p>
            <w:pPr>
              <w:ind w:left="680"/>
              <w:spacing w:after="0"/>
              <w:rPr>
                <w:sz w:val="20"/>
                <w:szCs w:val="20"/>
                <w:color w:val="auto"/>
              </w:rPr>
            </w:pPr>
            <w:r>
              <w:rPr>
                <w:rFonts w:ascii="Arial" w:cs="Arial" w:eastAsia="Arial" w:hAnsi="Arial"/>
                <w:sz w:val="14"/>
                <w:szCs w:val="14"/>
                <w:color w:val="auto"/>
              </w:rPr>
              <w:t>Projected benefit obligation</w:t>
            </w:r>
          </w:p>
        </w:tc>
        <w:tc>
          <w:tcPr>
            <w:tcW w:w="100" w:type="dxa"/>
            <w:vAlign w:val="bottom"/>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E0E3F1"/>
          </w:tcPr>
          <w:p>
            <w:pPr>
              <w:jc w:val="right"/>
              <w:spacing w:after="0"/>
              <w:rPr>
                <w:sz w:val="20"/>
                <w:szCs w:val="20"/>
                <w:color w:val="auto"/>
              </w:rPr>
            </w:pPr>
            <w:r>
              <w:rPr>
                <w:rFonts w:ascii="Arial" w:cs="Arial" w:eastAsia="Arial" w:hAnsi="Arial"/>
                <w:sz w:val="14"/>
                <w:szCs w:val="14"/>
                <w:color w:val="auto"/>
              </w:rPr>
              <w:t>72.3</w:t>
            </w: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116.3</w:t>
            </w:r>
          </w:p>
        </w:tc>
        <w:tc>
          <w:tcPr>
            <w:tcW w:w="120" w:type="dxa"/>
            <w:vAlign w:val="bottom"/>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E0E3F1"/>
          </w:tcPr>
          <w:p>
            <w:pPr>
              <w:jc w:val="right"/>
              <w:ind w:right="8"/>
              <w:spacing w:after="0"/>
              <w:rPr>
                <w:sz w:val="20"/>
                <w:szCs w:val="20"/>
                <w:color w:val="auto"/>
              </w:rPr>
            </w:pPr>
            <w:r>
              <w:rPr>
                <w:rFonts w:ascii="Arial" w:cs="Arial" w:eastAsia="Arial" w:hAnsi="Arial"/>
                <w:sz w:val="14"/>
                <w:szCs w:val="14"/>
                <w:color w:val="auto"/>
              </w:rPr>
              <w:t>15.2</w:t>
            </w: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14.7</w:t>
            </w:r>
          </w:p>
        </w:tc>
      </w:tr>
      <w:tr>
        <w:trPr>
          <w:trHeight w:val="203"/>
        </w:trPr>
        <w:tc>
          <w:tcPr>
            <w:tcW w:w="5060" w:type="dxa"/>
            <w:vAlign w:val="bottom"/>
          </w:tcPr>
          <w:p>
            <w:pPr>
              <w:ind w:left="680"/>
              <w:spacing w:after="0"/>
              <w:rPr>
                <w:sz w:val="20"/>
                <w:szCs w:val="20"/>
                <w:color w:val="auto"/>
              </w:rPr>
            </w:pPr>
            <w:r>
              <w:rPr>
                <w:rFonts w:ascii="Arial" w:cs="Arial" w:eastAsia="Arial" w:hAnsi="Arial"/>
                <w:sz w:val="14"/>
                <w:szCs w:val="14"/>
                <w:color w:val="auto"/>
              </w:rPr>
              <w:t>Accumulated benefit obligation</w:t>
            </w:r>
          </w:p>
        </w:tc>
        <w:tc>
          <w:tcPr>
            <w:tcW w:w="100" w:type="dxa"/>
            <w:vAlign w:val="bottom"/>
            <w:shd w:val="clear" w:color="auto" w:fill="E0E3F1"/>
          </w:tcPr>
          <w:p>
            <w:pPr>
              <w:spacing w:after="0"/>
              <w:rPr>
                <w:sz w:val="17"/>
                <w:szCs w:val="17"/>
                <w:color w:val="auto"/>
              </w:rPr>
            </w:pPr>
          </w:p>
        </w:tc>
        <w:tc>
          <w:tcPr>
            <w:tcW w:w="1420" w:type="dxa"/>
            <w:vAlign w:val="bottom"/>
            <w:shd w:val="clear" w:color="auto" w:fill="E0E3F1"/>
          </w:tcPr>
          <w:p>
            <w:pPr>
              <w:jc w:val="right"/>
              <w:spacing w:after="0"/>
              <w:rPr>
                <w:sz w:val="20"/>
                <w:szCs w:val="20"/>
                <w:color w:val="auto"/>
              </w:rPr>
            </w:pPr>
            <w:r>
              <w:rPr>
                <w:rFonts w:ascii="Arial" w:cs="Arial" w:eastAsia="Arial" w:hAnsi="Arial"/>
                <w:sz w:val="14"/>
                <w:szCs w:val="14"/>
                <w:color w:val="auto"/>
              </w:rPr>
              <w:t>72.3</w:t>
            </w:r>
          </w:p>
        </w:tc>
        <w:tc>
          <w:tcPr>
            <w:tcW w:w="5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113.3</w:t>
            </w:r>
          </w:p>
        </w:tc>
        <w:tc>
          <w:tcPr>
            <w:tcW w:w="120" w:type="dxa"/>
            <w:vAlign w:val="bottom"/>
            <w:shd w:val="clear" w:color="auto" w:fill="E0E3F1"/>
          </w:tcPr>
          <w:p>
            <w:pPr>
              <w:spacing w:after="0"/>
              <w:rPr>
                <w:sz w:val="17"/>
                <w:szCs w:val="17"/>
                <w:color w:val="auto"/>
              </w:rPr>
            </w:pPr>
          </w:p>
        </w:tc>
        <w:tc>
          <w:tcPr>
            <w:tcW w:w="1420" w:type="dxa"/>
            <w:vAlign w:val="bottom"/>
            <w:shd w:val="clear" w:color="auto" w:fill="E0E3F1"/>
          </w:tcPr>
          <w:p>
            <w:pPr>
              <w:jc w:val="right"/>
              <w:ind w:right="8"/>
              <w:spacing w:after="0"/>
              <w:rPr>
                <w:sz w:val="20"/>
                <w:szCs w:val="20"/>
                <w:color w:val="auto"/>
              </w:rPr>
            </w:pPr>
            <w:r>
              <w:rPr>
                <w:rFonts w:ascii="Arial" w:cs="Arial" w:eastAsia="Arial" w:hAnsi="Arial"/>
                <w:sz w:val="14"/>
                <w:szCs w:val="14"/>
                <w:color w:val="auto"/>
              </w:rPr>
              <w:t>12.7</w:t>
            </w:r>
          </w:p>
        </w:tc>
        <w:tc>
          <w:tcPr>
            <w:tcW w:w="5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12.3</w:t>
            </w:r>
          </w:p>
        </w:tc>
      </w:tr>
      <w:tr>
        <w:trPr>
          <w:trHeight w:val="218"/>
        </w:trPr>
        <w:tc>
          <w:tcPr>
            <w:tcW w:w="5060" w:type="dxa"/>
            <w:vAlign w:val="bottom"/>
            <w:tcBorders>
              <w:bottom w:val="single" w:sz="8" w:color="00539B"/>
            </w:tcBorders>
          </w:tcPr>
          <w:p>
            <w:pPr>
              <w:ind w:left="680"/>
              <w:spacing w:after="0"/>
              <w:rPr>
                <w:sz w:val="20"/>
                <w:szCs w:val="20"/>
                <w:color w:val="auto"/>
              </w:rPr>
            </w:pPr>
            <w:r>
              <w:rPr>
                <w:rFonts w:ascii="Arial" w:cs="Arial" w:eastAsia="Arial" w:hAnsi="Arial"/>
                <w:sz w:val="14"/>
                <w:szCs w:val="14"/>
                <w:color w:val="auto"/>
              </w:rPr>
              <w:t>Fair value of plan assets</w:t>
            </w:r>
          </w:p>
        </w:tc>
        <w:tc>
          <w:tcPr>
            <w:tcW w:w="100" w:type="dxa"/>
            <w:vAlign w:val="bottom"/>
            <w:tcBorders>
              <w:bottom w:val="single" w:sz="8" w:color="00539B"/>
            </w:tcBorders>
            <w:shd w:val="clear" w:color="auto" w:fill="E0E3F1"/>
          </w:tcPr>
          <w:p>
            <w:pPr>
              <w:spacing w:after="0"/>
              <w:rPr>
                <w:sz w:val="18"/>
                <w:szCs w:val="18"/>
                <w:color w:val="auto"/>
              </w:rPr>
            </w:pPr>
          </w:p>
        </w:tc>
        <w:tc>
          <w:tcPr>
            <w:tcW w:w="142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00539B"/>
            </w:tcBorders>
          </w:tcPr>
          <w:p>
            <w:pPr>
              <w:spacing w:after="0"/>
              <w:rPr>
                <w:sz w:val="18"/>
                <w:szCs w:val="18"/>
                <w:color w:val="auto"/>
              </w:rPr>
            </w:pPr>
          </w:p>
        </w:tc>
        <w:tc>
          <w:tcPr>
            <w:tcW w:w="100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38.0</w:t>
            </w:r>
          </w:p>
        </w:tc>
        <w:tc>
          <w:tcPr>
            <w:tcW w:w="120" w:type="dxa"/>
            <w:vAlign w:val="bottom"/>
            <w:tcBorders>
              <w:bottom w:val="single" w:sz="8" w:color="00539B"/>
            </w:tcBorders>
            <w:shd w:val="clear" w:color="auto" w:fill="E0E3F1"/>
          </w:tcPr>
          <w:p>
            <w:pPr>
              <w:spacing w:after="0"/>
              <w:rPr>
                <w:sz w:val="18"/>
                <w:szCs w:val="18"/>
                <w:color w:val="auto"/>
              </w:rPr>
            </w:pPr>
          </w:p>
        </w:tc>
        <w:tc>
          <w:tcPr>
            <w:tcW w:w="1420" w:type="dxa"/>
            <w:vAlign w:val="bottom"/>
            <w:tcBorders>
              <w:bottom w:val="single" w:sz="8" w:color="00539B"/>
            </w:tcBorders>
            <w:shd w:val="clear" w:color="auto" w:fill="E0E3F1"/>
          </w:tcPr>
          <w:p>
            <w:pPr>
              <w:jc w:val="right"/>
              <w:ind w:right="8"/>
              <w:spacing w:after="0"/>
              <w:rPr>
                <w:sz w:val="20"/>
                <w:szCs w:val="20"/>
                <w:color w:val="auto"/>
              </w:rPr>
            </w:pPr>
            <w:r>
              <w:rPr>
                <w:rFonts w:ascii="Arial" w:cs="Arial" w:eastAsia="Arial" w:hAnsi="Arial"/>
                <w:sz w:val="14"/>
                <w:szCs w:val="14"/>
                <w:color w:val="auto"/>
              </w:rPr>
              <w:t>1.9</w:t>
            </w:r>
          </w:p>
        </w:tc>
        <w:tc>
          <w:tcPr>
            <w:tcW w:w="520" w:type="dxa"/>
            <w:vAlign w:val="bottom"/>
            <w:tcBorders>
              <w:bottom w:val="single" w:sz="8" w:color="00539B"/>
            </w:tcBorders>
          </w:tcPr>
          <w:p>
            <w:pPr>
              <w:spacing w:after="0"/>
              <w:rPr>
                <w:sz w:val="18"/>
                <w:szCs w:val="18"/>
                <w:color w:val="auto"/>
              </w:rPr>
            </w:pPr>
          </w:p>
        </w:tc>
        <w:tc>
          <w:tcPr>
            <w:tcW w:w="104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1.8</w:t>
            </w:r>
          </w:p>
        </w:tc>
      </w:tr>
    </w:tbl>
    <w:p>
      <w:pPr>
        <w:spacing w:after="0" w:line="238" w:lineRule="exact"/>
        <w:rPr>
          <w:sz w:val="20"/>
          <w:szCs w:val="20"/>
          <w:color w:val="auto"/>
        </w:rPr>
      </w:pPr>
    </w:p>
    <w:p>
      <w:pPr>
        <w:ind w:right="400"/>
        <w:spacing w:after="0" w:line="257" w:lineRule="auto"/>
        <w:rPr>
          <w:sz w:val="20"/>
          <w:szCs w:val="20"/>
          <w:color w:val="auto"/>
        </w:rPr>
      </w:pPr>
      <w:r>
        <w:rPr>
          <w:rFonts w:ascii="Arial" w:cs="Arial" w:eastAsia="Arial" w:hAnsi="Arial"/>
          <w:sz w:val="18"/>
          <w:szCs w:val="18"/>
          <w:color w:val="auto"/>
        </w:rPr>
        <w:t>The accumulated benefit obligation is the present value of pension benefits (whether vested or unvested) attributed to employee service rendered before the measurement date and based on employee service and compensation prior to that date. The accumulated benefit obligation differs from the projected benefit obligation in that it includes no assumption about future compensation or service levels. The accumulated benefit obligation for the U.S. pension plans was $670.0 million and $ 692.0 million as of November 30, 2025 and 2024, respectively. The accumulated benefit obligation for the international pension plans was $208.6 million and $214.5 million as of November 30, 2025 and 2024, respectively.</w:t>
      </w:r>
    </w:p>
    <w:p>
      <w:pPr>
        <w:spacing w:after="0" w:line="12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Included in the U.S. in the preceding table is a benefit obligation of $72.3 million and $75.1 million for 2025 and 2024, respectively, related to our Supplemental Executive Retirement Plan (SERP). The assets related to this plan, which totaled $69.5 million and $73.1 million as of November 30, 2025 and 2024, respectively, are held in a rabbi trust and accordingly have not been included in the preceding table.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Amounts recorded in the balance sheet for all defined benefit pension plans as of November 30 consist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0628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40" w:type="dxa"/>
            <w:vAlign w:val="bottom"/>
            <w:gridSpan w:val="2"/>
          </w:tcPr>
          <w:p>
            <w:pPr>
              <w:jc w:val="right"/>
              <w:ind w:right="588"/>
              <w:spacing w:after="0"/>
              <w:rPr>
                <w:sz w:val="20"/>
                <w:szCs w:val="20"/>
                <w:color w:val="auto"/>
              </w:rPr>
            </w:pPr>
            <w:r>
              <w:rPr>
                <w:rFonts w:ascii="Arial" w:cs="Arial" w:eastAsia="Arial" w:hAnsi="Arial"/>
                <w:sz w:val="14"/>
                <w:szCs w:val="14"/>
                <w:color w:val="auto"/>
              </w:rPr>
              <w:t>United States</w:t>
            </w:r>
          </w:p>
        </w:tc>
        <w:tc>
          <w:tcPr>
            <w:tcW w:w="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40" w:type="dxa"/>
            <w:vAlign w:val="bottom"/>
            <w:gridSpan w:val="2"/>
          </w:tcPr>
          <w:p>
            <w:pPr>
              <w:jc w:val="right"/>
              <w:ind w:right="88"/>
              <w:spacing w:after="0"/>
              <w:rPr>
                <w:sz w:val="20"/>
                <w:szCs w:val="20"/>
                <w:color w:val="auto"/>
              </w:rPr>
            </w:pPr>
            <w:r>
              <w:rPr>
                <w:rFonts w:ascii="Arial" w:cs="Arial" w:eastAsia="Arial" w:hAnsi="Arial"/>
                <w:sz w:val="14"/>
                <w:szCs w:val="14"/>
                <w:color w:val="auto"/>
              </w:rPr>
              <w:t>International</w:t>
            </w:r>
          </w:p>
        </w:tc>
        <w:tc>
          <w:tcPr>
            <w:tcW w:w="1140" w:type="dxa"/>
            <w:vAlign w:val="bottom"/>
          </w:tcPr>
          <w:p>
            <w:pPr>
              <w:spacing w:after="0"/>
              <w:rPr>
                <w:sz w:val="16"/>
                <w:szCs w:val="16"/>
                <w:color w:val="auto"/>
              </w:rPr>
            </w:pPr>
          </w:p>
        </w:tc>
      </w:tr>
      <w:tr>
        <w:trPr>
          <w:trHeight w:val="35"/>
        </w:trPr>
        <w:tc>
          <w:tcPr>
            <w:tcW w:w="4780" w:type="dxa"/>
            <w:vAlign w:val="bottom"/>
            <w:tcBorders>
              <w:bottom w:val="single" w:sz="8" w:color="00539B"/>
            </w:tcBorders>
          </w:tcPr>
          <w:p>
            <w:pPr>
              <w:spacing w:after="0"/>
              <w:rPr>
                <w:sz w:val="3"/>
                <w:szCs w:val="3"/>
                <w:color w:val="auto"/>
              </w:rPr>
            </w:pPr>
          </w:p>
        </w:tc>
        <w:tc>
          <w:tcPr>
            <w:tcW w:w="1060" w:type="dxa"/>
            <w:vAlign w:val="bottom"/>
            <w:tcBorders>
              <w:bottom w:val="single" w:sz="8" w:color="00539B"/>
            </w:tcBorders>
          </w:tcPr>
          <w:p>
            <w:pPr>
              <w:spacing w:after="0"/>
              <w:rPr>
                <w:sz w:val="3"/>
                <w:szCs w:val="3"/>
                <w:color w:val="auto"/>
              </w:rPr>
            </w:pPr>
          </w:p>
        </w:tc>
        <w:tc>
          <w:tcPr>
            <w:tcW w:w="540" w:type="dxa"/>
            <w:vAlign w:val="bottom"/>
            <w:tcBorders>
              <w:bottom w:val="single" w:sz="8" w:color="00539B"/>
            </w:tcBorders>
          </w:tcPr>
          <w:p>
            <w:pPr>
              <w:spacing w:after="0"/>
              <w:rPr>
                <w:sz w:val="3"/>
                <w:szCs w:val="3"/>
                <w:color w:val="auto"/>
              </w:rPr>
            </w:pPr>
          </w:p>
        </w:tc>
        <w:tc>
          <w:tcPr>
            <w:tcW w:w="1100" w:type="dxa"/>
            <w:vAlign w:val="bottom"/>
            <w:tcBorders>
              <w:bottom w:val="single" w:sz="8" w:color="00539B"/>
            </w:tcBorders>
          </w:tcPr>
          <w:p>
            <w:pPr>
              <w:spacing w:after="0"/>
              <w:rPr>
                <w:sz w:val="3"/>
                <w:szCs w:val="3"/>
                <w:color w:val="auto"/>
              </w:rPr>
            </w:pPr>
          </w:p>
        </w:tc>
        <w:tc>
          <w:tcPr>
            <w:tcW w:w="500" w:type="dxa"/>
            <w:vAlign w:val="bottom"/>
            <w:tcBorders>
              <w:bottom w:val="single" w:sz="8" w:color="00539B"/>
            </w:tcBorders>
          </w:tcPr>
          <w:p>
            <w:pPr>
              <w:spacing w:after="0"/>
              <w:rPr>
                <w:sz w:val="3"/>
                <w:szCs w:val="3"/>
                <w:color w:val="auto"/>
              </w:rPr>
            </w:pPr>
          </w:p>
        </w:tc>
        <w:tc>
          <w:tcPr>
            <w:tcW w:w="1040" w:type="dxa"/>
            <w:vAlign w:val="bottom"/>
            <w:tcBorders>
              <w:bottom w:val="single" w:sz="8" w:color="00539B"/>
            </w:tcBorders>
          </w:tcPr>
          <w:p>
            <w:pPr>
              <w:spacing w:after="0"/>
              <w:rPr>
                <w:sz w:val="3"/>
                <w:szCs w:val="3"/>
                <w:color w:val="auto"/>
              </w:rPr>
            </w:pPr>
          </w:p>
        </w:tc>
        <w:tc>
          <w:tcPr>
            <w:tcW w:w="540" w:type="dxa"/>
            <w:vAlign w:val="bottom"/>
            <w:tcBorders>
              <w:bottom w:val="single" w:sz="8" w:color="00539B"/>
            </w:tcBorders>
          </w:tcPr>
          <w:p>
            <w:pPr>
              <w:spacing w:after="0"/>
              <w:rPr>
                <w:sz w:val="3"/>
                <w:szCs w:val="3"/>
                <w:color w:val="auto"/>
              </w:rPr>
            </w:pPr>
          </w:p>
        </w:tc>
        <w:tc>
          <w:tcPr>
            <w:tcW w:w="500" w:type="dxa"/>
            <w:vAlign w:val="bottom"/>
            <w:tcBorders>
              <w:bottom w:val="single" w:sz="8" w:color="00539B"/>
            </w:tcBorders>
          </w:tcPr>
          <w:p>
            <w:pPr>
              <w:spacing w:after="0"/>
              <w:rPr>
                <w:sz w:val="3"/>
                <w:szCs w:val="3"/>
                <w:color w:val="auto"/>
              </w:rPr>
            </w:pPr>
          </w:p>
        </w:tc>
        <w:tc>
          <w:tcPr>
            <w:tcW w:w="1140" w:type="dxa"/>
            <w:vAlign w:val="bottom"/>
            <w:tcBorders>
              <w:bottom w:val="single" w:sz="8" w:color="00539B"/>
            </w:tcBorders>
          </w:tcPr>
          <w:p>
            <w:pPr>
              <w:spacing w:after="0"/>
              <w:rPr>
                <w:sz w:val="3"/>
                <w:szCs w:val="3"/>
                <w:color w:val="auto"/>
              </w:rPr>
            </w:pPr>
          </w:p>
        </w:tc>
      </w:tr>
      <w:tr>
        <w:trPr>
          <w:trHeight w:val="192"/>
        </w:trPr>
        <w:tc>
          <w:tcPr>
            <w:tcW w:w="478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(millions)</w:t>
            </w:r>
          </w:p>
        </w:tc>
        <w:tc>
          <w:tcPr>
            <w:tcW w:w="1060" w:type="dxa"/>
            <w:vAlign w:val="bottom"/>
            <w:tcBorders>
              <w:bottom w:val="single" w:sz="8" w:color="00539B"/>
            </w:tcBorders>
            <w:shd w:val="clear" w:color="auto" w:fill="E0E3F1"/>
          </w:tcPr>
          <w:p>
            <w:pPr>
              <w:jc w:val="right"/>
              <w:ind w:right="28"/>
              <w:spacing w:after="0"/>
              <w:rPr>
                <w:sz w:val="20"/>
                <w:szCs w:val="20"/>
                <w:color w:val="auto"/>
              </w:rPr>
            </w:pPr>
            <w:r>
              <w:rPr>
                <w:rFonts w:ascii="Arial" w:cs="Arial" w:eastAsia="Arial" w:hAnsi="Arial"/>
                <w:sz w:val="14"/>
                <w:szCs w:val="14"/>
                <w:color w:val="auto"/>
              </w:rPr>
              <w:t>2025</w:t>
            </w:r>
          </w:p>
        </w:tc>
        <w:tc>
          <w:tcPr>
            <w:tcW w:w="540" w:type="dxa"/>
            <w:vAlign w:val="bottom"/>
            <w:tcBorders>
              <w:bottom w:val="single" w:sz="8" w:color="00539B"/>
            </w:tcBorders>
            <w:shd w:val="clear" w:color="auto" w:fill="E0E3F1"/>
          </w:tcPr>
          <w:p>
            <w:pPr>
              <w:spacing w:after="0"/>
              <w:rPr>
                <w:sz w:val="16"/>
                <w:szCs w:val="16"/>
                <w:color w:val="auto"/>
              </w:rPr>
            </w:pPr>
          </w:p>
        </w:tc>
        <w:tc>
          <w:tcPr>
            <w:tcW w:w="1100" w:type="dxa"/>
            <w:vAlign w:val="bottom"/>
            <w:tcBorders>
              <w:bottom w:val="single" w:sz="8" w:color="00539B"/>
            </w:tcBorders>
          </w:tcPr>
          <w:p>
            <w:pPr>
              <w:jc w:val="right"/>
              <w:ind w:right="68"/>
              <w:spacing w:after="0"/>
              <w:rPr>
                <w:sz w:val="20"/>
                <w:szCs w:val="20"/>
                <w:color w:val="auto"/>
              </w:rPr>
            </w:pPr>
            <w:r>
              <w:rPr>
                <w:rFonts w:ascii="Arial" w:cs="Arial" w:eastAsia="Arial" w:hAnsi="Arial"/>
                <w:sz w:val="14"/>
                <w:szCs w:val="14"/>
                <w:color w:val="auto"/>
              </w:rPr>
              <w:t>2024</w:t>
            </w:r>
          </w:p>
        </w:tc>
        <w:tc>
          <w:tcPr>
            <w:tcW w:w="500" w:type="dxa"/>
            <w:vAlign w:val="bottom"/>
            <w:tcBorders>
              <w:bottom w:val="single" w:sz="8" w:color="00539B"/>
            </w:tcBorders>
          </w:tcPr>
          <w:p>
            <w:pPr>
              <w:spacing w:after="0"/>
              <w:rPr>
                <w:sz w:val="16"/>
                <w:szCs w:val="16"/>
                <w:color w:val="auto"/>
              </w:rPr>
            </w:pPr>
          </w:p>
        </w:tc>
        <w:tc>
          <w:tcPr>
            <w:tcW w:w="1040" w:type="dxa"/>
            <w:vAlign w:val="bottom"/>
            <w:tcBorders>
              <w:bottom w:val="single" w:sz="8" w:color="00539B"/>
            </w:tcBorders>
            <w:shd w:val="clear" w:color="auto" w:fill="E0E3F1"/>
          </w:tcPr>
          <w:p>
            <w:pPr>
              <w:jc w:val="right"/>
              <w:ind w:right="28"/>
              <w:spacing w:after="0"/>
              <w:rPr>
                <w:sz w:val="20"/>
                <w:szCs w:val="20"/>
                <w:color w:val="auto"/>
              </w:rPr>
            </w:pPr>
            <w:r>
              <w:rPr>
                <w:rFonts w:ascii="Arial" w:cs="Arial" w:eastAsia="Arial" w:hAnsi="Arial"/>
                <w:sz w:val="14"/>
                <w:szCs w:val="14"/>
                <w:color w:val="auto"/>
              </w:rPr>
              <w:t>2025</w:t>
            </w:r>
          </w:p>
        </w:tc>
        <w:tc>
          <w:tcPr>
            <w:tcW w:w="540" w:type="dxa"/>
            <w:vAlign w:val="bottom"/>
            <w:tcBorders>
              <w:bottom w:val="single" w:sz="8" w:color="00539B"/>
            </w:tcBorders>
            <w:shd w:val="clear" w:color="auto" w:fill="E0E3F1"/>
          </w:tcPr>
          <w:p>
            <w:pPr>
              <w:spacing w:after="0"/>
              <w:rPr>
                <w:sz w:val="16"/>
                <w:szCs w:val="16"/>
                <w:color w:val="auto"/>
              </w:rPr>
            </w:pPr>
          </w:p>
        </w:tc>
        <w:tc>
          <w:tcPr>
            <w:tcW w:w="500" w:type="dxa"/>
            <w:vAlign w:val="bottom"/>
            <w:tcBorders>
              <w:bottom w:val="single" w:sz="8" w:color="00539B"/>
            </w:tcBorders>
          </w:tcPr>
          <w:p>
            <w:pPr>
              <w:spacing w:after="0"/>
              <w:rPr>
                <w:sz w:val="16"/>
                <w:szCs w:val="16"/>
                <w:color w:val="auto"/>
              </w:rPr>
            </w:pPr>
          </w:p>
        </w:tc>
        <w:tc>
          <w:tcPr>
            <w:tcW w:w="1140" w:type="dxa"/>
            <w:vAlign w:val="bottom"/>
            <w:tcBorders>
              <w:bottom w:val="single" w:sz="8" w:color="00539B"/>
            </w:tcBorders>
          </w:tcPr>
          <w:p>
            <w:pPr>
              <w:jc w:val="right"/>
              <w:ind w:right="588"/>
              <w:spacing w:after="0"/>
              <w:rPr>
                <w:sz w:val="20"/>
                <w:szCs w:val="20"/>
                <w:color w:val="auto"/>
              </w:rPr>
            </w:pPr>
            <w:r>
              <w:rPr>
                <w:rFonts w:ascii="Arial" w:cs="Arial" w:eastAsia="Arial" w:hAnsi="Arial"/>
                <w:sz w:val="14"/>
                <w:szCs w:val="14"/>
                <w:color w:val="auto"/>
              </w:rPr>
              <w:t>2024</w:t>
            </w:r>
          </w:p>
        </w:tc>
      </w:tr>
      <w:tr>
        <w:trPr>
          <w:trHeight w:val="192"/>
        </w:trPr>
        <w:tc>
          <w:tcPr>
            <w:tcW w:w="4780" w:type="dxa"/>
            <w:vAlign w:val="bottom"/>
          </w:tcPr>
          <w:p>
            <w:pPr>
              <w:ind w:left="20"/>
              <w:spacing w:after="0"/>
              <w:rPr>
                <w:sz w:val="20"/>
                <w:szCs w:val="20"/>
                <w:color w:val="auto"/>
              </w:rPr>
            </w:pPr>
            <w:r>
              <w:rPr>
                <w:rFonts w:ascii="Arial" w:cs="Arial" w:eastAsia="Arial" w:hAnsi="Arial"/>
                <w:sz w:val="14"/>
                <w:szCs w:val="14"/>
                <w:color w:val="auto"/>
              </w:rPr>
              <w:t>Non-current pension asset</w:t>
            </w:r>
          </w:p>
        </w:tc>
        <w:tc>
          <w:tcPr>
            <w:tcW w:w="1060" w:type="dxa"/>
            <w:vAlign w:val="bottom"/>
            <w:shd w:val="clear" w:color="auto" w:fill="E0E3F1"/>
          </w:tcPr>
          <w:p>
            <w:pPr>
              <w:jc w:val="right"/>
              <w:ind w:right="888"/>
              <w:spacing w:after="0"/>
              <w:rPr>
                <w:sz w:val="20"/>
                <w:szCs w:val="20"/>
                <w:color w:val="auto"/>
              </w:rPr>
            </w:pPr>
            <w:r>
              <w:rPr>
                <w:rFonts w:ascii="Arial" w:cs="Arial" w:eastAsia="Arial" w:hAnsi="Arial"/>
                <w:sz w:val="14"/>
                <w:szCs w:val="14"/>
                <w:color w:val="auto"/>
              </w:rPr>
              <w:t>$</w:t>
            </w:r>
          </w:p>
        </w:tc>
        <w:tc>
          <w:tcPr>
            <w:tcW w:w="540" w:type="dxa"/>
            <w:vAlign w:val="bottom"/>
            <w:shd w:val="clear" w:color="auto" w:fill="E0E3F1"/>
          </w:tcPr>
          <w:p>
            <w:pPr>
              <w:jc w:val="right"/>
              <w:spacing w:after="0"/>
              <w:rPr>
                <w:sz w:val="20"/>
                <w:szCs w:val="20"/>
                <w:color w:val="auto"/>
              </w:rPr>
            </w:pPr>
            <w:r>
              <w:rPr>
                <w:rFonts w:ascii="Arial" w:cs="Arial" w:eastAsia="Arial" w:hAnsi="Arial"/>
                <w:sz w:val="14"/>
                <w:szCs w:val="14"/>
                <w:color w:val="auto"/>
              </w:rPr>
              <w:t>75.6</w:t>
            </w:r>
          </w:p>
        </w:tc>
        <w:tc>
          <w:tcPr>
            <w:tcW w:w="1100" w:type="dxa"/>
            <w:vAlign w:val="bottom"/>
          </w:tcPr>
          <w:p>
            <w:pPr>
              <w:jc w:val="right"/>
              <w:ind w:right="92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54.0</w:t>
            </w:r>
          </w:p>
        </w:tc>
        <w:tc>
          <w:tcPr>
            <w:tcW w:w="1040" w:type="dxa"/>
            <w:vAlign w:val="bottom"/>
            <w:shd w:val="clear" w:color="auto" w:fill="E0E3F1"/>
          </w:tcPr>
          <w:p>
            <w:pPr>
              <w:jc w:val="right"/>
              <w:ind w:right="868"/>
              <w:spacing w:after="0"/>
              <w:rPr>
                <w:sz w:val="20"/>
                <w:szCs w:val="20"/>
                <w:color w:val="auto"/>
              </w:rPr>
            </w:pPr>
            <w:r>
              <w:rPr>
                <w:rFonts w:ascii="Arial" w:cs="Arial" w:eastAsia="Arial" w:hAnsi="Arial"/>
                <w:sz w:val="14"/>
                <w:szCs w:val="14"/>
                <w:color w:val="auto"/>
              </w:rPr>
              <w:t>$</w:t>
            </w:r>
          </w:p>
        </w:tc>
        <w:tc>
          <w:tcPr>
            <w:tcW w:w="540" w:type="dxa"/>
            <w:vAlign w:val="bottom"/>
            <w:shd w:val="clear" w:color="auto" w:fill="E0E3F1"/>
          </w:tcPr>
          <w:p>
            <w:pPr>
              <w:jc w:val="right"/>
              <w:spacing w:after="0"/>
              <w:rPr>
                <w:sz w:val="20"/>
                <w:szCs w:val="20"/>
                <w:color w:val="auto"/>
              </w:rPr>
            </w:pPr>
            <w:r>
              <w:rPr>
                <w:rFonts w:ascii="Arial" w:cs="Arial" w:eastAsia="Arial" w:hAnsi="Arial"/>
                <w:sz w:val="14"/>
                <w:szCs w:val="14"/>
                <w:color w:val="auto"/>
              </w:rPr>
              <w:t>71.6</w:t>
            </w: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68.4</w:t>
            </w:r>
          </w:p>
        </w:tc>
      </w:tr>
      <w:tr>
        <w:trPr>
          <w:trHeight w:val="203"/>
        </w:trPr>
        <w:tc>
          <w:tcPr>
            <w:tcW w:w="4780" w:type="dxa"/>
            <w:vAlign w:val="bottom"/>
          </w:tcPr>
          <w:p>
            <w:pPr>
              <w:ind w:left="20"/>
              <w:spacing w:after="0"/>
              <w:rPr>
                <w:sz w:val="20"/>
                <w:szCs w:val="20"/>
                <w:color w:val="auto"/>
              </w:rPr>
            </w:pPr>
            <w:r>
              <w:rPr>
                <w:rFonts w:ascii="Arial" w:cs="Arial" w:eastAsia="Arial" w:hAnsi="Arial"/>
                <w:sz w:val="14"/>
                <w:szCs w:val="14"/>
                <w:color w:val="auto"/>
              </w:rPr>
              <w:t>Accrued pension liability</w:t>
            </w:r>
          </w:p>
        </w:tc>
        <w:tc>
          <w:tcPr>
            <w:tcW w:w="1060" w:type="dxa"/>
            <w:vAlign w:val="bottom"/>
            <w:shd w:val="clear" w:color="auto" w:fill="E0E3F1"/>
          </w:tcPr>
          <w:p>
            <w:pPr>
              <w:spacing w:after="0"/>
              <w:rPr>
                <w:sz w:val="17"/>
                <w:szCs w:val="17"/>
                <w:color w:val="auto"/>
              </w:rPr>
            </w:pPr>
          </w:p>
        </w:tc>
        <w:tc>
          <w:tcPr>
            <w:tcW w:w="540" w:type="dxa"/>
            <w:vAlign w:val="bottom"/>
            <w:shd w:val="clear" w:color="auto" w:fill="E0E3F1"/>
          </w:tcPr>
          <w:p>
            <w:pPr>
              <w:jc w:val="right"/>
              <w:spacing w:after="0"/>
              <w:rPr>
                <w:sz w:val="20"/>
                <w:szCs w:val="20"/>
                <w:color w:val="auto"/>
              </w:rPr>
            </w:pPr>
            <w:r>
              <w:rPr>
                <w:rFonts w:ascii="Arial" w:cs="Arial" w:eastAsia="Arial" w:hAnsi="Arial"/>
                <w:sz w:val="14"/>
                <w:szCs w:val="14"/>
                <w:color w:val="auto"/>
              </w:rPr>
              <w:t>72.2</w:t>
            </w:r>
          </w:p>
        </w:tc>
        <w:tc>
          <w:tcPr>
            <w:tcW w:w="110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78.3</w:t>
            </w:r>
          </w:p>
        </w:tc>
        <w:tc>
          <w:tcPr>
            <w:tcW w:w="1040" w:type="dxa"/>
            <w:vAlign w:val="bottom"/>
            <w:shd w:val="clear" w:color="auto" w:fill="E0E3F1"/>
          </w:tcPr>
          <w:p>
            <w:pPr>
              <w:spacing w:after="0"/>
              <w:rPr>
                <w:sz w:val="17"/>
                <w:szCs w:val="17"/>
                <w:color w:val="auto"/>
              </w:rPr>
            </w:pPr>
          </w:p>
        </w:tc>
        <w:tc>
          <w:tcPr>
            <w:tcW w:w="540" w:type="dxa"/>
            <w:vAlign w:val="bottom"/>
            <w:shd w:val="clear" w:color="auto" w:fill="E0E3F1"/>
          </w:tcPr>
          <w:p>
            <w:pPr>
              <w:jc w:val="right"/>
              <w:spacing w:after="0"/>
              <w:rPr>
                <w:sz w:val="20"/>
                <w:szCs w:val="20"/>
                <w:color w:val="auto"/>
              </w:rPr>
            </w:pPr>
            <w:r>
              <w:rPr>
                <w:rFonts w:ascii="Arial" w:cs="Arial" w:eastAsia="Arial" w:hAnsi="Arial"/>
                <w:sz w:val="14"/>
                <w:szCs w:val="14"/>
                <w:color w:val="auto"/>
              </w:rPr>
              <w:t>13.3</w:t>
            </w:r>
          </w:p>
        </w:tc>
        <w:tc>
          <w:tcPr>
            <w:tcW w:w="5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12.9</w:t>
            </w:r>
          </w:p>
        </w:tc>
      </w:tr>
      <w:tr>
        <w:trPr>
          <w:trHeight w:val="203"/>
        </w:trPr>
        <w:tc>
          <w:tcPr>
            <w:tcW w:w="4780" w:type="dxa"/>
            <w:vAlign w:val="bottom"/>
          </w:tcPr>
          <w:p>
            <w:pPr>
              <w:ind w:left="20"/>
              <w:spacing w:after="0"/>
              <w:rPr>
                <w:sz w:val="20"/>
                <w:szCs w:val="20"/>
                <w:color w:val="auto"/>
              </w:rPr>
            </w:pPr>
            <w:r>
              <w:rPr>
                <w:rFonts w:ascii="Arial" w:cs="Arial" w:eastAsia="Arial" w:hAnsi="Arial"/>
                <w:sz w:val="14"/>
                <w:szCs w:val="14"/>
                <w:color w:val="auto"/>
              </w:rPr>
              <w:t>Deferred income tax assets</w:t>
            </w:r>
          </w:p>
        </w:tc>
        <w:tc>
          <w:tcPr>
            <w:tcW w:w="1060" w:type="dxa"/>
            <w:vAlign w:val="bottom"/>
            <w:shd w:val="clear" w:color="auto" w:fill="E0E3F1"/>
          </w:tcPr>
          <w:p>
            <w:pPr>
              <w:spacing w:after="0"/>
              <w:rPr>
                <w:sz w:val="17"/>
                <w:szCs w:val="17"/>
                <w:color w:val="auto"/>
              </w:rPr>
            </w:pPr>
          </w:p>
        </w:tc>
        <w:tc>
          <w:tcPr>
            <w:tcW w:w="540" w:type="dxa"/>
            <w:vAlign w:val="bottom"/>
            <w:shd w:val="clear" w:color="auto" w:fill="E0E3F1"/>
          </w:tcPr>
          <w:p>
            <w:pPr>
              <w:jc w:val="right"/>
              <w:spacing w:after="0"/>
              <w:rPr>
                <w:sz w:val="20"/>
                <w:szCs w:val="20"/>
                <w:color w:val="auto"/>
              </w:rPr>
            </w:pPr>
            <w:r>
              <w:rPr>
                <w:rFonts w:ascii="Arial" w:cs="Arial" w:eastAsia="Arial" w:hAnsi="Arial"/>
                <w:sz w:val="14"/>
                <w:szCs w:val="14"/>
                <w:color w:val="auto"/>
              </w:rPr>
              <w:t>23.8</w:t>
            </w:r>
          </w:p>
        </w:tc>
        <w:tc>
          <w:tcPr>
            <w:tcW w:w="110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28.6</w:t>
            </w:r>
          </w:p>
        </w:tc>
        <w:tc>
          <w:tcPr>
            <w:tcW w:w="1040" w:type="dxa"/>
            <w:vAlign w:val="bottom"/>
            <w:shd w:val="clear" w:color="auto" w:fill="E0E3F1"/>
          </w:tcPr>
          <w:p>
            <w:pPr>
              <w:spacing w:after="0"/>
              <w:rPr>
                <w:sz w:val="17"/>
                <w:szCs w:val="17"/>
                <w:color w:val="auto"/>
              </w:rPr>
            </w:pPr>
          </w:p>
        </w:tc>
        <w:tc>
          <w:tcPr>
            <w:tcW w:w="540" w:type="dxa"/>
            <w:vAlign w:val="bottom"/>
            <w:shd w:val="clear" w:color="auto" w:fill="E0E3F1"/>
          </w:tcPr>
          <w:p>
            <w:pPr>
              <w:jc w:val="right"/>
              <w:spacing w:after="0"/>
              <w:rPr>
                <w:sz w:val="20"/>
                <w:szCs w:val="20"/>
                <w:color w:val="auto"/>
              </w:rPr>
            </w:pPr>
            <w:r>
              <w:rPr>
                <w:rFonts w:ascii="Arial" w:cs="Arial" w:eastAsia="Arial" w:hAnsi="Arial"/>
                <w:sz w:val="14"/>
                <w:szCs w:val="14"/>
                <w:color w:val="auto"/>
              </w:rPr>
              <w:t>4.5</w:t>
            </w:r>
          </w:p>
        </w:tc>
        <w:tc>
          <w:tcPr>
            <w:tcW w:w="5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218"/>
        </w:trPr>
        <w:tc>
          <w:tcPr>
            <w:tcW w:w="478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Accumulated other comprehensive loss, net of tax</w:t>
            </w:r>
          </w:p>
        </w:tc>
        <w:tc>
          <w:tcPr>
            <w:tcW w:w="1060" w:type="dxa"/>
            <w:vAlign w:val="bottom"/>
            <w:tcBorders>
              <w:bottom w:val="single" w:sz="8" w:color="00539B"/>
            </w:tcBorders>
            <w:shd w:val="clear" w:color="auto" w:fill="E0E3F1"/>
          </w:tcPr>
          <w:p>
            <w:pPr>
              <w:spacing w:after="0"/>
              <w:rPr>
                <w:sz w:val="18"/>
                <w:szCs w:val="18"/>
                <w:color w:val="auto"/>
              </w:rPr>
            </w:pPr>
          </w:p>
        </w:tc>
        <w:tc>
          <w:tcPr>
            <w:tcW w:w="54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68.7</w:t>
            </w:r>
          </w:p>
        </w:tc>
        <w:tc>
          <w:tcPr>
            <w:tcW w:w="1100" w:type="dxa"/>
            <w:vAlign w:val="bottom"/>
            <w:tcBorders>
              <w:bottom w:val="single" w:sz="8" w:color="00539B"/>
            </w:tcBorders>
          </w:tcPr>
          <w:p>
            <w:pPr>
              <w:spacing w:after="0"/>
              <w:rPr>
                <w:sz w:val="18"/>
                <w:szCs w:val="18"/>
                <w:color w:val="auto"/>
              </w:rPr>
            </w:pPr>
          </w:p>
        </w:tc>
        <w:tc>
          <w:tcPr>
            <w:tcW w:w="500" w:type="dxa"/>
            <w:vAlign w:val="bottom"/>
            <w:tcBorders>
              <w:bottom w:val="single" w:sz="8" w:color="00539B"/>
            </w:tcBorders>
          </w:tcPr>
          <w:p>
            <w:pPr>
              <w:jc w:val="right"/>
              <w:ind w:right="8"/>
              <w:spacing w:after="0"/>
              <w:rPr>
                <w:sz w:val="20"/>
                <w:szCs w:val="20"/>
                <w:color w:val="auto"/>
              </w:rPr>
            </w:pPr>
            <w:r>
              <w:rPr>
                <w:rFonts w:ascii="Arial" w:cs="Arial" w:eastAsia="Arial" w:hAnsi="Arial"/>
                <w:sz w:val="14"/>
                <w:szCs w:val="14"/>
                <w:color w:val="auto"/>
              </w:rPr>
              <w:t>84.8</w:t>
            </w:r>
          </w:p>
        </w:tc>
        <w:tc>
          <w:tcPr>
            <w:tcW w:w="1040" w:type="dxa"/>
            <w:vAlign w:val="bottom"/>
            <w:tcBorders>
              <w:bottom w:val="single" w:sz="8" w:color="00539B"/>
            </w:tcBorders>
            <w:shd w:val="clear" w:color="auto" w:fill="E0E3F1"/>
          </w:tcPr>
          <w:p>
            <w:pPr>
              <w:spacing w:after="0"/>
              <w:rPr>
                <w:sz w:val="18"/>
                <w:szCs w:val="18"/>
                <w:color w:val="auto"/>
              </w:rPr>
            </w:pPr>
          </w:p>
        </w:tc>
        <w:tc>
          <w:tcPr>
            <w:tcW w:w="54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33.8</w:t>
            </w:r>
          </w:p>
        </w:tc>
        <w:tc>
          <w:tcPr>
            <w:tcW w:w="500" w:type="dxa"/>
            <w:vAlign w:val="bottom"/>
            <w:tcBorders>
              <w:bottom w:val="single" w:sz="8" w:color="00539B"/>
            </w:tcBorders>
          </w:tcPr>
          <w:p>
            <w:pPr>
              <w:spacing w:after="0"/>
              <w:rPr>
                <w:sz w:val="18"/>
                <w:szCs w:val="18"/>
                <w:color w:val="auto"/>
              </w:rPr>
            </w:pPr>
          </w:p>
        </w:tc>
        <w:tc>
          <w:tcPr>
            <w:tcW w:w="114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31.1</w:t>
            </w: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52" w:right="379" w:bottom="1440" w:gutter="0" w:footer="0" w:header="0"/>
        </w:sectPr>
      </w:pPr>
    </w:p>
    <w:bookmarkStart w:id="69" w:name="page70"/>
    <w:bookmarkEnd w:id="69"/>
    <w:p>
      <w:pPr>
        <w:spacing w:after="0" w:line="255" w:lineRule="auto"/>
        <w:rPr>
          <w:sz w:val="20"/>
          <w:szCs w:val="20"/>
          <w:color w:val="auto"/>
        </w:rPr>
      </w:pPr>
      <w:r>
        <w:rPr>
          <w:rFonts w:ascii="Arial" w:cs="Arial" w:eastAsia="Arial" w:hAnsi="Arial"/>
          <w:sz w:val="18"/>
          <w:szCs w:val="18"/>
          <w:color w:val="auto"/>
        </w:rPr>
        <w:t>Our defined benefit pension plans investment strategy is subject to the asset/liability profiles of the plans in each individual country. The investment objectives of the defined benefit pension plans are to provide assets to meet the current and future obligations of the plans at a reasonable cost to us. Our goal is to optimize the long-term return on plan assets at a moderate level of risk. The investment policy specifies the type of investment vehicles appropriate for the plans, asset allocation guidelines, criteria for the selection of investment managers, procedures to monitor overall investment performance as well as investment manager performance. Higher-returning assets include mutual, co-mingled and other funds comprised of equity securities, utilizing both active and passive investment styles. These more volatile assets are balanced with less volatile assets, primarily mutual, co-mingled and other funds comprised of fixed income securities. Professional investment firms are engaged to provide advice on the selection and monitoring of investment funds, and to provide advice on the allocation of plan assets across the various fund managers. This advice is based in part on the duration of each plan’s liability.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allocations of U.S. pension plan assets as of November 30, by asset category,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0628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520" w:type="dxa"/>
            <w:vAlign w:val="bottom"/>
            <w:tcBorders>
              <w:bottom w:val="single" w:sz="8" w:color="00539B"/>
            </w:tcBorders>
          </w:tcPr>
          <w:p>
            <w:pPr>
              <w:spacing w:after="0"/>
              <w:rPr>
                <w:sz w:val="19"/>
                <w:szCs w:val="19"/>
                <w:color w:val="auto"/>
              </w:rPr>
            </w:pPr>
          </w:p>
        </w:tc>
        <w:tc>
          <w:tcPr>
            <w:tcW w:w="1960" w:type="dxa"/>
            <w:vAlign w:val="bottom"/>
            <w:tcBorders>
              <w:bottom w:val="single" w:sz="8" w:color="00539B"/>
            </w:tcBorders>
            <w:gridSpan w:val="3"/>
          </w:tcPr>
          <w:p>
            <w:pPr>
              <w:ind w:left="1340"/>
              <w:spacing w:after="0"/>
              <w:rPr>
                <w:sz w:val="20"/>
                <w:szCs w:val="20"/>
                <w:color w:val="auto"/>
              </w:rPr>
            </w:pPr>
            <w:r>
              <w:rPr>
                <w:rFonts w:ascii="Arial" w:cs="Arial" w:eastAsia="Arial" w:hAnsi="Arial"/>
                <w:sz w:val="14"/>
                <w:szCs w:val="14"/>
                <w:color w:val="auto"/>
              </w:rPr>
              <w:t>Actual</w:t>
            </w:r>
          </w:p>
        </w:tc>
        <w:tc>
          <w:tcPr>
            <w:tcW w:w="1140" w:type="dxa"/>
            <w:vAlign w:val="bottom"/>
            <w:tcBorders>
              <w:bottom w:val="single" w:sz="8" w:color="00539B"/>
            </w:tcBorders>
          </w:tcPr>
          <w:p>
            <w:pPr>
              <w:spacing w:after="0"/>
              <w:rPr>
                <w:sz w:val="19"/>
                <w:szCs w:val="19"/>
                <w:color w:val="auto"/>
              </w:rPr>
            </w:pPr>
          </w:p>
        </w:tc>
        <w:tc>
          <w:tcPr>
            <w:tcW w:w="1580" w:type="dxa"/>
            <w:vAlign w:val="bottom"/>
          </w:tcPr>
          <w:p>
            <w:pPr>
              <w:jc w:val="right"/>
              <w:ind w:right="568"/>
              <w:spacing w:after="0"/>
              <w:rPr>
                <w:sz w:val="20"/>
                <w:szCs w:val="20"/>
                <w:color w:val="auto"/>
              </w:rPr>
            </w:pPr>
            <w:r>
              <w:rPr>
                <w:rFonts w:ascii="Arial" w:cs="Arial" w:eastAsia="Arial" w:hAnsi="Arial"/>
                <w:sz w:val="14"/>
                <w:szCs w:val="14"/>
                <w:color w:val="auto"/>
              </w:rPr>
              <w:t>2025</w:t>
            </w:r>
          </w:p>
        </w:tc>
      </w:tr>
      <w:tr>
        <w:trPr>
          <w:trHeight w:val="198"/>
        </w:trPr>
        <w:tc>
          <w:tcPr>
            <w:tcW w:w="652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Asset Category</w:t>
            </w:r>
          </w:p>
        </w:tc>
        <w:tc>
          <w:tcPr>
            <w:tcW w:w="1400" w:type="dxa"/>
            <w:vAlign w:val="bottom"/>
            <w:tcBorders>
              <w:bottom w:val="single" w:sz="8" w:color="00539B"/>
            </w:tcBorders>
            <w:shd w:val="clear" w:color="auto" w:fill="E0E3F1"/>
          </w:tcPr>
          <w:p>
            <w:pPr>
              <w:jc w:val="right"/>
              <w:ind w:right="388"/>
              <w:spacing w:after="0"/>
              <w:rPr>
                <w:sz w:val="20"/>
                <w:szCs w:val="20"/>
                <w:color w:val="auto"/>
              </w:rPr>
            </w:pPr>
            <w:r>
              <w:rPr>
                <w:rFonts w:ascii="Arial" w:cs="Arial" w:eastAsia="Arial" w:hAnsi="Arial"/>
                <w:sz w:val="14"/>
                <w:szCs w:val="14"/>
                <w:color w:val="auto"/>
              </w:rPr>
              <w:t>2025</w:t>
            </w:r>
          </w:p>
        </w:tc>
        <w:tc>
          <w:tcPr>
            <w:tcW w:w="140" w:type="dxa"/>
            <w:vAlign w:val="bottom"/>
            <w:tcBorders>
              <w:bottom w:val="single" w:sz="8" w:color="00539B"/>
            </w:tcBorders>
            <w:shd w:val="clear" w:color="auto" w:fill="E0E3F1"/>
          </w:tcPr>
          <w:p>
            <w:pPr>
              <w:spacing w:after="0"/>
              <w:rPr>
                <w:sz w:val="17"/>
                <w:szCs w:val="17"/>
                <w:color w:val="auto"/>
              </w:rPr>
            </w:pPr>
          </w:p>
        </w:tc>
        <w:tc>
          <w:tcPr>
            <w:tcW w:w="420" w:type="dxa"/>
            <w:vAlign w:val="bottom"/>
            <w:tcBorders>
              <w:bottom w:val="single" w:sz="8" w:color="00539B"/>
            </w:tcBorders>
          </w:tcPr>
          <w:p>
            <w:pPr>
              <w:spacing w:after="0"/>
              <w:rPr>
                <w:sz w:val="17"/>
                <w:szCs w:val="17"/>
                <w:color w:val="auto"/>
              </w:rPr>
            </w:pPr>
          </w:p>
        </w:tc>
        <w:tc>
          <w:tcPr>
            <w:tcW w:w="1140" w:type="dxa"/>
            <w:vAlign w:val="bottom"/>
            <w:tcBorders>
              <w:bottom w:val="single" w:sz="8" w:color="00539B"/>
            </w:tcBorders>
          </w:tcPr>
          <w:p>
            <w:pPr>
              <w:jc w:val="right"/>
              <w:ind w:right="548"/>
              <w:spacing w:after="0"/>
              <w:rPr>
                <w:sz w:val="20"/>
                <w:szCs w:val="20"/>
                <w:color w:val="auto"/>
              </w:rPr>
            </w:pPr>
            <w:r>
              <w:rPr>
                <w:rFonts w:ascii="Arial" w:cs="Arial" w:eastAsia="Arial" w:hAnsi="Arial"/>
                <w:sz w:val="14"/>
                <w:szCs w:val="14"/>
                <w:color w:val="auto"/>
              </w:rPr>
              <w:t>2024</w:t>
            </w:r>
          </w:p>
        </w:tc>
        <w:tc>
          <w:tcPr>
            <w:tcW w:w="1580" w:type="dxa"/>
            <w:vAlign w:val="bottom"/>
            <w:tcBorders>
              <w:bottom w:val="single" w:sz="8" w:color="00539B"/>
            </w:tcBorders>
          </w:tcPr>
          <w:p>
            <w:pPr>
              <w:jc w:val="right"/>
              <w:ind w:right="528"/>
              <w:spacing w:after="0"/>
              <w:rPr>
                <w:sz w:val="20"/>
                <w:szCs w:val="20"/>
                <w:color w:val="auto"/>
              </w:rPr>
            </w:pPr>
            <w:r>
              <w:rPr>
                <w:rFonts w:ascii="Arial" w:cs="Arial" w:eastAsia="Arial" w:hAnsi="Arial"/>
                <w:sz w:val="14"/>
                <w:szCs w:val="14"/>
                <w:color w:val="auto"/>
              </w:rPr>
              <w:t>Target</w:t>
            </w:r>
          </w:p>
        </w:tc>
      </w:tr>
      <w:tr>
        <w:trPr>
          <w:trHeight w:val="192"/>
        </w:trPr>
        <w:tc>
          <w:tcPr>
            <w:tcW w:w="6520" w:type="dxa"/>
            <w:vAlign w:val="bottom"/>
          </w:tcPr>
          <w:p>
            <w:pPr>
              <w:ind w:left="20"/>
              <w:spacing w:after="0"/>
              <w:rPr>
                <w:sz w:val="20"/>
                <w:szCs w:val="20"/>
                <w:color w:val="auto"/>
              </w:rPr>
            </w:pPr>
            <w:r>
              <w:rPr>
                <w:rFonts w:ascii="Arial" w:cs="Arial" w:eastAsia="Arial" w:hAnsi="Arial"/>
                <w:sz w:val="14"/>
                <w:szCs w:val="14"/>
                <w:color w:val="auto"/>
              </w:rPr>
              <w:t>Equity securities</w:t>
            </w:r>
          </w:p>
        </w:tc>
        <w:tc>
          <w:tcPr>
            <w:tcW w:w="1400" w:type="dxa"/>
            <w:vAlign w:val="bottom"/>
            <w:shd w:val="clear" w:color="auto" w:fill="E0E3F1"/>
          </w:tcPr>
          <w:p>
            <w:pPr>
              <w:jc w:val="right"/>
              <w:spacing w:after="0"/>
              <w:rPr>
                <w:sz w:val="20"/>
                <w:szCs w:val="20"/>
                <w:color w:val="auto"/>
              </w:rPr>
            </w:pPr>
            <w:r>
              <w:rPr>
                <w:rFonts w:ascii="Arial" w:cs="Arial" w:eastAsia="Arial" w:hAnsi="Arial"/>
                <w:sz w:val="14"/>
                <w:szCs w:val="14"/>
                <w:color w:val="auto"/>
              </w:rPr>
              <w:t>20.3</w:t>
            </w:r>
          </w:p>
        </w:tc>
        <w:tc>
          <w:tcPr>
            <w:tcW w:w="140" w:type="dxa"/>
            <w:vAlign w:val="bottom"/>
            <w:shd w:val="clear" w:color="auto" w:fill="E0E3F1"/>
          </w:tcPr>
          <w:p>
            <w:pPr>
              <w:jc w:val="right"/>
              <w:spacing w:after="0"/>
              <w:rPr>
                <w:sz w:val="20"/>
                <w:szCs w:val="20"/>
                <w:color w:val="auto"/>
              </w:rPr>
            </w:pPr>
            <w:r>
              <w:rPr>
                <w:rFonts w:ascii="Arial" w:cs="Arial" w:eastAsia="Arial" w:hAnsi="Arial"/>
                <w:sz w:val="14"/>
                <w:szCs w:val="14"/>
                <w:color w:val="auto"/>
                <w:w w:val="79"/>
              </w:rPr>
              <w:t>%</w:t>
            </w:r>
          </w:p>
        </w:tc>
        <w:tc>
          <w:tcPr>
            <w:tcW w:w="4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22.1 %</w:t>
            </w:r>
          </w:p>
        </w:tc>
        <w:tc>
          <w:tcPr>
            <w:tcW w:w="1580" w:type="dxa"/>
            <w:vAlign w:val="bottom"/>
          </w:tcPr>
          <w:p>
            <w:pPr>
              <w:jc w:val="right"/>
              <w:spacing w:after="0"/>
              <w:rPr>
                <w:sz w:val="20"/>
                <w:szCs w:val="20"/>
                <w:color w:val="auto"/>
              </w:rPr>
            </w:pPr>
            <w:r>
              <w:rPr>
                <w:rFonts w:ascii="Arial" w:cs="Arial" w:eastAsia="Arial" w:hAnsi="Arial"/>
                <w:sz w:val="14"/>
                <w:szCs w:val="14"/>
                <w:color w:val="auto"/>
              </w:rPr>
              <w:t>24.2 %</w:t>
            </w:r>
          </w:p>
        </w:tc>
      </w:tr>
      <w:tr>
        <w:trPr>
          <w:trHeight w:val="203"/>
        </w:trPr>
        <w:tc>
          <w:tcPr>
            <w:tcW w:w="6520" w:type="dxa"/>
            <w:vAlign w:val="bottom"/>
          </w:tcPr>
          <w:p>
            <w:pPr>
              <w:ind w:left="20"/>
              <w:spacing w:after="0"/>
              <w:rPr>
                <w:sz w:val="20"/>
                <w:szCs w:val="20"/>
                <w:color w:val="auto"/>
              </w:rPr>
            </w:pPr>
            <w:r>
              <w:rPr>
                <w:rFonts w:ascii="Arial" w:cs="Arial" w:eastAsia="Arial" w:hAnsi="Arial"/>
                <w:sz w:val="14"/>
                <w:szCs w:val="14"/>
                <w:color w:val="auto"/>
              </w:rPr>
              <w:t>Fixed income securities</w:t>
            </w:r>
          </w:p>
        </w:tc>
        <w:tc>
          <w:tcPr>
            <w:tcW w:w="1400" w:type="dxa"/>
            <w:vAlign w:val="bottom"/>
            <w:shd w:val="clear" w:color="auto" w:fill="E0E3F1"/>
          </w:tcPr>
          <w:p>
            <w:pPr>
              <w:jc w:val="right"/>
              <w:spacing w:after="0"/>
              <w:rPr>
                <w:sz w:val="20"/>
                <w:szCs w:val="20"/>
                <w:color w:val="auto"/>
              </w:rPr>
            </w:pPr>
            <w:r>
              <w:rPr>
                <w:rFonts w:ascii="Arial" w:cs="Arial" w:eastAsia="Arial" w:hAnsi="Arial"/>
                <w:sz w:val="14"/>
                <w:szCs w:val="14"/>
                <w:color w:val="auto"/>
              </w:rPr>
              <w:t>73.1</w:t>
            </w:r>
          </w:p>
        </w:tc>
        <w:tc>
          <w:tcPr>
            <w:tcW w:w="140" w:type="dxa"/>
            <w:vAlign w:val="bottom"/>
            <w:shd w:val="clear" w:color="auto" w:fill="E0E3F1"/>
          </w:tcPr>
          <w:p>
            <w:pPr>
              <w:jc w:val="right"/>
              <w:spacing w:after="0"/>
              <w:rPr>
                <w:sz w:val="20"/>
                <w:szCs w:val="20"/>
                <w:color w:val="auto"/>
              </w:rPr>
            </w:pPr>
            <w:r>
              <w:rPr>
                <w:rFonts w:ascii="Arial" w:cs="Arial" w:eastAsia="Arial" w:hAnsi="Arial"/>
                <w:sz w:val="14"/>
                <w:szCs w:val="14"/>
                <w:color w:val="auto"/>
                <w:w w:val="79"/>
              </w:rPr>
              <w:t>%</w:t>
            </w:r>
          </w:p>
        </w:tc>
        <w:tc>
          <w:tcPr>
            <w:tcW w:w="4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69.9 %</w:t>
            </w:r>
          </w:p>
        </w:tc>
        <w:tc>
          <w:tcPr>
            <w:tcW w:w="1580" w:type="dxa"/>
            <w:vAlign w:val="bottom"/>
          </w:tcPr>
          <w:p>
            <w:pPr>
              <w:jc w:val="right"/>
              <w:spacing w:after="0"/>
              <w:rPr>
                <w:sz w:val="20"/>
                <w:szCs w:val="20"/>
                <w:color w:val="auto"/>
              </w:rPr>
            </w:pPr>
            <w:r>
              <w:rPr>
                <w:rFonts w:ascii="Arial" w:cs="Arial" w:eastAsia="Arial" w:hAnsi="Arial"/>
                <w:sz w:val="14"/>
                <w:szCs w:val="14"/>
                <w:color w:val="auto"/>
              </w:rPr>
              <w:t>70.6 %</w:t>
            </w:r>
          </w:p>
        </w:tc>
      </w:tr>
      <w:tr>
        <w:trPr>
          <w:trHeight w:val="207"/>
        </w:trPr>
        <w:tc>
          <w:tcPr>
            <w:tcW w:w="652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Other</w:t>
            </w:r>
          </w:p>
        </w:tc>
        <w:tc>
          <w:tcPr>
            <w:tcW w:w="140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6.6</w:t>
            </w:r>
          </w:p>
        </w:tc>
        <w:tc>
          <w:tcPr>
            <w:tcW w:w="14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w w:val="79"/>
              </w:rPr>
              <w:t>%</w:t>
            </w:r>
          </w:p>
        </w:tc>
        <w:tc>
          <w:tcPr>
            <w:tcW w:w="420" w:type="dxa"/>
            <w:vAlign w:val="bottom"/>
            <w:tcBorders>
              <w:bottom w:val="single" w:sz="8" w:color="00539B"/>
            </w:tcBorders>
          </w:tcPr>
          <w:p>
            <w:pPr>
              <w:spacing w:after="0"/>
              <w:rPr>
                <w:sz w:val="17"/>
                <w:szCs w:val="17"/>
                <w:color w:val="auto"/>
              </w:rPr>
            </w:pPr>
          </w:p>
        </w:tc>
        <w:tc>
          <w:tcPr>
            <w:tcW w:w="114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8.0 %</w:t>
            </w:r>
          </w:p>
        </w:tc>
        <w:tc>
          <w:tcPr>
            <w:tcW w:w="158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5.2 %</w:t>
            </w:r>
          </w:p>
        </w:tc>
      </w:tr>
      <w:tr>
        <w:trPr>
          <w:trHeight w:val="207"/>
        </w:trPr>
        <w:tc>
          <w:tcPr>
            <w:tcW w:w="652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Total</w:t>
            </w:r>
          </w:p>
        </w:tc>
        <w:tc>
          <w:tcPr>
            <w:tcW w:w="140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100.0</w:t>
            </w:r>
          </w:p>
        </w:tc>
        <w:tc>
          <w:tcPr>
            <w:tcW w:w="14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w w:val="79"/>
              </w:rPr>
              <w:t>%</w:t>
            </w:r>
          </w:p>
        </w:tc>
        <w:tc>
          <w:tcPr>
            <w:tcW w:w="420" w:type="dxa"/>
            <w:vAlign w:val="bottom"/>
            <w:tcBorders>
              <w:bottom w:val="single" w:sz="8" w:color="00539B"/>
            </w:tcBorders>
          </w:tcPr>
          <w:p>
            <w:pPr>
              <w:spacing w:after="0"/>
              <w:rPr>
                <w:sz w:val="18"/>
                <w:szCs w:val="18"/>
                <w:color w:val="auto"/>
              </w:rPr>
            </w:pPr>
          </w:p>
        </w:tc>
        <w:tc>
          <w:tcPr>
            <w:tcW w:w="114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100.0 %</w:t>
            </w:r>
          </w:p>
        </w:tc>
        <w:tc>
          <w:tcPr>
            <w:tcW w:w="158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100.0 %</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allocations of the international pension plans’ assets as of November 30, by asset category,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0628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500" w:type="dxa"/>
            <w:vAlign w:val="bottom"/>
            <w:tcBorders>
              <w:bottom w:val="single" w:sz="8" w:color="00539B"/>
            </w:tcBorders>
          </w:tcPr>
          <w:p>
            <w:pPr>
              <w:spacing w:after="0"/>
              <w:rPr>
                <w:sz w:val="19"/>
                <w:szCs w:val="19"/>
                <w:color w:val="auto"/>
              </w:rPr>
            </w:pPr>
          </w:p>
        </w:tc>
        <w:tc>
          <w:tcPr>
            <w:tcW w:w="1960" w:type="dxa"/>
            <w:vAlign w:val="bottom"/>
            <w:tcBorders>
              <w:bottom w:val="single" w:sz="8" w:color="00539B"/>
            </w:tcBorders>
            <w:gridSpan w:val="3"/>
          </w:tcPr>
          <w:p>
            <w:pPr>
              <w:ind w:left="1360"/>
              <w:spacing w:after="0"/>
              <w:rPr>
                <w:sz w:val="20"/>
                <w:szCs w:val="20"/>
                <w:color w:val="auto"/>
              </w:rPr>
            </w:pPr>
            <w:r>
              <w:rPr>
                <w:rFonts w:ascii="Arial" w:cs="Arial" w:eastAsia="Arial" w:hAnsi="Arial"/>
                <w:sz w:val="14"/>
                <w:szCs w:val="14"/>
                <w:color w:val="auto"/>
              </w:rPr>
              <w:t>Actual</w:t>
            </w:r>
          </w:p>
        </w:tc>
        <w:tc>
          <w:tcPr>
            <w:tcW w:w="1140" w:type="dxa"/>
            <w:vAlign w:val="bottom"/>
            <w:tcBorders>
              <w:bottom w:val="single" w:sz="8" w:color="00539B"/>
            </w:tcBorders>
          </w:tcPr>
          <w:p>
            <w:pPr>
              <w:spacing w:after="0"/>
              <w:rPr>
                <w:sz w:val="19"/>
                <w:szCs w:val="19"/>
                <w:color w:val="auto"/>
              </w:rPr>
            </w:pPr>
          </w:p>
        </w:tc>
        <w:tc>
          <w:tcPr>
            <w:tcW w:w="1600" w:type="dxa"/>
            <w:vAlign w:val="bottom"/>
          </w:tcPr>
          <w:p>
            <w:pPr>
              <w:jc w:val="right"/>
              <w:ind w:right="568"/>
              <w:spacing w:after="0"/>
              <w:rPr>
                <w:sz w:val="20"/>
                <w:szCs w:val="20"/>
                <w:color w:val="auto"/>
              </w:rPr>
            </w:pPr>
            <w:r>
              <w:rPr>
                <w:rFonts w:ascii="Arial" w:cs="Arial" w:eastAsia="Arial" w:hAnsi="Arial"/>
                <w:sz w:val="14"/>
                <w:szCs w:val="14"/>
                <w:color w:val="auto"/>
              </w:rPr>
              <w:t>2025</w:t>
            </w:r>
          </w:p>
        </w:tc>
      </w:tr>
      <w:tr>
        <w:trPr>
          <w:trHeight w:val="198"/>
        </w:trPr>
        <w:tc>
          <w:tcPr>
            <w:tcW w:w="650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Asset Category</w:t>
            </w:r>
          </w:p>
        </w:tc>
        <w:tc>
          <w:tcPr>
            <w:tcW w:w="1400" w:type="dxa"/>
            <w:vAlign w:val="bottom"/>
            <w:tcBorders>
              <w:bottom w:val="single" w:sz="8" w:color="00539B"/>
            </w:tcBorders>
            <w:shd w:val="clear" w:color="auto" w:fill="E0E3F1"/>
          </w:tcPr>
          <w:p>
            <w:pPr>
              <w:jc w:val="right"/>
              <w:ind w:right="388"/>
              <w:spacing w:after="0"/>
              <w:rPr>
                <w:sz w:val="20"/>
                <w:szCs w:val="20"/>
                <w:color w:val="auto"/>
              </w:rPr>
            </w:pPr>
            <w:r>
              <w:rPr>
                <w:rFonts w:ascii="Arial" w:cs="Arial" w:eastAsia="Arial" w:hAnsi="Arial"/>
                <w:sz w:val="14"/>
                <w:szCs w:val="14"/>
                <w:color w:val="auto"/>
              </w:rPr>
              <w:t>2025</w:t>
            </w:r>
          </w:p>
        </w:tc>
        <w:tc>
          <w:tcPr>
            <w:tcW w:w="160" w:type="dxa"/>
            <w:vAlign w:val="bottom"/>
            <w:tcBorders>
              <w:bottom w:val="single" w:sz="8" w:color="00539B"/>
            </w:tcBorders>
            <w:shd w:val="clear" w:color="auto" w:fill="E0E3F1"/>
          </w:tcPr>
          <w:p>
            <w:pPr>
              <w:spacing w:after="0"/>
              <w:rPr>
                <w:sz w:val="17"/>
                <w:szCs w:val="17"/>
                <w:color w:val="auto"/>
              </w:rPr>
            </w:pPr>
          </w:p>
        </w:tc>
        <w:tc>
          <w:tcPr>
            <w:tcW w:w="400" w:type="dxa"/>
            <w:vAlign w:val="bottom"/>
            <w:tcBorders>
              <w:bottom w:val="single" w:sz="8" w:color="00539B"/>
            </w:tcBorders>
          </w:tcPr>
          <w:p>
            <w:pPr>
              <w:spacing w:after="0"/>
              <w:rPr>
                <w:sz w:val="17"/>
                <w:szCs w:val="17"/>
                <w:color w:val="auto"/>
              </w:rPr>
            </w:pPr>
          </w:p>
        </w:tc>
        <w:tc>
          <w:tcPr>
            <w:tcW w:w="1140" w:type="dxa"/>
            <w:vAlign w:val="bottom"/>
            <w:tcBorders>
              <w:bottom w:val="single" w:sz="8" w:color="00539B"/>
            </w:tcBorders>
          </w:tcPr>
          <w:p>
            <w:pPr>
              <w:jc w:val="right"/>
              <w:ind w:right="528"/>
              <w:spacing w:after="0"/>
              <w:rPr>
                <w:sz w:val="20"/>
                <w:szCs w:val="20"/>
                <w:color w:val="auto"/>
              </w:rPr>
            </w:pPr>
            <w:r>
              <w:rPr>
                <w:rFonts w:ascii="Arial" w:cs="Arial" w:eastAsia="Arial" w:hAnsi="Arial"/>
                <w:sz w:val="14"/>
                <w:szCs w:val="14"/>
                <w:color w:val="auto"/>
              </w:rPr>
              <w:t>2024</w:t>
            </w:r>
          </w:p>
        </w:tc>
        <w:tc>
          <w:tcPr>
            <w:tcW w:w="1600" w:type="dxa"/>
            <w:vAlign w:val="bottom"/>
            <w:tcBorders>
              <w:bottom w:val="single" w:sz="8" w:color="00539B"/>
            </w:tcBorders>
          </w:tcPr>
          <w:p>
            <w:pPr>
              <w:jc w:val="right"/>
              <w:ind w:right="608"/>
              <w:spacing w:after="0"/>
              <w:rPr>
                <w:sz w:val="20"/>
                <w:szCs w:val="20"/>
                <w:color w:val="auto"/>
              </w:rPr>
            </w:pPr>
            <w:r>
              <w:rPr>
                <w:rFonts w:ascii="Arial" w:cs="Arial" w:eastAsia="Arial" w:hAnsi="Arial"/>
                <w:sz w:val="14"/>
                <w:szCs w:val="14"/>
                <w:color w:val="auto"/>
              </w:rPr>
              <w:t>Target</w:t>
            </w:r>
          </w:p>
        </w:tc>
      </w:tr>
      <w:tr>
        <w:trPr>
          <w:trHeight w:val="192"/>
        </w:trPr>
        <w:tc>
          <w:tcPr>
            <w:tcW w:w="6500" w:type="dxa"/>
            <w:vAlign w:val="bottom"/>
          </w:tcPr>
          <w:p>
            <w:pPr>
              <w:ind w:left="20"/>
              <w:spacing w:after="0"/>
              <w:rPr>
                <w:sz w:val="20"/>
                <w:szCs w:val="20"/>
                <w:color w:val="auto"/>
              </w:rPr>
            </w:pPr>
            <w:r>
              <w:rPr>
                <w:rFonts w:ascii="Arial" w:cs="Arial" w:eastAsia="Arial" w:hAnsi="Arial"/>
                <w:sz w:val="14"/>
                <w:szCs w:val="14"/>
                <w:color w:val="auto"/>
              </w:rPr>
              <w:t>Equity securities</w:t>
            </w:r>
          </w:p>
        </w:tc>
        <w:tc>
          <w:tcPr>
            <w:tcW w:w="1400" w:type="dxa"/>
            <w:vAlign w:val="bottom"/>
            <w:shd w:val="clear" w:color="auto" w:fill="E0E3F1"/>
          </w:tcPr>
          <w:p>
            <w:pPr>
              <w:jc w:val="right"/>
              <w:spacing w:after="0"/>
              <w:rPr>
                <w:sz w:val="20"/>
                <w:szCs w:val="20"/>
                <w:color w:val="auto"/>
              </w:rPr>
            </w:pPr>
            <w:r>
              <w:rPr>
                <w:rFonts w:ascii="Arial" w:cs="Arial" w:eastAsia="Arial" w:hAnsi="Arial"/>
                <w:sz w:val="14"/>
                <w:szCs w:val="14"/>
                <w:color w:val="auto"/>
              </w:rPr>
              <w:t>6.6</w:t>
            </w:r>
          </w:p>
        </w:tc>
        <w:tc>
          <w:tcPr>
            <w:tcW w:w="160" w:type="dxa"/>
            <w:vAlign w:val="bottom"/>
            <w:shd w:val="clear" w:color="auto" w:fill="E0E3F1"/>
          </w:tcPr>
          <w:p>
            <w:pPr>
              <w:jc w:val="right"/>
              <w:spacing w:after="0"/>
              <w:rPr>
                <w:sz w:val="20"/>
                <w:szCs w:val="20"/>
                <w:color w:val="auto"/>
              </w:rPr>
            </w:pPr>
            <w:r>
              <w:rPr>
                <w:rFonts w:ascii="Arial" w:cs="Arial" w:eastAsia="Arial" w:hAnsi="Arial"/>
                <w:sz w:val="14"/>
                <w:szCs w:val="14"/>
                <w:color w:val="auto"/>
                <w:w w:val="96"/>
              </w:rPr>
              <w:t>%</w:t>
            </w:r>
          </w:p>
        </w:tc>
        <w:tc>
          <w:tcPr>
            <w:tcW w:w="4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7.9 %</w:t>
            </w:r>
          </w:p>
        </w:tc>
        <w:tc>
          <w:tcPr>
            <w:tcW w:w="1600" w:type="dxa"/>
            <w:vAlign w:val="bottom"/>
          </w:tcPr>
          <w:p>
            <w:pPr>
              <w:jc w:val="right"/>
              <w:spacing w:after="0"/>
              <w:rPr>
                <w:sz w:val="20"/>
                <w:szCs w:val="20"/>
                <w:color w:val="auto"/>
              </w:rPr>
            </w:pPr>
            <w:r>
              <w:rPr>
                <w:rFonts w:ascii="Arial" w:cs="Arial" w:eastAsia="Arial" w:hAnsi="Arial"/>
                <w:sz w:val="14"/>
                <w:szCs w:val="14"/>
                <w:color w:val="auto"/>
              </w:rPr>
              <w:t>6.2 %</w:t>
            </w:r>
          </w:p>
        </w:tc>
      </w:tr>
      <w:tr>
        <w:trPr>
          <w:trHeight w:val="203"/>
        </w:trPr>
        <w:tc>
          <w:tcPr>
            <w:tcW w:w="6500" w:type="dxa"/>
            <w:vAlign w:val="bottom"/>
          </w:tcPr>
          <w:p>
            <w:pPr>
              <w:ind w:left="20"/>
              <w:spacing w:after="0"/>
              <w:rPr>
                <w:sz w:val="20"/>
                <w:szCs w:val="20"/>
                <w:color w:val="auto"/>
              </w:rPr>
            </w:pPr>
            <w:r>
              <w:rPr>
                <w:rFonts w:ascii="Arial" w:cs="Arial" w:eastAsia="Arial" w:hAnsi="Arial"/>
                <w:sz w:val="14"/>
                <w:szCs w:val="14"/>
                <w:color w:val="auto"/>
              </w:rPr>
              <w:t>Fixed income securities</w:t>
            </w:r>
          </w:p>
        </w:tc>
        <w:tc>
          <w:tcPr>
            <w:tcW w:w="1400" w:type="dxa"/>
            <w:vAlign w:val="bottom"/>
            <w:shd w:val="clear" w:color="auto" w:fill="E0E3F1"/>
          </w:tcPr>
          <w:p>
            <w:pPr>
              <w:jc w:val="right"/>
              <w:spacing w:after="0"/>
              <w:rPr>
                <w:sz w:val="20"/>
                <w:szCs w:val="20"/>
                <w:color w:val="auto"/>
              </w:rPr>
            </w:pPr>
            <w:r>
              <w:rPr>
                <w:rFonts w:ascii="Arial" w:cs="Arial" w:eastAsia="Arial" w:hAnsi="Arial"/>
                <w:sz w:val="14"/>
                <w:szCs w:val="14"/>
                <w:color w:val="auto"/>
              </w:rPr>
              <w:t>88.3</w:t>
            </w:r>
          </w:p>
        </w:tc>
        <w:tc>
          <w:tcPr>
            <w:tcW w:w="160" w:type="dxa"/>
            <w:vAlign w:val="bottom"/>
            <w:shd w:val="clear" w:color="auto" w:fill="E0E3F1"/>
          </w:tcPr>
          <w:p>
            <w:pPr>
              <w:jc w:val="right"/>
              <w:spacing w:after="0"/>
              <w:rPr>
                <w:sz w:val="20"/>
                <w:szCs w:val="20"/>
                <w:color w:val="auto"/>
              </w:rPr>
            </w:pPr>
            <w:r>
              <w:rPr>
                <w:rFonts w:ascii="Arial" w:cs="Arial" w:eastAsia="Arial" w:hAnsi="Arial"/>
                <w:sz w:val="14"/>
                <w:szCs w:val="14"/>
                <w:color w:val="auto"/>
                <w:w w:val="96"/>
              </w:rPr>
              <w:t>%</w:t>
            </w:r>
          </w:p>
        </w:tc>
        <w:tc>
          <w:tcPr>
            <w:tcW w:w="4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86.4 %</w:t>
            </w:r>
          </w:p>
        </w:tc>
        <w:tc>
          <w:tcPr>
            <w:tcW w:w="1600" w:type="dxa"/>
            <w:vAlign w:val="bottom"/>
          </w:tcPr>
          <w:p>
            <w:pPr>
              <w:jc w:val="right"/>
              <w:spacing w:after="0"/>
              <w:rPr>
                <w:sz w:val="20"/>
                <w:szCs w:val="20"/>
                <w:color w:val="auto"/>
              </w:rPr>
            </w:pPr>
            <w:r>
              <w:rPr>
                <w:rFonts w:ascii="Arial" w:cs="Arial" w:eastAsia="Arial" w:hAnsi="Arial"/>
                <w:sz w:val="14"/>
                <w:szCs w:val="14"/>
                <w:color w:val="auto"/>
              </w:rPr>
              <w:t>88.4 %</w:t>
            </w:r>
          </w:p>
        </w:tc>
      </w:tr>
      <w:tr>
        <w:trPr>
          <w:trHeight w:val="207"/>
        </w:trPr>
        <w:tc>
          <w:tcPr>
            <w:tcW w:w="650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Other</w:t>
            </w:r>
          </w:p>
        </w:tc>
        <w:tc>
          <w:tcPr>
            <w:tcW w:w="140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5.1</w:t>
            </w:r>
          </w:p>
        </w:tc>
        <w:tc>
          <w:tcPr>
            <w:tcW w:w="16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w w:val="96"/>
              </w:rPr>
              <w:t>%</w:t>
            </w:r>
          </w:p>
        </w:tc>
        <w:tc>
          <w:tcPr>
            <w:tcW w:w="400" w:type="dxa"/>
            <w:vAlign w:val="bottom"/>
            <w:tcBorders>
              <w:bottom w:val="single" w:sz="8" w:color="00539B"/>
            </w:tcBorders>
          </w:tcPr>
          <w:p>
            <w:pPr>
              <w:spacing w:after="0"/>
              <w:rPr>
                <w:sz w:val="17"/>
                <w:szCs w:val="17"/>
                <w:color w:val="auto"/>
              </w:rPr>
            </w:pPr>
          </w:p>
        </w:tc>
        <w:tc>
          <w:tcPr>
            <w:tcW w:w="114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5.7 %</w:t>
            </w:r>
          </w:p>
        </w:tc>
        <w:tc>
          <w:tcPr>
            <w:tcW w:w="160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5.4 %</w:t>
            </w:r>
          </w:p>
        </w:tc>
      </w:tr>
      <w:tr>
        <w:trPr>
          <w:trHeight w:val="207"/>
        </w:trPr>
        <w:tc>
          <w:tcPr>
            <w:tcW w:w="650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Total</w:t>
            </w:r>
          </w:p>
        </w:tc>
        <w:tc>
          <w:tcPr>
            <w:tcW w:w="140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100.0</w:t>
            </w:r>
          </w:p>
        </w:tc>
        <w:tc>
          <w:tcPr>
            <w:tcW w:w="16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w w:val="96"/>
              </w:rPr>
              <w:t>%</w:t>
            </w:r>
          </w:p>
        </w:tc>
        <w:tc>
          <w:tcPr>
            <w:tcW w:w="400" w:type="dxa"/>
            <w:vAlign w:val="bottom"/>
            <w:tcBorders>
              <w:bottom w:val="single" w:sz="8" w:color="00539B"/>
            </w:tcBorders>
          </w:tcPr>
          <w:p>
            <w:pPr>
              <w:spacing w:after="0"/>
              <w:rPr>
                <w:sz w:val="18"/>
                <w:szCs w:val="18"/>
                <w:color w:val="auto"/>
              </w:rPr>
            </w:pPr>
          </w:p>
        </w:tc>
        <w:tc>
          <w:tcPr>
            <w:tcW w:w="114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100.0 %</w:t>
            </w:r>
          </w:p>
        </w:tc>
        <w:tc>
          <w:tcPr>
            <w:tcW w:w="160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100.0 %</w:t>
            </w: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2" w:right="35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The following tables set forth by level, within the fair value hierarchy as described in Note 8, pension plan assets at their fair value as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November 30 for the United States and international plans: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780" w:type="dxa"/>
            <w:vAlign w:val="bottom"/>
            <w:tcBorders>
              <w:top w:val="single" w:sz="8" w:color="00539B"/>
              <w:bottom w:val="single" w:sz="8" w:color="00539B"/>
            </w:tcBorders>
            <w:gridSpan w:val="2"/>
            <w:shd w:val="clear" w:color="auto" w:fill="E0E3F1"/>
          </w:tcPr>
          <w:p>
            <w:pPr>
              <w:ind w:left="20"/>
              <w:spacing w:after="0"/>
              <w:rPr>
                <w:sz w:val="20"/>
                <w:szCs w:val="20"/>
                <w:color w:val="auto"/>
              </w:rPr>
            </w:pPr>
            <w:r>
              <w:rPr>
                <w:rFonts w:ascii="Arial" w:cs="Arial" w:eastAsia="Arial" w:hAnsi="Arial"/>
                <w:sz w:val="14"/>
                <w:szCs w:val="14"/>
                <w:color w:val="auto"/>
              </w:rPr>
              <w:t>As of November 30, 2025</w:t>
            </w:r>
          </w:p>
        </w:tc>
        <w:tc>
          <w:tcPr>
            <w:tcW w:w="320" w:type="dxa"/>
            <w:vAlign w:val="bottom"/>
            <w:tcBorders>
              <w:top w:val="single" w:sz="8" w:color="00539B"/>
              <w:bottom w:val="single" w:sz="8" w:color="00539B"/>
            </w:tcBorders>
            <w:shd w:val="clear" w:color="auto" w:fill="E0E3F1"/>
          </w:tcPr>
          <w:p>
            <w:pPr>
              <w:spacing w:after="0"/>
              <w:rPr>
                <w:sz w:val="19"/>
                <w:szCs w:val="19"/>
                <w:color w:val="auto"/>
              </w:rPr>
            </w:pPr>
          </w:p>
        </w:tc>
        <w:tc>
          <w:tcPr>
            <w:tcW w:w="1040" w:type="dxa"/>
            <w:vAlign w:val="bottom"/>
            <w:tcBorders>
              <w:top w:val="single" w:sz="8" w:color="00539B"/>
              <w:bottom w:val="single" w:sz="8" w:color="00539B"/>
            </w:tcBorders>
            <w:shd w:val="clear" w:color="auto" w:fill="E0E3F1"/>
          </w:tcPr>
          <w:p>
            <w:pPr>
              <w:spacing w:after="0"/>
              <w:rPr>
                <w:sz w:val="19"/>
                <w:szCs w:val="19"/>
                <w:color w:val="auto"/>
              </w:rPr>
            </w:pPr>
          </w:p>
        </w:tc>
        <w:tc>
          <w:tcPr>
            <w:tcW w:w="180" w:type="dxa"/>
            <w:vAlign w:val="bottom"/>
            <w:tcBorders>
              <w:top w:val="single" w:sz="8" w:color="00539B"/>
              <w:bottom w:val="single" w:sz="8" w:color="00539B"/>
            </w:tcBorders>
            <w:shd w:val="clear" w:color="auto" w:fill="E0E3F1"/>
          </w:tcPr>
          <w:p>
            <w:pPr>
              <w:spacing w:after="0"/>
              <w:rPr>
                <w:sz w:val="19"/>
                <w:szCs w:val="19"/>
                <w:color w:val="auto"/>
              </w:rPr>
            </w:pPr>
          </w:p>
        </w:tc>
        <w:tc>
          <w:tcPr>
            <w:tcW w:w="1160" w:type="dxa"/>
            <w:vAlign w:val="bottom"/>
            <w:tcBorders>
              <w:top w:val="single" w:sz="8" w:color="00539B"/>
              <w:bottom w:val="single" w:sz="8" w:color="00539B"/>
            </w:tcBorders>
            <w:shd w:val="clear" w:color="auto" w:fill="E0E3F1"/>
          </w:tcPr>
          <w:p>
            <w:pPr>
              <w:jc w:val="center"/>
              <w:ind w:right="108"/>
              <w:spacing w:after="0"/>
              <w:rPr>
                <w:sz w:val="20"/>
                <w:szCs w:val="20"/>
                <w:color w:val="auto"/>
              </w:rPr>
            </w:pPr>
            <w:r>
              <w:rPr>
                <w:rFonts w:ascii="Arial" w:cs="Arial" w:eastAsia="Arial" w:hAnsi="Arial"/>
                <w:sz w:val="14"/>
                <w:szCs w:val="14"/>
                <w:color w:val="auto"/>
              </w:rPr>
              <w:t>United States</w:t>
            </w:r>
          </w:p>
        </w:tc>
        <w:tc>
          <w:tcPr>
            <w:tcW w:w="300" w:type="dxa"/>
            <w:vAlign w:val="bottom"/>
            <w:tcBorders>
              <w:top w:val="single" w:sz="8" w:color="00539B"/>
              <w:bottom w:val="single" w:sz="8" w:color="00539B"/>
            </w:tcBorders>
            <w:shd w:val="clear" w:color="auto" w:fill="E0E3F1"/>
          </w:tcPr>
          <w:p>
            <w:pPr>
              <w:spacing w:after="0"/>
              <w:rPr>
                <w:sz w:val="19"/>
                <w:szCs w:val="19"/>
                <w:color w:val="auto"/>
              </w:rPr>
            </w:pPr>
          </w:p>
        </w:tc>
        <w:tc>
          <w:tcPr>
            <w:tcW w:w="1060" w:type="dxa"/>
            <w:vAlign w:val="bottom"/>
            <w:tcBorders>
              <w:top w:val="single" w:sz="8" w:color="00539B"/>
              <w:bottom w:val="single" w:sz="8" w:color="00539B"/>
            </w:tcBorders>
            <w:shd w:val="clear" w:color="auto" w:fill="E0E3F1"/>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40" w:type="dxa"/>
            <w:vAlign w:val="bottom"/>
            <w:shd w:val="clear" w:color="auto" w:fill="E0E3F1"/>
          </w:tcPr>
          <w:p>
            <w:pPr>
              <w:spacing w:after="0"/>
              <w:rPr>
                <w:sz w:val="13"/>
                <w:szCs w:val="13"/>
                <w:color w:val="auto"/>
              </w:rPr>
            </w:pPr>
          </w:p>
        </w:tc>
        <w:tc>
          <w:tcPr>
            <w:tcW w:w="5740" w:type="dxa"/>
            <w:vAlign w:val="bottom"/>
            <w:shd w:val="clear" w:color="auto" w:fill="E0E3F1"/>
          </w:tcPr>
          <w:p>
            <w:pPr>
              <w:spacing w:after="0"/>
              <w:rPr>
                <w:sz w:val="13"/>
                <w:szCs w:val="13"/>
                <w:color w:val="auto"/>
              </w:rPr>
            </w:pPr>
          </w:p>
        </w:tc>
        <w:tc>
          <w:tcPr>
            <w:tcW w:w="320" w:type="dxa"/>
            <w:vAlign w:val="bottom"/>
            <w:shd w:val="clear" w:color="auto" w:fill="E0E3F1"/>
          </w:tcPr>
          <w:p>
            <w:pPr>
              <w:spacing w:after="0"/>
              <w:rPr>
                <w:sz w:val="13"/>
                <w:szCs w:val="13"/>
                <w:color w:val="auto"/>
              </w:rPr>
            </w:pPr>
          </w:p>
        </w:tc>
        <w:tc>
          <w:tcPr>
            <w:tcW w:w="1040" w:type="dxa"/>
            <w:vAlign w:val="bottom"/>
            <w:shd w:val="clear" w:color="auto" w:fill="E0E3F1"/>
          </w:tcPr>
          <w:p>
            <w:pPr>
              <w:jc w:val="right"/>
              <w:ind w:right="448"/>
              <w:spacing w:after="0" w:line="151" w:lineRule="exact"/>
              <w:rPr>
                <w:sz w:val="20"/>
                <w:szCs w:val="20"/>
                <w:color w:val="auto"/>
              </w:rPr>
            </w:pPr>
            <w:r>
              <w:rPr>
                <w:rFonts w:ascii="Arial" w:cs="Arial" w:eastAsia="Arial" w:hAnsi="Arial"/>
                <w:sz w:val="14"/>
                <w:szCs w:val="14"/>
                <w:color w:val="auto"/>
              </w:rPr>
              <w:t>Total</w:t>
            </w:r>
          </w:p>
        </w:tc>
        <w:tc>
          <w:tcPr>
            <w:tcW w:w="180" w:type="dxa"/>
            <w:vAlign w:val="bottom"/>
            <w:shd w:val="clear" w:color="auto" w:fill="E0E3F1"/>
          </w:tcPr>
          <w:p>
            <w:pPr>
              <w:spacing w:after="0"/>
              <w:rPr>
                <w:sz w:val="13"/>
                <w:szCs w:val="13"/>
                <w:color w:val="auto"/>
              </w:rPr>
            </w:pPr>
          </w:p>
        </w:tc>
        <w:tc>
          <w:tcPr>
            <w:tcW w:w="1160" w:type="dxa"/>
            <w:vAlign w:val="bottom"/>
            <w:shd w:val="clear" w:color="auto" w:fill="E0E3F1"/>
          </w:tcPr>
          <w:p>
            <w:pPr>
              <w:spacing w:after="0"/>
              <w:rPr>
                <w:sz w:val="13"/>
                <w:szCs w:val="13"/>
                <w:color w:val="auto"/>
              </w:rPr>
            </w:pPr>
          </w:p>
        </w:tc>
        <w:tc>
          <w:tcPr>
            <w:tcW w:w="300" w:type="dxa"/>
            <w:vAlign w:val="bottom"/>
            <w:shd w:val="clear" w:color="auto" w:fill="E0E3F1"/>
          </w:tcPr>
          <w:p>
            <w:pPr>
              <w:spacing w:after="0"/>
              <w:rPr>
                <w:sz w:val="13"/>
                <w:szCs w:val="13"/>
                <w:color w:val="auto"/>
              </w:rPr>
            </w:pPr>
          </w:p>
        </w:tc>
        <w:tc>
          <w:tcPr>
            <w:tcW w:w="1060" w:type="dxa"/>
            <w:vAlign w:val="bottom"/>
            <w:shd w:val="clear" w:color="auto" w:fill="E0E3F1"/>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780" w:type="dxa"/>
            <w:vAlign w:val="bottom"/>
            <w:gridSpan w:val="2"/>
            <w:vMerge w:val="restart"/>
            <w:shd w:val="clear" w:color="auto" w:fill="E0E3F1"/>
          </w:tcPr>
          <w:p>
            <w:pPr>
              <w:ind w:left="20"/>
              <w:spacing w:after="0"/>
              <w:rPr>
                <w:sz w:val="20"/>
                <w:szCs w:val="20"/>
                <w:color w:val="auto"/>
              </w:rPr>
            </w:pPr>
            <w:r>
              <w:rPr>
                <w:rFonts w:ascii="Arial" w:cs="Arial" w:eastAsia="Arial" w:hAnsi="Arial"/>
                <w:sz w:val="14"/>
                <w:szCs w:val="14"/>
                <w:color w:val="auto"/>
              </w:rPr>
              <w:t>(millions)</w:t>
            </w:r>
          </w:p>
        </w:tc>
        <w:tc>
          <w:tcPr>
            <w:tcW w:w="320" w:type="dxa"/>
            <w:vAlign w:val="bottom"/>
            <w:shd w:val="clear" w:color="auto" w:fill="E0E3F1"/>
          </w:tcPr>
          <w:p>
            <w:pPr>
              <w:spacing w:after="0"/>
              <w:rPr>
                <w:sz w:val="12"/>
                <w:szCs w:val="12"/>
                <w:color w:val="auto"/>
              </w:rPr>
            </w:pPr>
          </w:p>
        </w:tc>
        <w:tc>
          <w:tcPr>
            <w:tcW w:w="1040" w:type="dxa"/>
            <w:vAlign w:val="bottom"/>
            <w:shd w:val="clear" w:color="auto" w:fill="E0E3F1"/>
          </w:tcPr>
          <w:p>
            <w:pPr>
              <w:jc w:val="center"/>
              <w:ind w:right="248"/>
              <w:spacing w:after="0" w:line="145" w:lineRule="exact"/>
              <w:rPr>
                <w:sz w:val="20"/>
                <w:szCs w:val="20"/>
                <w:color w:val="auto"/>
              </w:rPr>
            </w:pPr>
            <w:r>
              <w:rPr>
                <w:rFonts w:ascii="Arial" w:cs="Arial" w:eastAsia="Arial" w:hAnsi="Arial"/>
                <w:sz w:val="14"/>
                <w:szCs w:val="14"/>
                <w:color w:val="auto"/>
              </w:rPr>
              <w:t>fair</w:t>
            </w:r>
          </w:p>
        </w:tc>
        <w:tc>
          <w:tcPr>
            <w:tcW w:w="180" w:type="dxa"/>
            <w:vAlign w:val="bottom"/>
            <w:shd w:val="clear" w:color="auto" w:fill="E0E3F1"/>
          </w:tcPr>
          <w:p>
            <w:pPr>
              <w:spacing w:after="0"/>
              <w:rPr>
                <w:sz w:val="12"/>
                <w:szCs w:val="12"/>
                <w:color w:val="auto"/>
              </w:rPr>
            </w:pPr>
          </w:p>
        </w:tc>
        <w:tc>
          <w:tcPr>
            <w:tcW w:w="1160" w:type="dxa"/>
            <w:vAlign w:val="bottom"/>
            <w:vMerge w:val="restart"/>
            <w:shd w:val="clear" w:color="auto" w:fill="E0E3F1"/>
          </w:tcPr>
          <w:p>
            <w:pPr>
              <w:jc w:val="center"/>
              <w:ind w:right="108"/>
              <w:spacing w:after="0"/>
              <w:rPr>
                <w:sz w:val="20"/>
                <w:szCs w:val="20"/>
                <w:color w:val="auto"/>
              </w:rPr>
            </w:pPr>
            <w:r>
              <w:rPr>
                <w:rFonts w:ascii="Arial" w:cs="Arial" w:eastAsia="Arial" w:hAnsi="Arial"/>
                <w:sz w:val="14"/>
                <w:szCs w:val="14"/>
                <w:color w:val="auto"/>
              </w:rPr>
              <w:t>Level 1</w:t>
            </w:r>
          </w:p>
        </w:tc>
        <w:tc>
          <w:tcPr>
            <w:tcW w:w="300" w:type="dxa"/>
            <w:vAlign w:val="bottom"/>
            <w:shd w:val="clear" w:color="auto" w:fill="E0E3F1"/>
          </w:tcPr>
          <w:p>
            <w:pPr>
              <w:spacing w:after="0"/>
              <w:rPr>
                <w:sz w:val="12"/>
                <w:szCs w:val="12"/>
                <w:color w:val="auto"/>
              </w:rPr>
            </w:pPr>
          </w:p>
        </w:tc>
        <w:tc>
          <w:tcPr>
            <w:tcW w:w="1060" w:type="dxa"/>
            <w:vAlign w:val="bottom"/>
            <w:vMerge w:val="restart"/>
            <w:shd w:val="clear" w:color="auto" w:fill="E0E3F1"/>
          </w:tcPr>
          <w:p>
            <w:pPr>
              <w:jc w:val="right"/>
              <w:ind w:right="368"/>
              <w:spacing w:after="0"/>
              <w:rPr>
                <w:sz w:val="20"/>
                <w:szCs w:val="20"/>
                <w:color w:val="auto"/>
              </w:rPr>
            </w:pPr>
            <w:r>
              <w:rPr>
                <w:rFonts w:ascii="Arial" w:cs="Arial" w:eastAsia="Arial" w:hAnsi="Arial"/>
                <w:sz w:val="14"/>
                <w:szCs w:val="14"/>
                <w:color w:val="auto"/>
              </w:rPr>
              <w:t>Level 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780" w:type="dxa"/>
            <w:vAlign w:val="bottom"/>
            <w:tcBorders>
              <w:bottom w:val="single" w:sz="8" w:color="00539B"/>
            </w:tcBorders>
            <w:gridSpan w:val="2"/>
            <w:vMerge w:val="continue"/>
            <w:shd w:val="clear" w:color="auto" w:fill="E0E3F1"/>
          </w:tcPr>
          <w:p>
            <w:pPr>
              <w:spacing w:after="0"/>
              <w:rPr>
                <w:sz w:val="16"/>
                <w:szCs w:val="16"/>
                <w:color w:val="auto"/>
              </w:rPr>
            </w:pPr>
          </w:p>
        </w:tc>
        <w:tc>
          <w:tcPr>
            <w:tcW w:w="320" w:type="dxa"/>
            <w:vAlign w:val="bottom"/>
            <w:tcBorders>
              <w:bottom w:val="single" w:sz="8" w:color="00539B"/>
            </w:tcBorders>
            <w:shd w:val="clear" w:color="auto" w:fill="E0E3F1"/>
          </w:tcPr>
          <w:p>
            <w:pPr>
              <w:spacing w:after="0"/>
              <w:rPr>
                <w:sz w:val="16"/>
                <w:szCs w:val="16"/>
                <w:color w:val="auto"/>
              </w:rPr>
            </w:pPr>
          </w:p>
        </w:tc>
        <w:tc>
          <w:tcPr>
            <w:tcW w:w="1040" w:type="dxa"/>
            <w:vAlign w:val="bottom"/>
            <w:tcBorders>
              <w:bottom w:val="single" w:sz="8" w:color="00539B"/>
            </w:tcBorders>
            <w:shd w:val="clear" w:color="auto" w:fill="E0E3F1"/>
          </w:tcPr>
          <w:p>
            <w:pPr>
              <w:jc w:val="center"/>
              <w:ind w:right="248"/>
              <w:spacing w:after="0"/>
              <w:rPr>
                <w:sz w:val="20"/>
                <w:szCs w:val="20"/>
                <w:color w:val="auto"/>
              </w:rPr>
            </w:pPr>
            <w:r>
              <w:rPr>
                <w:rFonts w:ascii="Arial" w:cs="Arial" w:eastAsia="Arial" w:hAnsi="Arial"/>
                <w:sz w:val="14"/>
                <w:szCs w:val="14"/>
                <w:color w:val="auto"/>
              </w:rPr>
              <w:t>value</w:t>
            </w:r>
          </w:p>
        </w:tc>
        <w:tc>
          <w:tcPr>
            <w:tcW w:w="180" w:type="dxa"/>
            <w:vAlign w:val="bottom"/>
            <w:tcBorders>
              <w:bottom w:val="single" w:sz="8" w:color="00539B"/>
            </w:tcBorders>
            <w:shd w:val="clear" w:color="auto" w:fill="E0E3F1"/>
          </w:tcPr>
          <w:p>
            <w:pPr>
              <w:spacing w:after="0"/>
              <w:rPr>
                <w:sz w:val="16"/>
                <w:szCs w:val="16"/>
                <w:color w:val="auto"/>
              </w:rPr>
            </w:pPr>
          </w:p>
        </w:tc>
        <w:tc>
          <w:tcPr>
            <w:tcW w:w="1160" w:type="dxa"/>
            <w:vAlign w:val="bottom"/>
            <w:tcBorders>
              <w:bottom w:val="single" w:sz="8" w:color="00539B"/>
            </w:tcBorders>
            <w:vMerge w:val="continue"/>
            <w:shd w:val="clear" w:color="auto" w:fill="E0E3F1"/>
          </w:tcPr>
          <w:p>
            <w:pPr>
              <w:spacing w:after="0"/>
              <w:rPr>
                <w:sz w:val="16"/>
                <w:szCs w:val="16"/>
                <w:color w:val="auto"/>
              </w:rPr>
            </w:pPr>
          </w:p>
        </w:tc>
        <w:tc>
          <w:tcPr>
            <w:tcW w:w="300" w:type="dxa"/>
            <w:vAlign w:val="bottom"/>
            <w:tcBorders>
              <w:bottom w:val="single" w:sz="8" w:color="00539B"/>
            </w:tcBorders>
            <w:shd w:val="clear" w:color="auto" w:fill="E0E3F1"/>
          </w:tcPr>
          <w:p>
            <w:pPr>
              <w:spacing w:after="0"/>
              <w:rPr>
                <w:sz w:val="16"/>
                <w:szCs w:val="16"/>
                <w:color w:val="auto"/>
              </w:rPr>
            </w:pPr>
          </w:p>
        </w:tc>
        <w:tc>
          <w:tcPr>
            <w:tcW w:w="1060" w:type="dxa"/>
            <w:vAlign w:val="bottom"/>
            <w:tcBorders>
              <w:bottom w:val="single" w:sz="8" w:color="00539B"/>
            </w:tcBorders>
            <w:vMerge w:val="continue"/>
            <w:shd w:val="clear" w:color="auto" w:fill="E0E3F1"/>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780" w:type="dxa"/>
            <w:vAlign w:val="bottom"/>
            <w:gridSpan w:val="2"/>
            <w:shd w:val="clear" w:color="auto" w:fill="E0E3F1"/>
          </w:tcPr>
          <w:p>
            <w:pPr>
              <w:ind w:left="20"/>
              <w:spacing w:after="0"/>
              <w:rPr>
                <w:sz w:val="20"/>
                <w:szCs w:val="20"/>
                <w:color w:val="auto"/>
              </w:rPr>
            </w:pPr>
            <w:r>
              <w:rPr>
                <w:rFonts w:ascii="Arial" w:cs="Arial" w:eastAsia="Arial" w:hAnsi="Arial"/>
                <w:sz w:val="14"/>
                <w:szCs w:val="14"/>
                <w:color w:val="auto"/>
              </w:rPr>
              <w:t>Cash and cash equivalents</w:t>
            </w:r>
          </w:p>
        </w:tc>
        <w:tc>
          <w:tcPr>
            <w:tcW w:w="320" w:type="dxa"/>
            <w:vAlign w:val="bottom"/>
            <w:shd w:val="clear" w:color="auto" w:fill="E0E3F1"/>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E0E3F1"/>
          </w:tcPr>
          <w:p>
            <w:pPr>
              <w:jc w:val="right"/>
              <w:ind w:right="8"/>
              <w:spacing w:after="0"/>
              <w:rPr>
                <w:sz w:val="20"/>
                <w:szCs w:val="20"/>
                <w:color w:val="auto"/>
              </w:rPr>
            </w:pPr>
            <w:r>
              <w:rPr>
                <w:rFonts w:ascii="Arial" w:cs="Arial" w:eastAsia="Arial" w:hAnsi="Arial"/>
                <w:sz w:val="14"/>
                <w:szCs w:val="14"/>
                <w:color w:val="auto"/>
              </w:rPr>
              <w:t>4.5</w:t>
            </w:r>
          </w:p>
        </w:tc>
        <w:tc>
          <w:tcPr>
            <w:tcW w:w="180" w:type="dxa"/>
            <w:vAlign w:val="bottom"/>
            <w:shd w:val="clear" w:color="auto" w:fill="E0E3F1"/>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4.5</w:t>
            </w:r>
          </w:p>
        </w:tc>
        <w:tc>
          <w:tcPr>
            <w:tcW w:w="300" w:type="dxa"/>
            <w:vAlign w:val="bottom"/>
            <w:shd w:val="clear" w:color="auto" w:fill="E0E3F1"/>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E0E3F1"/>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780" w:type="dxa"/>
            <w:vAlign w:val="bottom"/>
            <w:gridSpan w:val="2"/>
            <w:shd w:val="clear" w:color="auto" w:fill="E0E3F1"/>
          </w:tcPr>
          <w:p>
            <w:pPr>
              <w:ind w:left="20"/>
              <w:spacing w:after="0"/>
              <w:rPr>
                <w:sz w:val="20"/>
                <w:szCs w:val="20"/>
                <w:color w:val="auto"/>
              </w:rPr>
            </w:pPr>
            <w:r>
              <w:rPr>
                <w:rFonts w:ascii="Arial" w:cs="Arial" w:eastAsia="Arial" w:hAnsi="Arial"/>
                <w:sz w:val="14"/>
                <w:szCs w:val="14"/>
                <w:color w:val="auto"/>
              </w:rPr>
              <w:t>Equity securities:</w:t>
            </w:r>
          </w:p>
        </w:tc>
        <w:tc>
          <w:tcPr>
            <w:tcW w:w="320" w:type="dxa"/>
            <w:vAlign w:val="bottom"/>
            <w:shd w:val="clear" w:color="auto" w:fill="E0E3F1"/>
          </w:tcPr>
          <w:p>
            <w:pPr>
              <w:spacing w:after="0"/>
              <w:rPr>
                <w:sz w:val="15"/>
                <w:szCs w:val="15"/>
                <w:color w:val="auto"/>
              </w:rPr>
            </w:pPr>
          </w:p>
        </w:tc>
        <w:tc>
          <w:tcPr>
            <w:tcW w:w="1040" w:type="dxa"/>
            <w:vAlign w:val="bottom"/>
            <w:shd w:val="clear" w:color="auto" w:fill="E0E3F1"/>
          </w:tcPr>
          <w:p>
            <w:pPr>
              <w:spacing w:after="0"/>
              <w:rPr>
                <w:sz w:val="15"/>
                <w:szCs w:val="15"/>
                <w:color w:val="auto"/>
              </w:rPr>
            </w:pPr>
          </w:p>
        </w:tc>
        <w:tc>
          <w:tcPr>
            <w:tcW w:w="180" w:type="dxa"/>
            <w:vAlign w:val="bottom"/>
            <w:shd w:val="clear" w:color="auto" w:fill="E0E3F1"/>
          </w:tcPr>
          <w:p>
            <w:pPr>
              <w:spacing w:after="0"/>
              <w:rPr>
                <w:sz w:val="15"/>
                <w:szCs w:val="15"/>
                <w:color w:val="auto"/>
              </w:rPr>
            </w:pPr>
          </w:p>
        </w:tc>
        <w:tc>
          <w:tcPr>
            <w:tcW w:w="1160" w:type="dxa"/>
            <w:vAlign w:val="bottom"/>
            <w:shd w:val="clear" w:color="auto" w:fill="E0E3F1"/>
          </w:tcPr>
          <w:p>
            <w:pPr>
              <w:spacing w:after="0"/>
              <w:rPr>
                <w:sz w:val="15"/>
                <w:szCs w:val="15"/>
                <w:color w:val="auto"/>
              </w:rPr>
            </w:pPr>
          </w:p>
        </w:tc>
        <w:tc>
          <w:tcPr>
            <w:tcW w:w="300" w:type="dxa"/>
            <w:vAlign w:val="bottom"/>
            <w:shd w:val="clear" w:color="auto" w:fill="E0E3F1"/>
          </w:tcPr>
          <w:p>
            <w:pPr>
              <w:spacing w:after="0"/>
              <w:rPr>
                <w:sz w:val="15"/>
                <w:szCs w:val="15"/>
                <w:color w:val="auto"/>
              </w:rPr>
            </w:pPr>
          </w:p>
        </w:tc>
        <w:tc>
          <w:tcPr>
            <w:tcW w:w="1060" w:type="dxa"/>
            <w:vAlign w:val="bottom"/>
            <w:shd w:val="clear" w:color="auto" w:fill="E0E3F1"/>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E0E3F1"/>
          </w:tcPr>
          <w:p>
            <w:pPr>
              <w:spacing w:after="0"/>
              <w:rPr>
                <w:sz w:val="17"/>
                <w:szCs w:val="17"/>
                <w:color w:val="auto"/>
              </w:rPr>
            </w:pPr>
          </w:p>
        </w:tc>
        <w:tc>
          <w:tcPr>
            <w:tcW w:w="5740" w:type="dxa"/>
            <w:vAlign w:val="bottom"/>
            <w:shd w:val="clear" w:color="auto" w:fill="E0E3F1"/>
          </w:tcPr>
          <w:p>
            <w:pPr>
              <w:ind w:left="140"/>
              <w:spacing w:after="0" w:line="202" w:lineRule="exact"/>
              <w:rPr>
                <w:sz w:val="20"/>
                <w:szCs w:val="20"/>
                <w:color w:val="auto"/>
              </w:rPr>
            </w:pPr>
            <w:r>
              <w:rPr>
                <w:rFonts w:ascii="Arial" w:cs="Arial" w:eastAsia="Arial" w:hAnsi="Arial"/>
                <w:sz w:val="14"/>
                <w:szCs w:val="14"/>
                <w:color w:val="auto"/>
              </w:rPr>
              <w:t>U.S. equity securities</w:t>
            </w:r>
            <w:r>
              <w:rPr>
                <w:rFonts w:ascii="Arial" w:cs="Arial" w:eastAsia="Arial" w:hAnsi="Arial"/>
                <w:sz w:val="23"/>
                <w:szCs w:val="23"/>
                <w:color w:val="auto"/>
                <w:vertAlign w:val="superscript"/>
              </w:rPr>
              <w:t>(a)</w:t>
            </w:r>
          </w:p>
        </w:tc>
        <w:tc>
          <w:tcPr>
            <w:tcW w:w="320" w:type="dxa"/>
            <w:vAlign w:val="bottom"/>
            <w:shd w:val="clear" w:color="auto" w:fill="E0E3F1"/>
          </w:tcPr>
          <w:p>
            <w:pPr>
              <w:spacing w:after="0"/>
              <w:rPr>
                <w:sz w:val="17"/>
                <w:szCs w:val="17"/>
                <w:color w:val="auto"/>
              </w:rPr>
            </w:pPr>
          </w:p>
        </w:tc>
        <w:tc>
          <w:tcPr>
            <w:tcW w:w="1040" w:type="dxa"/>
            <w:vAlign w:val="bottom"/>
            <w:shd w:val="clear" w:color="auto" w:fill="E0E3F1"/>
          </w:tcPr>
          <w:p>
            <w:pPr>
              <w:jc w:val="right"/>
              <w:ind w:right="8"/>
              <w:spacing w:after="0"/>
              <w:rPr>
                <w:sz w:val="20"/>
                <w:szCs w:val="20"/>
                <w:color w:val="auto"/>
              </w:rPr>
            </w:pPr>
            <w:r>
              <w:rPr>
                <w:rFonts w:ascii="Arial" w:cs="Arial" w:eastAsia="Arial" w:hAnsi="Arial"/>
                <w:sz w:val="14"/>
                <w:szCs w:val="14"/>
                <w:color w:val="auto"/>
              </w:rPr>
              <w:t>81.6</w:t>
            </w:r>
          </w:p>
        </w:tc>
        <w:tc>
          <w:tcPr>
            <w:tcW w:w="180" w:type="dxa"/>
            <w:vAlign w:val="bottom"/>
            <w:shd w:val="clear" w:color="auto" w:fill="E0E3F1"/>
          </w:tcPr>
          <w:p>
            <w:pPr>
              <w:spacing w:after="0"/>
              <w:rPr>
                <w:sz w:val="17"/>
                <w:szCs w:val="17"/>
                <w:color w:val="auto"/>
              </w:rPr>
            </w:pPr>
          </w:p>
        </w:tc>
        <w:tc>
          <w:tcPr>
            <w:tcW w:w="11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E0E3F1"/>
          </w:tcPr>
          <w:p>
            <w:pPr>
              <w:spacing w:after="0"/>
              <w:rPr>
                <w:sz w:val="17"/>
                <w:szCs w:val="17"/>
                <w:color w:val="auto"/>
              </w:rPr>
            </w:pPr>
          </w:p>
        </w:tc>
        <w:tc>
          <w:tcPr>
            <w:tcW w:w="1060" w:type="dxa"/>
            <w:vAlign w:val="bottom"/>
            <w:shd w:val="clear" w:color="auto" w:fill="E0E3F1"/>
          </w:tcPr>
          <w:p>
            <w:pPr>
              <w:jc w:val="right"/>
              <w:ind w:right="8"/>
              <w:spacing w:after="0"/>
              <w:rPr>
                <w:sz w:val="20"/>
                <w:szCs w:val="20"/>
                <w:color w:val="auto"/>
              </w:rPr>
            </w:pPr>
            <w:r>
              <w:rPr>
                <w:rFonts w:ascii="Arial" w:cs="Arial" w:eastAsia="Arial" w:hAnsi="Arial"/>
                <w:sz w:val="14"/>
                <w:szCs w:val="14"/>
                <w:color w:val="auto"/>
              </w:rPr>
              <w:t>81.6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0" w:type="dxa"/>
            <w:vAlign w:val="bottom"/>
            <w:shd w:val="clear" w:color="auto" w:fill="E0E3F1"/>
          </w:tcPr>
          <w:p>
            <w:pPr>
              <w:spacing w:after="0"/>
              <w:rPr>
                <w:sz w:val="20"/>
                <w:szCs w:val="20"/>
                <w:color w:val="auto"/>
              </w:rPr>
            </w:pPr>
          </w:p>
        </w:tc>
        <w:tc>
          <w:tcPr>
            <w:tcW w:w="5740" w:type="dxa"/>
            <w:vAlign w:val="bottom"/>
            <w:shd w:val="clear" w:color="auto" w:fill="E0E3F1"/>
          </w:tcPr>
          <w:p>
            <w:pPr>
              <w:ind w:left="140"/>
              <w:spacing w:after="0" w:line="237" w:lineRule="exact"/>
              <w:rPr>
                <w:sz w:val="20"/>
                <w:szCs w:val="20"/>
                <w:color w:val="auto"/>
              </w:rPr>
            </w:pPr>
            <w:r>
              <w:rPr>
                <w:rFonts w:ascii="Arial" w:cs="Arial" w:eastAsia="Arial" w:hAnsi="Arial"/>
                <w:sz w:val="14"/>
                <w:szCs w:val="14"/>
                <w:color w:val="auto"/>
              </w:rPr>
              <w:t>International equity securities</w:t>
            </w:r>
            <w:r>
              <w:rPr>
                <w:rFonts w:ascii="Arial" w:cs="Arial" w:eastAsia="Arial" w:hAnsi="Arial"/>
                <w:sz w:val="23"/>
                <w:szCs w:val="23"/>
                <w:color w:val="auto"/>
                <w:vertAlign w:val="superscript"/>
              </w:rPr>
              <w:t>(b)</w:t>
            </w:r>
          </w:p>
        </w:tc>
        <w:tc>
          <w:tcPr>
            <w:tcW w:w="320" w:type="dxa"/>
            <w:vAlign w:val="bottom"/>
            <w:shd w:val="clear" w:color="auto" w:fill="E0E3F1"/>
          </w:tcPr>
          <w:p>
            <w:pPr>
              <w:spacing w:after="0"/>
              <w:rPr>
                <w:sz w:val="20"/>
                <w:szCs w:val="20"/>
                <w:color w:val="auto"/>
              </w:rPr>
            </w:pPr>
          </w:p>
        </w:tc>
        <w:tc>
          <w:tcPr>
            <w:tcW w:w="1040" w:type="dxa"/>
            <w:vAlign w:val="bottom"/>
            <w:shd w:val="clear" w:color="auto" w:fill="E0E3F1"/>
          </w:tcPr>
          <w:p>
            <w:pPr>
              <w:jc w:val="right"/>
              <w:ind w:right="8"/>
              <w:spacing w:after="0"/>
              <w:rPr>
                <w:sz w:val="20"/>
                <w:szCs w:val="20"/>
                <w:color w:val="auto"/>
              </w:rPr>
            </w:pPr>
            <w:r>
              <w:rPr>
                <w:rFonts w:ascii="Arial" w:cs="Arial" w:eastAsia="Arial" w:hAnsi="Arial"/>
                <w:sz w:val="14"/>
                <w:szCs w:val="14"/>
                <w:color w:val="auto"/>
              </w:rPr>
              <w:t>48.7</w:t>
            </w:r>
          </w:p>
        </w:tc>
        <w:tc>
          <w:tcPr>
            <w:tcW w:w="180" w:type="dxa"/>
            <w:vAlign w:val="bottom"/>
            <w:shd w:val="clear" w:color="auto" w:fill="E0E3F1"/>
          </w:tcPr>
          <w:p>
            <w:pPr>
              <w:spacing w:after="0"/>
              <w:rPr>
                <w:sz w:val="20"/>
                <w:szCs w:val="20"/>
                <w:color w:val="auto"/>
              </w:rPr>
            </w:pPr>
          </w:p>
        </w:tc>
        <w:tc>
          <w:tcPr>
            <w:tcW w:w="11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E0E3F1"/>
          </w:tcPr>
          <w:p>
            <w:pPr>
              <w:spacing w:after="0"/>
              <w:rPr>
                <w:sz w:val="20"/>
                <w:szCs w:val="20"/>
                <w:color w:val="auto"/>
              </w:rPr>
            </w:pPr>
          </w:p>
        </w:tc>
        <w:tc>
          <w:tcPr>
            <w:tcW w:w="1060" w:type="dxa"/>
            <w:vAlign w:val="bottom"/>
            <w:shd w:val="clear" w:color="auto" w:fill="E0E3F1"/>
          </w:tcPr>
          <w:p>
            <w:pPr>
              <w:jc w:val="right"/>
              <w:ind w:right="8"/>
              <w:spacing w:after="0"/>
              <w:rPr>
                <w:sz w:val="20"/>
                <w:szCs w:val="20"/>
                <w:color w:val="auto"/>
              </w:rPr>
            </w:pPr>
            <w:r>
              <w:rPr>
                <w:rFonts w:ascii="Arial" w:cs="Arial" w:eastAsia="Arial" w:hAnsi="Arial"/>
                <w:sz w:val="14"/>
                <w:szCs w:val="14"/>
                <w:color w:val="auto"/>
              </w:rPr>
              <w:t>48.7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5780" w:type="dxa"/>
            <w:vAlign w:val="bottom"/>
            <w:gridSpan w:val="2"/>
            <w:shd w:val="clear" w:color="auto" w:fill="E0E3F1"/>
          </w:tcPr>
          <w:p>
            <w:pPr>
              <w:ind w:left="20"/>
              <w:spacing w:after="0"/>
              <w:rPr>
                <w:sz w:val="20"/>
                <w:szCs w:val="20"/>
                <w:color w:val="auto"/>
              </w:rPr>
            </w:pPr>
            <w:r>
              <w:rPr>
                <w:rFonts w:ascii="Arial" w:cs="Arial" w:eastAsia="Arial" w:hAnsi="Arial"/>
                <w:sz w:val="14"/>
                <w:szCs w:val="14"/>
                <w:color w:val="auto"/>
              </w:rPr>
              <w:t>Fixed income securities:</w:t>
            </w:r>
          </w:p>
        </w:tc>
        <w:tc>
          <w:tcPr>
            <w:tcW w:w="320" w:type="dxa"/>
            <w:vAlign w:val="bottom"/>
            <w:shd w:val="clear" w:color="auto" w:fill="E0E3F1"/>
          </w:tcPr>
          <w:p>
            <w:pPr>
              <w:spacing w:after="0"/>
              <w:rPr>
                <w:sz w:val="14"/>
                <w:szCs w:val="14"/>
                <w:color w:val="auto"/>
              </w:rPr>
            </w:pPr>
          </w:p>
        </w:tc>
        <w:tc>
          <w:tcPr>
            <w:tcW w:w="1040" w:type="dxa"/>
            <w:vAlign w:val="bottom"/>
            <w:shd w:val="clear" w:color="auto" w:fill="E0E3F1"/>
          </w:tcPr>
          <w:p>
            <w:pPr>
              <w:spacing w:after="0"/>
              <w:rPr>
                <w:sz w:val="14"/>
                <w:szCs w:val="14"/>
                <w:color w:val="auto"/>
              </w:rPr>
            </w:pPr>
          </w:p>
        </w:tc>
        <w:tc>
          <w:tcPr>
            <w:tcW w:w="180" w:type="dxa"/>
            <w:vAlign w:val="bottom"/>
            <w:shd w:val="clear" w:color="auto" w:fill="E0E3F1"/>
          </w:tcPr>
          <w:p>
            <w:pPr>
              <w:spacing w:after="0"/>
              <w:rPr>
                <w:sz w:val="14"/>
                <w:szCs w:val="14"/>
                <w:color w:val="auto"/>
              </w:rPr>
            </w:pPr>
          </w:p>
        </w:tc>
        <w:tc>
          <w:tcPr>
            <w:tcW w:w="1160" w:type="dxa"/>
            <w:vAlign w:val="bottom"/>
            <w:shd w:val="clear" w:color="auto" w:fill="E0E3F1"/>
          </w:tcPr>
          <w:p>
            <w:pPr>
              <w:spacing w:after="0"/>
              <w:rPr>
                <w:sz w:val="14"/>
                <w:szCs w:val="14"/>
                <w:color w:val="auto"/>
              </w:rPr>
            </w:pPr>
          </w:p>
        </w:tc>
        <w:tc>
          <w:tcPr>
            <w:tcW w:w="300" w:type="dxa"/>
            <w:vAlign w:val="bottom"/>
            <w:shd w:val="clear" w:color="auto" w:fill="E0E3F1"/>
          </w:tcPr>
          <w:p>
            <w:pPr>
              <w:spacing w:after="0"/>
              <w:rPr>
                <w:sz w:val="14"/>
                <w:szCs w:val="14"/>
                <w:color w:val="auto"/>
              </w:rPr>
            </w:pPr>
          </w:p>
        </w:tc>
        <w:tc>
          <w:tcPr>
            <w:tcW w:w="1060" w:type="dxa"/>
            <w:vAlign w:val="bottom"/>
            <w:shd w:val="clear" w:color="auto" w:fill="E0E3F1"/>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E0E3F1"/>
          </w:tcPr>
          <w:p>
            <w:pPr>
              <w:spacing w:after="0"/>
              <w:rPr>
                <w:sz w:val="17"/>
                <w:szCs w:val="17"/>
                <w:color w:val="auto"/>
              </w:rPr>
            </w:pPr>
          </w:p>
        </w:tc>
        <w:tc>
          <w:tcPr>
            <w:tcW w:w="5740" w:type="dxa"/>
            <w:vAlign w:val="bottom"/>
            <w:shd w:val="clear" w:color="auto" w:fill="E0E3F1"/>
          </w:tcPr>
          <w:p>
            <w:pPr>
              <w:ind w:left="140"/>
              <w:spacing w:after="0" w:line="202" w:lineRule="exact"/>
              <w:rPr>
                <w:sz w:val="20"/>
                <w:szCs w:val="20"/>
                <w:color w:val="auto"/>
              </w:rPr>
            </w:pPr>
            <w:r>
              <w:rPr>
                <w:rFonts w:ascii="Arial" w:cs="Arial" w:eastAsia="Arial" w:hAnsi="Arial"/>
                <w:sz w:val="14"/>
                <w:szCs w:val="14"/>
                <w:color w:val="auto"/>
              </w:rPr>
              <w:t>U.S. government/corporate bonds</w:t>
            </w:r>
            <w:r>
              <w:rPr>
                <w:rFonts w:ascii="Arial" w:cs="Arial" w:eastAsia="Arial" w:hAnsi="Arial"/>
                <w:sz w:val="23"/>
                <w:szCs w:val="23"/>
                <w:color w:val="auto"/>
                <w:vertAlign w:val="superscript"/>
              </w:rPr>
              <w:t>(c)</w:t>
            </w:r>
          </w:p>
        </w:tc>
        <w:tc>
          <w:tcPr>
            <w:tcW w:w="320" w:type="dxa"/>
            <w:vAlign w:val="bottom"/>
            <w:shd w:val="clear" w:color="auto" w:fill="E0E3F1"/>
          </w:tcPr>
          <w:p>
            <w:pPr>
              <w:spacing w:after="0"/>
              <w:rPr>
                <w:sz w:val="17"/>
                <w:szCs w:val="17"/>
                <w:color w:val="auto"/>
              </w:rPr>
            </w:pPr>
          </w:p>
        </w:tc>
        <w:tc>
          <w:tcPr>
            <w:tcW w:w="1040" w:type="dxa"/>
            <w:vAlign w:val="bottom"/>
            <w:shd w:val="clear" w:color="auto" w:fill="E0E3F1"/>
          </w:tcPr>
          <w:p>
            <w:pPr>
              <w:jc w:val="right"/>
              <w:ind w:right="8"/>
              <w:spacing w:after="0"/>
              <w:rPr>
                <w:sz w:val="20"/>
                <w:szCs w:val="20"/>
                <w:color w:val="auto"/>
              </w:rPr>
            </w:pPr>
            <w:r>
              <w:rPr>
                <w:rFonts w:ascii="Arial" w:cs="Arial" w:eastAsia="Arial" w:hAnsi="Arial"/>
                <w:sz w:val="14"/>
                <w:szCs w:val="14"/>
                <w:color w:val="auto"/>
              </w:rPr>
              <w:t>439.6</w:t>
            </w:r>
          </w:p>
        </w:tc>
        <w:tc>
          <w:tcPr>
            <w:tcW w:w="180" w:type="dxa"/>
            <w:vAlign w:val="bottom"/>
            <w:shd w:val="clear" w:color="auto" w:fill="E0E3F1"/>
          </w:tcPr>
          <w:p>
            <w:pPr>
              <w:spacing w:after="0"/>
              <w:rPr>
                <w:sz w:val="17"/>
                <w:szCs w:val="17"/>
                <w:color w:val="auto"/>
              </w:rPr>
            </w:pPr>
          </w:p>
        </w:tc>
        <w:tc>
          <w:tcPr>
            <w:tcW w:w="11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E0E3F1"/>
          </w:tcPr>
          <w:p>
            <w:pPr>
              <w:spacing w:after="0"/>
              <w:rPr>
                <w:sz w:val="17"/>
                <w:szCs w:val="17"/>
                <w:color w:val="auto"/>
              </w:rPr>
            </w:pPr>
          </w:p>
        </w:tc>
        <w:tc>
          <w:tcPr>
            <w:tcW w:w="1060" w:type="dxa"/>
            <w:vAlign w:val="bottom"/>
            <w:shd w:val="clear" w:color="auto" w:fill="E0E3F1"/>
          </w:tcPr>
          <w:p>
            <w:pPr>
              <w:jc w:val="right"/>
              <w:ind w:right="8"/>
              <w:spacing w:after="0"/>
              <w:rPr>
                <w:sz w:val="20"/>
                <w:szCs w:val="20"/>
                <w:color w:val="auto"/>
              </w:rPr>
            </w:pPr>
            <w:r>
              <w:rPr>
                <w:rFonts w:ascii="Arial" w:cs="Arial" w:eastAsia="Arial" w:hAnsi="Arial"/>
                <w:sz w:val="14"/>
                <w:szCs w:val="14"/>
                <w:color w:val="auto"/>
              </w:rPr>
              <w:t>439.6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0" w:type="dxa"/>
            <w:vAlign w:val="bottom"/>
            <w:shd w:val="clear" w:color="auto" w:fill="E0E3F1"/>
          </w:tcPr>
          <w:p>
            <w:pPr>
              <w:spacing w:after="0"/>
              <w:rPr>
                <w:sz w:val="20"/>
                <w:szCs w:val="20"/>
                <w:color w:val="auto"/>
              </w:rPr>
            </w:pPr>
          </w:p>
        </w:tc>
        <w:tc>
          <w:tcPr>
            <w:tcW w:w="5740" w:type="dxa"/>
            <w:vAlign w:val="bottom"/>
            <w:shd w:val="clear" w:color="auto" w:fill="E0E3F1"/>
          </w:tcPr>
          <w:p>
            <w:pPr>
              <w:ind w:left="140"/>
              <w:spacing w:after="0" w:line="237" w:lineRule="exact"/>
              <w:rPr>
                <w:sz w:val="20"/>
                <w:szCs w:val="20"/>
                <w:color w:val="auto"/>
              </w:rPr>
            </w:pPr>
            <w:r>
              <w:rPr>
                <w:rFonts w:ascii="Arial" w:cs="Arial" w:eastAsia="Arial" w:hAnsi="Arial"/>
                <w:sz w:val="14"/>
                <w:szCs w:val="14"/>
                <w:color w:val="auto"/>
              </w:rPr>
              <w:t>High yield bonds</w:t>
            </w:r>
            <w:r>
              <w:rPr>
                <w:rFonts w:ascii="Arial" w:cs="Arial" w:eastAsia="Arial" w:hAnsi="Arial"/>
                <w:sz w:val="23"/>
                <w:szCs w:val="23"/>
                <w:color w:val="auto"/>
                <w:vertAlign w:val="superscript"/>
              </w:rPr>
              <w:t>(d)</w:t>
            </w:r>
          </w:p>
        </w:tc>
        <w:tc>
          <w:tcPr>
            <w:tcW w:w="320" w:type="dxa"/>
            <w:vAlign w:val="bottom"/>
            <w:shd w:val="clear" w:color="auto" w:fill="E0E3F1"/>
          </w:tcPr>
          <w:p>
            <w:pPr>
              <w:spacing w:after="0"/>
              <w:rPr>
                <w:sz w:val="20"/>
                <w:szCs w:val="20"/>
                <w:color w:val="auto"/>
              </w:rPr>
            </w:pPr>
          </w:p>
        </w:tc>
        <w:tc>
          <w:tcPr>
            <w:tcW w:w="1040" w:type="dxa"/>
            <w:vAlign w:val="bottom"/>
            <w:shd w:val="clear" w:color="auto" w:fill="E0E3F1"/>
          </w:tcPr>
          <w:p>
            <w:pPr>
              <w:jc w:val="right"/>
              <w:ind w:right="8"/>
              <w:spacing w:after="0"/>
              <w:rPr>
                <w:sz w:val="20"/>
                <w:szCs w:val="20"/>
                <w:color w:val="auto"/>
              </w:rPr>
            </w:pPr>
            <w:r>
              <w:rPr>
                <w:rFonts w:ascii="Arial" w:cs="Arial" w:eastAsia="Arial" w:hAnsi="Arial"/>
                <w:sz w:val="14"/>
                <w:szCs w:val="14"/>
                <w:color w:val="auto"/>
              </w:rPr>
              <w:t>42.6</w:t>
            </w:r>
          </w:p>
        </w:tc>
        <w:tc>
          <w:tcPr>
            <w:tcW w:w="180" w:type="dxa"/>
            <w:vAlign w:val="bottom"/>
            <w:shd w:val="clear" w:color="auto" w:fill="E0E3F1"/>
          </w:tcPr>
          <w:p>
            <w:pPr>
              <w:spacing w:after="0"/>
              <w:rPr>
                <w:sz w:val="20"/>
                <w:szCs w:val="20"/>
                <w:color w:val="auto"/>
              </w:rPr>
            </w:pPr>
          </w:p>
        </w:tc>
        <w:tc>
          <w:tcPr>
            <w:tcW w:w="11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E0E3F1"/>
          </w:tcPr>
          <w:p>
            <w:pPr>
              <w:spacing w:after="0"/>
              <w:rPr>
                <w:sz w:val="20"/>
                <w:szCs w:val="20"/>
                <w:color w:val="auto"/>
              </w:rPr>
            </w:pPr>
          </w:p>
        </w:tc>
        <w:tc>
          <w:tcPr>
            <w:tcW w:w="1060" w:type="dxa"/>
            <w:vAlign w:val="bottom"/>
            <w:shd w:val="clear" w:color="auto" w:fill="E0E3F1"/>
          </w:tcPr>
          <w:p>
            <w:pPr>
              <w:jc w:val="right"/>
              <w:ind w:right="8"/>
              <w:spacing w:after="0"/>
              <w:rPr>
                <w:sz w:val="20"/>
                <w:szCs w:val="20"/>
                <w:color w:val="auto"/>
              </w:rPr>
            </w:pPr>
            <w:r>
              <w:rPr>
                <w:rFonts w:ascii="Arial" w:cs="Arial" w:eastAsia="Arial" w:hAnsi="Arial"/>
                <w:sz w:val="14"/>
                <w:szCs w:val="14"/>
                <w:color w:val="auto"/>
              </w:rPr>
              <w:t>42.6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0" w:type="dxa"/>
            <w:vAlign w:val="bottom"/>
            <w:tcBorders>
              <w:bottom w:val="single" w:sz="8" w:color="00539B"/>
            </w:tcBorders>
            <w:shd w:val="clear" w:color="auto" w:fill="E0E3F1"/>
          </w:tcPr>
          <w:p>
            <w:pPr>
              <w:spacing w:after="0"/>
              <w:rPr>
                <w:sz w:val="17"/>
                <w:szCs w:val="17"/>
                <w:color w:val="auto"/>
              </w:rPr>
            </w:pPr>
          </w:p>
        </w:tc>
        <w:tc>
          <w:tcPr>
            <w:tcW w:w="5740" w:type="dxa"/>
            <w:vAlign w:val="bottom"/>
            <w:tcBorders>
              <w:bottom w:val="single" w:sz="8" w:color="00539B"/>
            </w:tcBorders>
            <w:shd w:val="clear" w:color="auto" w:fill="E0E3F1"/>
          </w:tcPr>
          <w:p>
            <w:pPr>
              <w:ind w:left="140"/>
              <w:spacing w:after="0" w:line="202" w:lineRule="exact"/>
              <w:rPr>
                <w:sz w:val="20"/>
                <w:szCs w:val="20"/>
                <w:color w:val="auto"/>
              </w:rPr>
            </w:pPr>
            <w:r>
              <w:rPr>
                <w:rFonts w:ascii="Arial" w:cs="Arial" w:eastAsia="Arial" w:hAnsi="Arial"/>
                <w:sz w:val="14"/>
                <w:szCs w:val="14"/>
                <w:color w:val="auto"/>
              </w:rPr>
              <w:t>Insurance contracts</w:t>
            </w:r>
            <w:r>
              <w:rPr>
                <w:rFonts w:ascii="Arial" w:cs="Arial" w:eastAsia="Arial" w:hAnsi="Arial"/>
                <w:sz w:val="18"/>
                <w:szCs w:val="18"/>
                <w:color w:val="auto"/>
                <w:vertAlign w:val="superscript"/>
              </w:rPr>
              <w:t>(f)</w:t>
            </w:r>
          </w:p>
        </w:tc>
        <w:tc>
          <w:tcPr>
            <w:tcW w:w="320" w:type="dxa"/>
            <w:vAlign w:val="bottom"/>
            <w:tcBorders>
              <w:bottom w:val="single" w:sz="8" w:color="00539B"/>
            </w:tcBorders>
            <w:shd w:val="clear" w:color="auto" w:fill="E0E3F1"/>
          </w:tcPr>
          <w:p>
            <w:pPr>
              <w:spacing w:after="0"/>
              <w:rPr>
                <w:sz w:val="17"/>
                <w:szCs w:val="17"/>
                <w:color w:val="auto"/>
              </w:rPr>
            </w:pPr>
          </w:p>
        </w:tc>
        <w:tc>
          <w:tcPr>
            <w:tcW w:w="1040" w:type="dxa"/>
            <w:vAlign w:val="bottom"/>
            <w:tcBorders>
              <w:bottom w:val="single" w:sz="8" w:color="00539B"/>
            </w:tcBorders>
            <w:shd w:val="clear" w:color="auto" w:fill="E0E3F1"/>
          </w:tcPr>
          <w:p>
            <w:pPr>
              <w:jc w:val="right"/>
              <w:ind w:right="8"/>
              <w:spacing w:after="0"/>
              <w:rPr>
                <w:sz w:val="20"/>
                <w:szCs w:val="20"/>
                <w:color w:val="auto"/>
              </w:rPr>
            </w:pPr>
            <w:r>
              <w:rPr>
                <w:rFonts w:ascii="Arial" w:cs="Arial" w:eastAsia="Arial" w:hAnsi="Arial"/>
                <w:sz w:val="14"/>
                <w:szCs w:val="14"/>
                <w:color w:val="auto"/>
              </w:rPr>
              <w:t>1.2</w:t>
            </w:r>
          </w:p>
        </w:tc>
        <w:tc>
          <w:tcPr>
            <w:tcW w:w="180" w:type="dxa"/>
            <w:vAlign w:val="bottom"/>
            <w:tcBorders>
              <w:bottom w:val="single" w:sz="8" w:color="00539B"/>
            </w:tcBorders>
            <w:shd w:val="clear" w:color="auto" w:fill="E0E3F1"/>
          </w:tcPr>
          <w:p>
            <w:pPr>
              <w:spacing w:after="0"/>
              <w:rPr>
                <w:sz w:val="17"/>
                <w:szCs w:val="17"/>
                <w:color w:val="auto"/>
              </w:rPr>
            </w:pPr>
          </w:p>
        </w:tc>
        <w:tc>
          <w:tcPr>
            <w:tcW w:w="116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00539B"/>
            </w:tcBorders>
            <w:shd w:val="clear" w:color="auto" w:fill="E0E3F1"/>
          </w:tcPr>
          <w:p>
            <w:pPr>
              <w:spacing w:after="0"/>
              <w:rPr>
                <w:sz w:val="17"/>
                <w:szCs w:val="17"/>
                <w:color w:val="auto"/>
              </w:rPr>
            </w:pPr>
          </w:p>
        </w:tc>
        <w:tc>
          <w:tcPr>
            <w:tcW w:w="1060" w:type="dxa"/>
            <w:vAlign w:val="bottom"/>
            <w:tcBorders>
              <w:bottom w:val="single" w:sz="8" w:color="00539B"/>
            </w:tcBorders>
            <w:shd w:val="clear" w:color="auto" w:fill="E0E3F1"/>
          </w:tcPr>
          <w:p>
            <w:pPr>
              <w:jc w:val="right"/>
              <w:ind w:right="8"/>
              <w:spacing w:after="0"/>
              <w:rPr>
                <w:sz w:val="20"/>
                <w:szCs w:val="20"/>
                <w:color w:val="auto"/>
              </w:rPr>
            </w:pPr>
            <w:r>
              <w:rPr>
                <w:rFonts w:ascii="Arial" w:cs="Arial" w:eastAsia="Arial" w:hAnsi="Arial"/>
                <w:sz w:val="14"/>
                <w:szCs w:val="14"/>
                <w:color w:val="auto"/>
              </w:rPr>
              <w:t>1.2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780" w:type="dxa"/>
            <w:vAlign w:val="bottom"/>
            <w:tcBorders>
              <w:bottom w:val="single" w:sz="8" w:color="00539B"/>
            </w:tcBorders>
            <w:gridSpan w:val="2"/>
            <w:shd w:val="clear" w:color="auto" w:fill="E0E3F1"/>
          </w:tcPr>
          <w:p>
            <w:pPr>
              <w:ind w:left="20"/>
              <w:spacing w:after="0"/>
              <w:rPr>
                <w:sz w:val="20"/>
                <w:szCs w:val="20"/>
                <w:color w:val="auto"/>
              </w:rPr>
            </w:pPr>
            <w:r>
              <w:rPr>
                <w:rFonts w:ascii="Arial" w:cs="Arial" w:eastAsia="Arial" w:hAnsi="Arial"/>
                <w:sz w:val="14"/>
                <w:szCs w:val="14"/>
                <w:color w:val="auto"/>
              </w:rPr>
              <w:t>Total</w:t>
            </w:r>
          </w:p>
        </w:tc>
        <w:tc>
          <w:tcPr>
            <w:tcW w:w="320" w:type="dxa"/>
            <w:vAlign w:val="bottom"/>
            <w:tcBorders>
              <w:bottom w:val="single" w:sz="8" w:color="00539B"/>
            </w:tcBorders>
            <w:shd w:val="clear" w:color="auto" w:fill="E0E3F1"/>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00539B"/>
            </w:tcBorders>
            <w:shd w:val="clear" w:color="auto" w:fill="E0E3F1"/>
          </w:tcPr>
          <w:p>
            <w:pPr>
              <w:jc w:val="right"/>
              <w:ind w:right="8"/>
              <w:spacing w:after="0"/>
              <w:rPr>
                <w:sz w:val="20"/>
                <w:szCs w:val="20"/>
                <w:color w:val="auto"/>
              </w:rPr>
            </w:pPr>
            <w:r>
              <w:rPr>
                <w:rFonts w:ascii="Arial" w:cs="Arial" w:eastAsia="Arial" w:hAnsi="Arial"/>
                <w:sz w:val="14"/>
                <w:szCs w:val="14"/>
                <w:color w:val="auto"/>
              </w:rPr>
              <w:t>618.2</w:t>
            </w:r>
          </w:p>
        </w:tc>
        <w:tc>
          <w:tcPr>
            <w:tcW w:w="180" w:type="dxa"/>
            <w:vAlign w:val="bottom"/>
            <w:tcBorders>
              <w:bottom w:val="single" w:sz="8" w:color="00539B"/>
            </w:tcBorders>
            <w:shd w:val="clear" w:color="auto" w:fill="E0E3F1"/>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4.5</w:t>
            </w:r>
          </w:p>
        </w:tc>
        <w:tc>
          <w:tcPr>
            <w:tcW w:w="300" w:type="dxa"/>
            <w:vAlign w:val="bottom"/>
            <w:tcBorders>
              <w:bottom w:val="single" w:sz="8" w:color="00539B"/>
            </w:tcBorders>
            <w:shd w:val="clear" w:color="auto" w:fill="E0E3F1"/>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00539B"/>
            </w:tcBorders>
            <w:shd w:val="clear" w:color="auto" w:fill="E0E3F1"/>
          </w:tcPr>
          <w:p>
            <w:pPr>
              <w:jc w:val="right"/>
              <w:ind w:right="8"/>
              <w:spacing w:after="0"/>
              <w:rPr>
                <w:sz w:val="20"/>
                <w:szCs w:val="20"/>
                <w:color w:val="auto"/>
              </w:rPr>
            </w:pPr>
            <w:r>
              <w:rPr>
                <w:rFonts w:ascii="Arial" w:cs="Arial" w:eastAsia="Arial" w:hAnsi="Arial"/>
                <w:sz w:val="14"/>
                <w:szCs w:val="14"/>
                <w:color w:val="auto"/>
              </w:rPr>
              <w:t>613.7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5780" w:type="dxa"/>
            <w:vAlign w:val="bottom"/>
            <w:gridSpan w:val="2"/>
            <w:shd w:val="clear" w:color="auto" w:fill="E0E3F1"/>
          </w:tcPr>
          <w:p>
            <w:pPr>
              <w:ind w:left="20"/>
              <w:spacing w:after="0" w:line="165" w:lineRule="exact"/>
              <w:rPr>
                <w:sz w:val="20"/>
                <w:szCs w:val="20"/>
                <w:color w:val="auto"/>
              </w:rPr>
            </w:pPr>
            <w:r>
              <w:rPr>
                <w:rFonts w:ascii="Arial" w:cs="Arial" w:eastAsia="Arial" w:hAnsi="Arial"/>
                <w:sz w:val="12"/>
                <w:szCs w:val="12"/>
                <w:color w:val="auto"/>
              </w:rPr>
              <w:t>Investments measured at net asset value</w:t>
            </w:r>
            <w:r>
              <w:rPr>
                <w:rFonts w:ascii="Arial" w:cs="Arial" w:eastAsia="Arial" w:hAnsi="Arial"/>
                <w:sz w:val="19"/>
                <w:szCs w:val="19"/>
                <w:color w:val="auto"/>
                <w:vertAlign w:val="superscript"/>
              </w:rPr>
              <w:t>(h)</w:t>
            </w:r>
          </w:p>
        </w:tc>
        <w:tc>
          <w:tcPr>
            <w:tcW w:w="320" w:type="dxa"/>
            <w:vAlign w:val="bottom"/>
            <w:shd w:val="clear" w:color="auto" w:fill="E0E3F1"/>
          </w:tcPr>
          <w:p>
            <w:pPr>
              <w:spacing w:after="0"/>
              <w:rPr>
                <w:sz w:val="14"/>
                <w:szCs w:val="14"/>
                <w:color w:val="auto"/>
              </w:rPr>
            </w:pPr>
          </w:p>
        </w:tc>
        <w:tc>
          <w:tcPr>
            <w:tcW w:w="1040" w:type="dxa"/>
            <w:vAlign w:val="bottom"/>
            <w:shd w:val="clear" w:color="auto" w:fill="E0E3F1"/>
          </w:tcPr>
          <w:p>
            <w:pPr>
              <w:spacing w:after="0"/>
              <w:rPr>
                <w:sz w:val="14"/>
                <w:szCs w:val="14"/>
                <w:color w:val="auto"/>
              </w:rPr>
            </w:pPr>
          </w:p>
        </w:tc>
        <w:tc>
          <w:tcPr>
            <w:tcW w:w="180" w:type="dxa"/>
            <w:vAlign w:val="bottom"/>
            <w:shd w:val="clear" w:color="auto" w:fill="E0E3F1"/>
          </w:tcPr>
          <w:p>
            <w:pPr>
              <w:spacing w:after="0"/>
              <w:rPr>
                <w:sz w:val="14"/>
                <w:szCs w:val="14"/>
                <w:color w:val="auto"/>
              </w:rPr>
            </w:pPr>
          </w:p>
        </w:tc>
        <w:tc>
          <w:tcPr>
            <w:tcW w:w="1160" w:type="dxa"/>
            <w:vAlign w:val="bottom"/>
            <w:shd w:val="clear" w:color="auto" w:fill="E0E3F1"/>
          </w:tcPr>
          <w:p>
            <w:pPr>
              <w:spacing w:after="0"/>
              <w:rPr>
                <w:sz w:val="14"/>
                <w:szCs w:val="14"/>
                <w:color w:val="auto"/>
              </w:rPr>
            </w:pPr>
          </w:p>
        </w:tc>
        <w:tc>
          <w:tcPr>
            <w:tcW w:w="300" w:type="dxa"/>
            <w:vAlign w:val="bottom"/>
            <w:shd w:val="clear" w:color="auto" w:fill="E0E3F1"/>
          </w:tcPr>
          <w:p>
            <w:pPr>
              <w:spacing w:after="0"/>
              <w:rPr>
                <w:sz w:val="14"/>
                <w:szCs w:val="14"/>
                <w:color w:val="auto"/>
              </w:rPr>
            </w:pPr>
          </w:p>
        </w:tc>
        <w:tc>
          <w:tcPr>
            <w:tcW w:w="1060" w:type="dxa"/>
            <w:vAlign w:val="bottom"/>
            <w:shd w:val="clear" w:color="auto" w:fill="E0E3F1"/>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E0E3F1"/>
          </w:tcPr>
          <w:p>
            <w:pPr>
              <w:spacing w:after="0"/>
              <w:rPr>
                <w:sz w:val="17"/>
                <w:szCs w:val="17"/>
                <w:color w:val="auto"/>
              </w:rPr>
            </w:pPr>
          </w:p>
        </w:tc>
        <w:tc>
          <w:tcPr>
            <w:tcW w:w="5740" w:type="dxa"/>
            <w:vAlign w:val="bottom"/>
            <w:shd w:val="clear" w:color="auto" w:fill="E0E3F1"/>
          </w:tcPr>
          <w:p>
            <w:pPr>
              <w:ind w:left="180"/>
              <w:spacing w:after="0" w:line="202" w:lineRule="exact"/>
              <w:rPr>
                <w:sz w:val="20"/>
                <w:szCs w:val="20"/>
                <w:color w:val="auto"/>
              </w:rPr>
            </w:pPr>
            <w:r>
              <w:rPr>
                <w:rFonts w:ascii="Arial" w:cs="Arial" w:eastAsia="Arial" w:hAnsi="Arial"/>
                <w:sz w:val="14"/>
                <w:szCs w:val="14"/>
                <w:color w:val="auto"/>
              </w:rPr>
              <w:t>Hedge funds</w:t>
            </w:r>
            <w:r>
              <w:rPr>
                <w:rFonts w:ascii="Arial" w:cs="Arial" w:eastAsia="Arial" w:hAnsi="Arial"/>
                <w:sz w:val="23"/>
                <w:szCs w:val="23"/>
                <w:color w:val="auto"/>
                <w:vertAlign w:val="superscript"/>
              </w:rPr>
              <w:t>(i)</w:t>
            </w:r>
          </w:p>
        </w:tc>
        <w:tc>
          <w:tcPr>
            <w:tcW w:w="320" w:type="dxa"/>
            <w:vAlign w:val="bottom"/>
            <w:shd w:val="clear" w:color="auto" w:fill="E0E3F1"/>
          </w:tcPr>
          <w:p>
            <w:pPr>
              <w:spacing w:after="0"/>
              <w:rPr>
                <w:sz w:val="17"/>
                <w:szCs w:val="17"/>
                <w:color w:val="auto"/>
              </w:rPr>
            </w:pPr>
          </w:p>
        </w:tc>
        <w:tc>
          <w:tcPr>
            <w:tcW w:w="1040" w:type="dxa"/>
            <w:vAlign w:val="bottom"/>
            <w:shd w:val="clear" w:color="auto" w:fill="E0E3F1"/>
          </w:tcPr>
          <w:p>
            <w:pPr>
              <w:jc w:val="right"/>
              <w:ind w:right="8"/>
              <w:spacing w:after="0"/>
              <w:rPr>
                <w:sz w:val="20"/>
                <w:szCs w:val="20"/>
                <w:color w:val="auto"/>
              </w:rPr>
            </w:pPr>
            <w:r>
              <w:rPr>
                <w:rFonts w:ascii="Arial" w:cs="Arial" w:eastAsia="Arial" w:hAnsi="Arial"/>
                <w:sz w:val="14"/>
                <w:szCs w:val="14"/>
                <w:color w:val="auto"/>
              </w:rPr>
              <w:t>18.3</w:t>
            </w:r>
          </w:p>
        </w:tc>
        <w:tc>
          <w:tcPr>
            <w:tcW w:w="180" w:type="dxa"/>
            <w:vAlign w:val="bottom"/>
            <w:shd w:val="clear" w:color="auto" w:fill="E0E3F1"/>
          </w:tcPr>
          <w:p>
            <w:pPr>
              <w:spacing w:after="0"/>
              <w:rPr>
                <w:sz w:val="17"/>
                <w:szCs w:val="17"/>
                <w:color w:val="auto"/>
              </w:rPr>
            </w:pPr>
          </w:p>
        </w:tc>
        <w:tc>
          <w:tcPr>
            <w:tcW w:w="1160" w:type="dxa"/>
            <w:vAlign w:val="bottom"/>
            <w:shd w:val="clear" w:color="auto" w:fill="E0E3F1"/>
          </w:tcPr>
          <w:p>
            <w:pPr>
              <w:spacing w:after="0"/>
              <w:rPr>
                <w:sz w:val="17"/>
                <w:szCs w:val="17"/>
                <w:color w:val="auto"/>
              </w:rPr>
            </w:pPr>
          </w:p>
        </w:tc>
        <w:tc>
          <w:tcPr>
            <w:tcW w:w="300" w:type="dxa"/>
            <w:vAlign w:val="bottom"/>
            <w:shd w:val="clear" w:color="auto" w:fill="E0E3F1"/>
          </w:tcPr>
          <w:p>
            <w:pPr>
              <w:spacing w:after="0"/>
              <w:rPr>
                <w:sz w:val="17"/>
                <w:szCs w:val="17"/>
                <w:color w:val="auto"/>
              </w:rPr>
            </w:pPr>
          </w:p>
        </w:tc>
        <w:tc>
          <w:tcPr>
            <w:tcW w:w="1060" w:type="dxa"/>
            <w:vAlign w:val="bottom"/>
            <w:shd w:val="clear" w:color="auto" w:fill="E0E3F1"/>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E0E3F1"/>
          </w:tcPr>
          <w:p>
            <w:pPr>
              <w:spacing w:after="0"/>
              <w:rPr>
                <w:sz w:val="17"/>
                <w:szCs w:val="17"/>
                <w:color w:val="auto"/>
              </w:rPr>
            </w:pPr>
          </w:p>
        </w:tc>
        <w:tc>
          <w:tcPr>
            <w:tcW w:w="5740" w:type="dxa"/>
            <w:vAlign w:val="bottom"/>
            <w:shd w:val="clear" w:color="auto" w:fill="E0E3F1"/>
          </w:tcPr>
          <w:p>
            <w:pPr>
              <w:ind w:left="180"/>
              <w:spacing w:after="0" w:line="202" w:lineRule="exact"/>
              <w:rPr>
                <w:sz w:val="20"/>
                <w:szCs w:val="20"/>
                <w:color w:val="auto"/>
              </w:rPr>
            </w:pPr>
            <w:r>
              <w:rPr>
                <w:rFonts w:ascii="Arial" w:cs="Arial" w:eastAsia="Arial" w:hAnsi="Arial"/>
                <w:sz w:val="14"/>
                <w:szCs w:val="14"/>
                <w:color w:val="auto"/>
              </w:rPr>
              <w:t>Private equity funds</w:t>
            </w:r>
            <w:r>
              <w:rPr>
                <w:rFonts w:ascii="Arial" w:cs="Arial" w:eastAsia="Arial" w:hAnsi="Arial"/>
                <w:sz w:val="23"/>
                <w:szCs w:val="23"/>
                <w:color w:val="auto"/>
                <w:vertAlign w:val="superscript"/>
              </w:rPr>
              <w:t>(j)</w:t>
            </w:r>
          </w:p>
        </w:tc>
        <w:tc>
          <w:tcPr>
            <w:tcW w:w="320" w:type="dxa"/>
            <w:vAlign w:val="bottom"/>
            <w:shd w:val="clear" w:color="auto" w:fill="E0E3F1"/>
          </w:tcPr>
          <w:p>
            <w:pPr>
              <w:spacing w:after="0"/>
              <w:rPr>
                <w:sz w:val="17"/>
                <w:szCs w:val="17"/>
                <w:color w:val="auto"/>
              </w:rPr>
            </w:pPr>
          </w:p>
        </w:tc>
        <w:tc>
          <w:tcPr>
            <w:tcW w:w="1040" w:type="dxa"/>
            <w:vAlign w:val="bottom"/>
            <w:shd w:val="clear" w:color="auto" w:fill="E0E3F1"/>
          </w:tcPr>
          <w:p>
            <w:pPr>
              <w:jc w:val="right"/>
              <w:ind w:right="8"/>
              <w:spacing w:after="0"/>
              <w:rPr>
                <w:sz w:val="20"/>
                <w:szCs w:val="20"/>
                <w:color w:val="auto"/>
              </w:rPr>
            </w:pPr>
            <w:r>
              <w:rPr>
                <w:rFonts w:ascii="Arial" w:cs="Arial" w:eastAsia="Arial" w:hAnsi="Arial"/>
                <w:sz w:val="14"/>
                <w:szCs w:val="14"/>
                <w:color w:val="auto"/>
              </w:rPr>
              <w:t>7.1</w:t>
            </w:r>
          </w:p>
        </w:tc>
        <w:tc>
          <w:tcPr>
            <w:tcW w:w="180" w:type="dxa"/>
            <w:vAlign w:val="bottom"/>
            <w:shd w:val="clear" w:color="auto" w:fill="E0E3F1"/>
          </w:tcPr>
          <w:p>
            <w:pPr>
              <w:spacing w:after="0"/>
              <w:rPr>
                <w:sz w:val="17"/>
                <w:szCs w:val="17"/>
                <w:color w:val="auto"/>
              </w:rPr>
            </w:pPr>
          </w:p>
        </w:tc>
        <w:tc>
          <w:tcPr>
            <w:tcW w:w="1160" w:type="dxa"/>
            <w:vAlign w:val="bottom"/>
            <w:shd w:val="clear" w:color="auto" w:fill="E0E3F1"/>
          </w:tcPr>
          <w:p>
            <w:pPr>
              <w:spacing w:after="0"/>
              <w:rPr>
                <w:sz w:val="17"/>
                <w:szCs w:val="17"/>
                <w:color w:val="auto"/>
              </w:rPr>
            </w:pPr>
          </w:p>
        </w:tc>
        <w:tc>
          <w:tcPr>
            <w:tcW w:w="300" w:type="dxa"/>
            <w:vAlign w:val="bottom"/>
            <w:shd w:val="clear" w:color="auto" w:fill="E0E3F1"/>
          </w:tcPr>
          <w:p>
            <w:pPr>
              <w:spacing w:after="0"/>
              <w:rPr>
                <w:sz w:val="17"/>
                <w:szCs w:val="17"/>
                <w:color w:val="auto"/>
              </w:rPr>
            </w:pPr>
          </w:p>
        </w:tc>
        <w:tc>
          <w:tcPr>
            <w:tcW w:w="1060" w:type="dxa"/>
            <w:vAlign w:val="bottom"/>
            <w:shd w:val="clear" w:color="auto" w:fill="E0E3F1"/>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E0E3F1"/>
          </w:tcPr>
          <w:p>
            <w:pPr>
              <w:spacing w:after="0"/>
              <w:rPr>
                <w:sz w:val="17"/>
                <w:szCs w:val="17"/>
                <w:color w:val="auto"/>
              </w:rPr>
            </w:pPr>
          </w:p>
        </w:tc>
        <w:tc>
          <w:tcPr>
            <w:tcW w:w="5740" w:type="dxa"/>
            <w:vAlign w:val="bottom"/>
            <w:shd w:val="clear" w:color="auto" w:fill="E0E3F1"/>
          </w:tcPr>
          <w:p>
            <w:pPr>
              <w:ind w:left="180"/>
              <w:spacing w:after="0" w:line="202" w:lineRule="exact"/>
              <w:rPr>
                <w:sz w:val="20"/>
                <w:szCs w:val="20"/>
                <w:color w:val="auto"/>
              </w:rPr>
            </w:pPr>
            <w:r>
              <w:rPr>
                <w:rFonts w:ascii="Arial" w:cs="Arial" w:eastAsia="Arial" w:hAnsi="Arial"/>
                <w:sz w:val="14"/>
                <w:szCs w:val="14"/>
                <w:color w:val="auto"/>
              </w:rPr>
              <w:t>Private debt funds</w:t>
            </w:r>
            <w:r>
              <w:rPr>
                <w:rFonts w:ascii="Arial" w:cs="Arial" w:eastAsia="Arial" w:hAnsi="Arial"/>
                <w:sz w:val="23"/>
                <w:szCs w:val="23"/>
                <w:color w:val="auto"/>
                <w:vertAlign w:val="superscript"/>
              </w:rPr>
              <w:t>(k)</w:t>
            </w:r>
          </w:p>
        </w:tc>
        <w:tc>
          <w:tcPr>
            <w:tcW w:w="320" w:type="dxa"/>
            <w:vAlign w:val="bottom"/>
            <w:shd w:val="clear" w:color="auto" w:fill="E0E3F1"/>
          </w:tcPr>
          <w:p>
            <w:pPr>
              <w:spacing w:after="0"/>
              <w:rPr>
                <w:sz w:val="17"/>
                <w:szCs w:val="17"/>
                <w:color w:val="auto"/>
              </w:rPr>
            </w:pPr>
          </w:p>
        </w:tc>
        <w:tc>
          <w:tcPr>
            <w:tcW w:w="1040" w:type="dxa"/>
            <w:vAlign w:val="bottom"/>
            <w:shd w:val="clear" w:color="auto" w:fill="E0E3F1"/>
          </w:tcPr>
          <w:p>
            <w:pPr>
              <w:jc w:val="right"/>
              <w:ind w:right="8"/>
              <w:spacing w:after="0"/>
              <w:rPr>
                <w:sz w:val="20"/>
                <w:szCs w:val="20"/>
                <w:color w:val="auto"/>
              </w:rPr>
            </w:pPr>
            <w:r>
              <w:rPr>
                <w:rFonts w:ascii="Arial" w:cs="Arial" w:eastAsia="Arial" w:hAnsi="Arial"/>
                <w:sz w:val="14"/>
                <w:szCs w:val="14"/>
                <w:color w:val="auto"/>
              </w:rPr>
              <w:t>10.9</w:t>
            </w:r>
          </w:p>
        </w:tc>
        <w:tc>
          <w:tcPr>
            <w:tcW w:w="180" w:type="dxa"/>
            <w:vAlign w:val="bottom"/>
            <w:shd w:val="clear" w:color="auto" w:fill="E0E3F1"/>
          </w:tcPr>
          <w:p>
            <w:pPr>
              <w:spacing w:after="0"/>
              <w:rPr>
                <w:sz w:val="17"/>
                <w:szCs w:val="17"/>
                <w:color w:val="auto"/>
              </w:rPr>
            </w:pPr>
          </w:p>
        </w:tc>
        <w:tc>
          <w:tcPr>
            <w:tcW w:w="1160" w:type="dxa"/>
            <w:vAlign w:val="bottom"/>
            <w:shd w:val="clear" w:color="auto" w:fill="E0E3F1"/>
          </w:tcPr>
          <w:p>
            <w:pPr>
              <w:spacing w:after="0"/>
              <w:rPr>
                <w:sz w:val="17"/>
                <w:szCs w:val="17"/>
                <w:color w:val="auto"/>
              </w:rPr>
            </w:pPr>
          </w:p>
        </w:tc>
        <w:tc>
          <w:tcPr>
            <w:tcW w:w="300" w:type="dxa"/>
            <w:vAlign w:val="bottom"/>
            <w:shd w:val="clear" w:color="auto" w:fill="E0E3F1"/>
          </w:tcPr>
          <w:p>
            <w:pPr>
              <w:spacing w:after="0"/>
              <w:rPr>
                <w:sz w:val="17"/>
                <w:szCs w:val="17"/>
                <w:color w:val="auto"/>
              </w:rPr>
            </w:pPr>
          </w:p>
        </w:tc>
        <w:tc>
          <w:tcPr>
            <w:tcW w:w="1060" w:type="dxa"/>
            <w:vAlign w:val="bottom"/>
            <w:shd w:val="clear" w:color="auto" w:fill="E0E3F1"/>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00539B"/>
            </w:tcBorders>
            <w:shd w:val="clear" w:color="auto" w:fill="E0E3F1"/>
          </w:tcPr>
          <w:p>
            <w:pPr>
              <w:spacing w:after="0"/>
              <w:rPr>
                <w:sz w:val="20"/>
                <w:szCs w:val="20"/>
                <w:color w:val="auto"/>
              </w:rPr>
            </w:pPr>
          </w:p>
        </w:tc>
        <w:tc>
          <w:tcPr>
            <w:tcW w:w="5740" w:type="dxa"/>
            <w:vAlign w:val="bottom"/>
            <w:tcBorders>
              <w:bottom w:val="single" w:sz="8" w:color="00539B"/>
            </w:tcBorders>
            <w:shd w:val="clear" w:color="auto" w:fill="E0E3F1"/>
          </w:tcPr>
          <w:p>
            <w:pPr>
              <w:ind w:left="180"/>
              <w:spacing w:after="0" w:line="237" w:lineRule="exact"/>
              <w:rPr>
                <w:sz w:val="20"/>
                <w:szCs w:val="20"/>
                <w:color w:val="auto"/>
              </w:rPr>
            </w:pPr>
            <w:r>
              <w:rPr>
                <w:rFonts w:ascii="Arial" w:cs="Arial" w:eastAsia="Arial" w:hAnsi="Arial"/>
                <w:sz w:val="14"/>
                <w:szCs w:val="14"/>
                <w:color w:val="auto"/>
              </w:rPr>
              <w:t xml:space="preserve">Real estate </w:t>
            </w:r>
            <w:r>
              <w:rPr>
                <w:rFonts w:ascii="Arial" w:cs="Arial" w:eastAsia="Arial" w:hAnsi="Arial"/>
                <w:sz w:val="23"/>
                <w:szCs w:val="23"/>
                <w:color w:val="auto"/>
                <w:vertAlign w:val="superscript"/>
              </w:rPr>
              <w:t>(l)</w:t>
            </w:r>
          </w:p>
        </w:tc>
        <w:tc>
          <w:tcPr>
            <w:tcW w:w="320" w:type="dxa"/>
            <w:vAlign w:val="bottom"/>
            <w:tcBorders>
              <w:bottom w:val="single" w:sz="8" w:color="00539B"/>
            </w:tcBorders>
            <w:shd w:val="clear" w:color="auto" w:fill="E0E3F1"/>
          </w:tcPr>
          <w:p>
            <w:pPr>
              <w:spacing w:after="0"/>
              <w:rPr>
                <w:sz w:val="20"/>
                <w:szCs w:val="20"/>
                <w:color w:val="auto"/>
              </w:rPr>
            </w:pPr>
          </w:p>
        </w:tc>
        <w:tc>
          <w:tcPr>
            <w:tcW w:w="1040" w:type="dxa"/>
            <w:vAlign w:val="bottom"/>
            <w:tcBorders>
              <w:bottom w:val="single" w:sz="8" w:color="00539B"/>
            </w:tcBorders>
            <w:shd w:val="clear" w:color="auto" w:fill="E0E3F1"/>
          </w:tcPr>
          <w:p>
            <w:pPr>
              <w:jc w:val="right"/>
              <w:ind w:right="8"/>
              <w:spacing w:after="0"/>
              <w:rPr>
                <w:sz w:val="20"/>
                <w:szCs w:val="20"/>
                <w:color w:val="auto"/>
              </w:rPr>
            </w:pPr>
            <w:r>
              <w:rPr>
                <w:rFonts w:ascii="Arial" w:cs="Arial" w:eastAsia="Arial" w:hAnsi="Arial"/>
                <w:sz w:val="14"/>
                <w:szCs w:val="14"/>
                <w:color w:val="auto"/>
              </w:rPr>
              <w:t>22.2</w:t>
            </w:r>
          </w:p>
        </w:tc>
        <w:tc>
          <w:tcPr>
            <w:tcW w:w="180" w:type="dxa"/>
            <w:vAlign w:val="bottom"/>
            <w:tcBorders>
              <w:bottom w:val="single" w:sz="8" w:color="00539B"/>
            </w:tcBorders>
            <w:shd w:val="clear" w:color="auto" w:fill="E0E3F1"/>
          </w:tcPr>
          <w:p>
            <w:pPr>
              <w:spacing w:after="0"/>
              <w:rPr>
                <w:sz w:val="20"/>
                <w:szCs w:val="20"/>
                <w:color w:val="auto"/>
              </w:rPr>
            </w:pPr>
          </w:p>
        </w:tc>
        <w:tc>
          <w:tcPr>
            <w:tcW w:w="1160" w:type="dxa"/>
            <w:vAlign w:val="bottom"/>
            <w:tcBorders>
              <w:bottom w:val="single" w:sz="8" w:color="00539B"/>
            </w:tcBorders>
            <w:shd w:val="clear" w:color="auto" w:fill="E0E3F1"/>
          </w:tcPr>
          <w:p>
            <w:pPr>
              <w:spacing w:after="0"/>
              <w:rPr>
                <w:sz w:val="20"/>
                <w:szCs w:val="20"/>
                <w:color w:val="auto"/>
              </w:rPr>
            </w:pPr>
          </w:p>
        </w:tc>
        <w:tc>
          <w:tcPr>
            <w:tcW w:w="300" w:type="dxa"/>
            <w:vAlign w:val="bottom"/>
            <w:tcBorders>
              <w:bottom w:val="single" w:sz="8" w:color="00539B"/>
            </w:tcBorders>
            <w:shd w:val="clear" w:color="auto" w:fill="E0E3F1"/>
          </w:tcPr>
          <w:p>
            <w:pPr>
              <w:spacing w:after="0"/>
              <w:rPr>
                <w:sz w:val="20"/>
                <w:szCs w:val="20"/>
                <w:color w:val="auto"/>
              </w:rPr>
            </w:pPr>
          </w:p>
        </w:tc>
        <w:tc>
          <w:tcPr>
            <w:tcW w:w="1060" w:type="dxa"/>
            <w:vAlign w:val="bottom"/>
            <w:tcBorders>
              <w:bottom w:val="single" w:sz="8" w:color="00539B"/>
            </w:tcBorders>
            <w:shd w:val="clear" w:color="auto" w:fill="E0E3F1"/>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780" w:type="dxa"/>
            <w:vAlign w:val="bottom"/>
            <w:tcBorders>
              <w:bottom w:val="single" w:sz="8" w:color="00539B"/>
            </w:tcBorders>
            <w:gridSpan w:val="2"/>
            <w:shd w:val="clear" w:color="auto" w:fill="E0E3F1"/>
          </w:tcPr>
          <w:p>
            <w:pPr>
              <w:ind w:left="20"/>
              <w:spacing w:after="0"/>
              <w:rPr>
                <w:sz w:val="20"/>
                <w:szCs w:val="20"/>
                <w:color w:val="auto"/>
              </w:rPr>
            </w:pPr>
            <w:r>
              <w:rPr>
                <w:rFonts w:ascii="Arial" w:cs="Arial" w:eastAsia="Arial" w:hAnsi="Arial"/>
                <w:sz w:val="14"/>
                <w:szCs w:val="14"/>
                <w:color w:val="auto"/>
              </w:rPr>
              <w:t>Total investments</w:t>
            </w:r>
          </w:p>
        </w:tc>
        <w:tc>
          <w:tcPr>
            <w:tcW w:w="320" w:type="dxa"/>
            <w:vAlign w:val="bottom"/>
            <w:tcBorders>
              <w:bottom w:val="single" w:sz="8" w:color="00539B"/>
            </w:tcBorders>
            <w:shd w:val="clear" w:color="auto" w:fill="E0E3F1"/>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00539B"/>
            </w:tcBorders>
            <w:shd w:val="clear" w:color="auto" w:fill="E0E3F1"/>
          </w:tcPr>
          <w:p>
            <w:pPr>
              <w:jc w:val="right"/>
              <w:ind w:right="8"/>
              <w:spacing w:after="0"/>
              <w:rPr>
                <w:sz w:val="20"/>
                <w:szCs w:val="20"/>
                <w:color w:val="auto"/>
              </w:rPr>
            </w:pPr>
            <w:r>
              <w:rPr>
                <w:rFonts w:ascii="Arial" w:cs="Arial" w:eastAsia="Arial" w:hAnsi="Arial"/>
                <w:sz w:val="14"/>
                <w:szCs w:val="14"/>
                <w:color w:val="auto"/>
              </w:rPr>
              <w:t>676.7</w:t>
            </w:r>
          </w:p>
        </w:tc>
        <w:tc>
          <w:tcPr>
            <w:tcW w:w="180" w:type="dxa"/>
            <w:vAlign w:val="bottom"/>
            <w:tcBorders>
              <w:bottom w:val="single" w:sz="8" w:color="00539B"/>
            </w:tcBorders>
            <w:shd w:val="clear" w:color="auto" w:fill="E0E3F1"/>
          </w:tcPr>
          <w:p>
            <w:pPr>
              <w:spacing w:after="0"/>
              <w:rPr>
                <w:sz w:val="17"/>
                <w:szCs w:val="17"/>
                <w:color w:val="auto"/>
              </w:rPr>
            </w:pPr>
          </w:p>
        </w:tc>
        <w:tc>
          <w:tcPr>
            <w:tcW w:w="1160" w:type="dxa"/>
            <w:vAlign w:val="bottom"/>
            <w:tcBorders>
              <w:bottom w:val="single" w:sz="8" w:color="00539B"/>
            </w:tcBorders>
            <w:shd w:val="clear" w:color="auto" w:fill="E0E3F1"/>
          </w:tcPr>
          <w:p>
            <w:pPr>
              <w:spacing w:after="0"/>
              <w:rPr>
                <w:sz w:val="17"/>
                <w:szCs w:val="17"/>
                <w:color w:val="auto"/>
              </w:rPr>
            </w:pPr>
          </w:p>
        </w:tc>
        <w:tc>
          <w:tcPr>
            <w:tcW w:w="300" w:type="dxa"/>
            <w:vAlign w:val="bottom"/>
            <w:tcBorders>
              <w:bottom w:val="single" w:sz="8" w:color="00539B"/>
            </w:tcBorders>
            <w:shd w:val="clear" w:color="auto" w:fill="E0E3F1"/>
          </w:tcPr>
          <w:p>
            <w:pPr>
              <w:spacing w:after="0"/>
              <w:rPr>
                <w:sz w:val="17"/>
                <w:szCs w:val="17"/>
                <w:color w:val="auto"/>
              </w:rPr>
            </w:pPr>
          </w:p>
        </w:tc>
        <w:tc>
          <w:tcPr>
            <w:tcW w:w="1060" w:type="dxa"/>
            <w:vAlign w:val="bottom"/>
            <w:tcBorders>
              <w:bottom w:val="single" w:sz="8" w:color="00539B"/>
            </w:tcBorders>
            <w:shd w:val="clear" w:color="auto" w:fill="E0E3F1"/>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5740" w:type="dxa"/>
            <w:vAlign w:val="bottom"/>
            <w:tcBorders>
              <w:bottom w:val="single" w:sz="8" w:color="00539B"/>
            </w:tcBorders>
          </w:tcPr>
          <w:p>
            <w:pPr>
              <w:spacing w:after="0"/>
              <w:rPr>
                <w:sz w:val="11"/>
                <w:szCs w:val="11"/>
                <w:color w:val="auto"/>
              </w:rPr>
            </w:pPr>
          </w:p>
        </w:tc>
        <w:tc>
          <w:tcPr>
            <w:tcW w:w="320" w:type="dxa"/>
            <w:vAlign w:val="bottom"/>
            <w:tcBorders>
              <w:bottom w:val="single" w:sz="8" w:color="00539B"/>
            </w:tcBorders>
          </w:tcPr>
          <w:p>
            <w:pPr>
              <w:spacing w:after="0"/>
              <w:rPr>
                <w:sz w:val="11"/>
                <w:szCs w:val="11"/>
                <w:color w:val="auto"/>
              </w:rPr>
            </w:pPr>
          </w:p>
        </w:tc>
        <w:tc>
          <w:tcPr>
            <w:tcW w:w="1040" w:type="dxa"/>
            <w:vAlign w:val="bottom"/>
            <w:tcBorders>
              <w:bottom w:val="single" w:sz="8" w:color="00539B"/>
            </w:tcBorders>
          </w:tcPr>
          <w:p>
            <w:pPr>
              <w:spacing w:after="0"/>
              <w:rPr>
                <w:sz w:val="11"/>
                <w:szCs w:val="11"/>
                <w:color w:val="auto"/>
              </w:rPr>
            </w:pPr>
          </w:p>
        </w:tc>
        <w:tc>
          <w:tcPr>
            <w:tcW w:w="180" w:type="dxa"/>
            <w:vAlign w:val="bottom"/>
            <w:tcBorders>
              <w:bottom w:val="single" w:sz="8" w:color="00539B"/>
            </w:tcBorders>
          </w:tcPr>
          <w:p>
            <w:pPr>
              <w:spacing w:after="0"/>
              <w:rPr>
                <w:sz w:val="11"/>
                <w:szCs w:val="11"/>
                <w:color w:val="auto"/>
              </w:rPr>
            </w:pPr>
          </w:p>
        </w:tc>
        <w:tc>
          <w:tcPr>
            <w:tcW w:w="1160" w:type="dxa"/>
            <w:vAlign w:val="bottom"/>
            <w:tcBorders>
              <w:bottom w:val="single" w:sz="8" w:color="00539B"/>
            </w:tcBorders>
          </w:tcPr>
          <w:p>
            <w:pPr>
              <w:spacing w:after="0"/>
              <w:rPr>
                <w:sz w:val="11"/>
                <w:szCs w:val="11"/>
                <w:color w:val="auto"/>
              </w:rPr>
            </w:pPr>
          </w:p>
        </w:tc>
        <w:tc>
          <w:tcPr>
            <w:tcW w:w="300" w:type="dxa"/>
            <w:vAlign w:val="bottom"/>
            <w:tcBorders>
              <w:bottom w:val="single" w:sz="8" w:color="00539B"/>
            </w:tcBorders>
          </w:tcPr>
          <w:p>
            <w:pPr>
              <w:spacing w:after="0"/>
              <w:rPr>
                <w:sz w:val="11"/>
                <w:szCs w:val="11"/>
                <w:color w:val="auto"/>
              </w:rPr>
            </w:pPr>
          </w:p>
        </w:tc>
        <w:tc>
          <w:tcPr>
            <w:tcW w:w="1060" w:type="dxa"/>
            <w:vAlign w:val="bottom"/>
            <w:tcBorders>
              <w:bottom w:val="single" w:sz="8" w:color="00539B"/>
            </w:tcBorders>
          </w:tcPr>
          <w:p>
            <w:pPr>
              <w:spacing w:after="0"/>
              <w:rPr>
                <w:sz w:val="11"/>
                <w:szCs w:val="11"/>
                <w:color w:val="auto"/>
              </w:rPr>
            </w:pPr>
          </w:p>
        </w:tc>
        <w:tc>
          <w:tcPr>
            <w:tcW w:w="40" w:type="dxa"/>
            <w:vAlign w:val="bottom"/>
            <w:tcBorders>
              <w:bottom w:val="single" w:sz="8" w:color="00539B"/>
            </w:tcBorders>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5740" w:type="dxa"/>
            <w:vAlign w:val="bottom"/>
            <w:tcBorders>
              <w:bottom w:val="single" w:sz="8" w:color="00539B"/>
            </w:tcBorders>
            <w:shd w:val="clear" w:color="auto" w:fill="E0E3F1"/>
          </w:tcPr>
          <w:p>
            <w:pPr>
              <w:ind w:left="20"/>
              <w:spacing w:after="0"/>
              <w:rPr>
                <w:sz w:val="20"/>
                <w:szCs w:val="20"/>
                <w:color w:val="auto"/>
              </w:rPr>
            </w:pPr>
            <w:r>
              <w:rPr>
                <w:rFonts w:ascii="Arial" w:cs="Arial" w:eastAsia="Arial" w:hAnsi="Arial"/>
                <w:sz w:val="14"/>
                <w:szCs w:val="14"/>
                <w:color w:val="auto"/>
              </w:rPr>
              <w:t>As of November 30, 2025</w:t>
            </w:r>
          </w:p>
        </w:tc>
        <w:tc>
          <w:tcPr>
            <w:tcW w:w="320" w:type="dxa"/>
            <w:vAlign w:val="bottom"/>
            <w:tcBorders>
              <w:bottom w:val="single" w:sz="8" w:color="00539B"/>
            </w:tcBorders>
            <w:shd w:val="clear" w:color="auto" w:fill="E0E3F1"/>
          </w:tcPr>
          <w:p>
            <w:pPr>
              <w:spacing w:after="0"/>
              <w:rPr>
                <w:sz w:val="17"/>
                <w:szCs w:val="17"/>
                <w:color w:val="auto"/>
              </w:rPr>
            </w:pPr>
          </w:p>
        </w:tc>
        <w:tc>
          <w:tcPr>
            <w:tcW w:w="1040" w:type="dxa"/>
            <w:vAlign w:val="bottom"/>
            <w:tcBorders>
              <w:bottom w:val="single" w:sz="8" w:color="00539B"/>
            </w:tcBorders>
            <w:shd w:val="clear" w:color="auto" w:fill="E0E3F1"/>
          </w:tcPr>
          <w:p>
            <w:pPr>
              <w:spacing w:after="0"/>
              <w:rPr>
                <w:sz w:val="17"/>
                <w:szCs w:val="17"/>
                <w:color w:val="auto"/>
              </w:rPr>
            </w:pPr>
          </w:p>
        </w:tc>
        <w:tc>
          <w:tcPr>
            <w:tcW w:w="180" w:type="dxa"/>
            <w:vAlign w:val="bottom"/>
            <w:tcBorders>
              <w:bottom w:val="single" w:sz="8" w:color="00539B"/>
            </w:tcBorders>
            <w:shd w:val="clear" w:color="auto" w:fill="E0E3F1"/>
          </w:tcPr>
          <w:p>
            <w:pPr>
              <w:spacing w:after="0"/>
              <w:rPr>
                <w:sz w:val="17"/>
                <w:szCs w:val="17"/>
                <w:color w:val="auto"/>
              </w:rPr>
            </w:pPr>
          </w:p>
        </w:tc>
        <w:tc>
          <w:tcPr>
            <w:tcW w:w="1160" w:type="dxa"/>
            <w:vAlign w:val="bottom"/>
            <w:tcBorders>
              <w:bottom w:val="single" w:sz="8" w:color="00539B"/>
            </w:tcBorders>
            <w:shd w:val="clear" w:color="auto" w:fill="E0E3F1"/>
          </w:tcPr>
          <w:p>
            <w:pPr>
              <w:jc w:val="right"/>
              <w:ind w:right="168"/>
              <w:spacing w:after="0"/>
              <w:rPr>
                <w:sz w:val="20"/>
                <w:szCs w:val="20"/>
                <w:color w:val="auto"/>
              </w:rPr>
            </w:pPr>
            <w:r>
              <w:rPr>
                <w:rFonts w:ascii="Arial" w:cs="Arial" w:eastAsia="Arial" w:hAnsi="Arial"/>
                <w:sz w:val="14"/>
                <w:szCs w:val="14"/>
                <w:color w:val="auto"/>
              </w:rPr>
              <w:t>International</w:t>
            </w:r>
          </w:p>
        </w:tc>
        <w:tc>
          <w:tcPr>
            <w:tcW w:w="300" w:type="dxa"/>
            <w:vAlign w:val="bottom"/>
            <w:tcBorders>
              <w:bottom w:val="single" w:sz="8" w:color="00539B"/>
            </w:tcBorders>
            <w:shd w:val="clear" w:color="auto" w:fill="E0E3F1"/>
          </w:tcPr>
          <w:p>
            <w:pPr>
              <w:spacing w:after="0"/>
              <w:rPr>
                <w:sz w:val="17"/>
                <w:szCs w:val="17"/>
                <w:color w:val="auto"/>
              </w:rPr>
            </w:pPr>
          </w:p>
        </w:tc>
        <w:tc>
          <w:tcPr>
            <w:tcW w:w="1060" w:type="dxa"/>
            <w:vAlign w:val="bottom"/>
            <w:tcBorders>
              <w:bottom w:val="single" w:sz="8" w:color="00539B"/>
            </w:tcBorders>
            <w:shd w:val="clear" w:color="auto" w:fill="E0E3F1"/>
          </w:tcPr>
          <w:p>
            <w:pPr>
              <w:spacing w:after="0"/>
              <w:rPr>
                <w:sz w:val="17"/>
                <w:szCs w:val="17"/>
                <w:color w:val="auto"/>
              </w:rPr>
            </w:pPr>
          </w:p>
        </w:tc>
        <w:tc>
          <w:tcPr>
            <w:tcW w:w="40" w:type="dxa"/>
            <w:vAlign w:val="bottom"/>
            <w:tcBorders>
              <w:bottom w:val="single" w:sz="8" w:color="00539B"/>
            </w:tcBorders>
            <w:shd w:val="clear" w:color="auto" w:fill="E0E3F1"/>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5740" w:type="dxa"/>
            <w:vAlign w:val="bottom"/>
            <w:shd w:val="clear" w:color="auto" w:fill="E0E3F1"/>
          </w:tcPr>
          <w:p>
            <w:pPr>
              <w:spacing w:after="0"/>
              <w:rPr>
                <w:sz w:val="12"/>
                <w:szCs w:val="12"/>
                <w:color w:val="auto"/>
              </w:rPr>
            </w:pPr>
          </w:p>
        </w:tc>
        <w:tc>
          <w:tcPr>
            <w:tcW w:w="320" w:type="dxa"/>
            <w:vAlign w:val="bottom"/>
            <w:shd w:val="clear" w:color="auto" w:fill="E0E3F1"/>
          </w:tcPr>
          <w:p>
            <w:pPr>
              <w:spacing w:after="0"/>
              <w:rPr>
                <w:sz w:val="12"/>
                <w:szCs w:val="12"/>
                <w:color w:val="auto"/>
              </w:rPr>
            </w:pPr>
          </w:p>
        </w:tc>
        <w:tc>
          <w:tcPr>
            <w:tcW w:w="1040" w:type="dxa"/>
            <w:vAlign w:val="bottom"/>
            <w:shd w:val="clear" w:color="auto" w:fill="E0E3F1"/>
          </w:tcPr>
          <w:p>
            <w:pPr>
              <w:jc w:val="center"/>
              <w:ind w:right="168"/>
              <w:spacing w:after="0" w:line="146" w:lineRule="exact"/>
              <w:rPr>
                <w:sz w:val="20"/>
                <w:szCs w:val="20"/>
                <w:color w:val="auto"/>
              </w:rPr>
            </w:pPr>
            <w:r>
              <w:rPr>
                <w:rFonts w:ascii="Arial" w:cs="Arial" w:eastAsia="Arial" w:hAnsi="Arial"/>
                <w:sz w:val="14"/>
                <w:szCs w:val="14"/>
                <w:color w:val="auto"/>
              </w:rPr>
              <w:t>Total</w:t>
            </w:r>
          </w:p>
        </w:tc>
        <w:tc>
          <w:tcPr>
            <w:tcW w:w="180" w:type="dxa"/>
            <w:vAlign w:val="bottom"/>
            <w:shd w:val="clear" w:color="auto" w:fill="E0E3F1"/>
          </w:tcPr>
          <w:p>
            <w:pPr>
              <w:spacing w:after="0"/>
              <w:rPr>
                <w:sz w:val="12"/>
                <w:szCs w:val="12"/>
                <w:color w:val="auto"/>
              </w:rPr>
            </w:pPr>
          </w:p>
        </w:tc>
        <w:tc>
          <w:tcPr>
            <w:tcW w:w="1160" w:type="dxa"/>
            <w:vAlign w:val="bottom"/>
            <w:shd w:val="clear" w:color="auto" w:fill="E0E3F1"/>
          </w:tcPr>
          <w:p>
            <w:pPr>
              <w:spacing w:after="0"/>
              <w:rPr>
                <w:sz w:val="12"/>
                <w:szCs w:val="12"/>
                <w:color w:val="auto"/>
              </w:rPr>
            </w:pPr>
          </w:p>
        </w:tc>
        <w:tc>
          <w:tcPr>
            <w:tcW w:w="300" w:type="dxa"/>
            <w:vAlign w:val="bottom"/>
            <w:shd w:val="clear" w:color="auto" w:fill="E0E3F1"/>
          </w:tcPr>
          <w:p>
            <w:pPr>
              <w:spacing w:after="0"/>
              <w:rPr>
                <w:sz w:val="12"/>
                <w:szCs w:val="12"/>
                <w:color w:val="auto"/>
              </w:rPr>
            </w:pPr>
          </w:p>
        </w:tc>
        <w:tc>
          <w:tcPr>
            <w:tcW w:w="1060" w:type="dxa"/>
            <w:vAlign w:val="bottom"/>
            <w:shd w:val="clear" w:color="auto" w:fill="E0E3F1"/>
          </w:tcPr>
          <w:p>
            <w:pPr>
              <w:spacing w:after="0"/>
              <w:rPr>
                <w:sz w:val="12"/>
                <w:szCs w:val="12"/>
                <w:color w:val="auto"/>
              </w:rPr>
            </w:pPr>
          </w:p>
        </w:tc>
        <w:tc>
          <w:tcPr>
            <w:tcW w:w="40" w:type="dxa"/>
            <w:vAlign w:val="bottom"/>
            <w:shd w:val="clear" w:color="auto" w:fill="E0E3F1"/>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5740" w:type="dxa"/>
            <w:vAlign w:val="bottom"/>
            <w:vMerge w:val="restart"/>
            <w:shd w:val="clear" w:color="auto" w:fill="E0E3F1"/>
          </w:tcPr>
          <w:p>
            <w:pPr>
              <w:ind w:left="20"/>
              <w:spacing w:after="0"/>
              <w:rPr>
                <w:sz w:val="20"/>
                <w:szCs w:val="20"/>
                <w:color w:val="auto"/>
              </w:rPr>
            </w:pPr>
            <w:r>
              <w:rPr>
                <w:rFonts w:ascii="Arial" w:cs="Arial" w:eastAsia="Arial" w:hAnsi="Arial"/>
                <w:sz w:val="14"/>
                <w:szCs w:val="14"/>
                <w:color w:val="auto"/>
              </w:rPr>
              <w:t>(millions)</w:t>
            </w:r>
          </w:p>
        </w:tc>
        <w:tc>
          <w:tcPr>
            <w:tcW w:w="320" w:type="dxa"/>
            <w:vAlign w:val="bottom"/>
            <w:shd w:val="clear" w:color="auto" w:fill="E0E3F1"/>
          </w:tcPr>
          <w:p>
            <w:pPr>
              <w:spacing w:after="0"/>
              <w:rPr>
                <w:sz w:val="12"/>
                <w:szCs w:val="12"/>
                <w:color w:val="auto"/>
              </w:rPr>
            </w:pPr>
          </w:p>
        </w:tc>
        <w:tc>
          <w:tcPr>
            <w:tcW w:w="1040" w:type="dxa"/>
            <w:vAlign w:val="bottom"/>
            <w:shd w:val="clear" w:color="auto" w:fill="E0E3F1"/>
          </w:tcPr>
          <w:p>
            <w:pPr>
              <w:jc w:val="center"/>
              <w:ind w:right="168"/>
              <w:spacing w:after="0" w:line="139" w:lineRule="exact"/>
              <w:rPr>
                <w:sz w:val="20"/>
                <w:szCs w:val="20"/>
                <w:color w:val="auto"/>
              </w:rPr>
            </w:pPr>
            <w:r>
              <w:rPr>
                <w:rFonts w:ascii="Arial" w:cs="Arial" w:eastAsia="Arial" w:hAnsi="Arial"/>
                <w:sz w:val="14"/>
                <w:szCs w:val="14"/>
                <w:color w:val="auto"/>
              </w:rPr>
              <w:t>fair</w:t>
            </w:r>
          </w:p>
        </w:tc>
        <w:tc>
          <w:tcPr>
            <w:tcW w:w="180" w:type="dxa"/>
            <w:vAlign w:val="bottom"/>
            <w:shd w:val="clear" w:color="auto" w:fill="E0E3F1"/>
          </w:tcPr>
          <w:p>
            <w:pPr>
              <w:spacing w:after="0"/>
              <w:rPr>
                <w:sz w:val="12"/>
                <w:szCs w:val="12"/>
                <w:color w:val="auto"/>
              </w:rPr>
            </w:pPr>
          </w:p>
        </w:tc>
        <w:tc>
          <w:tcPr>
            <w:tcW w:w="1160" w:type="dxa"/>
            <w:vAlign w:val="bottom"/>
            <w:vMerge w:val="restart"/>
            <w:shd w:val="clear" w:color="auto" w:fill="E0E3F1"/>
          </w:tcPr>
          <w:p>
            <w:pPr>
              <w:jc w:val="right"/>
              <w:ind w:right="328"/>
              <w:spacing w:after="0"/>
              <w:rPr>
                <w:sz w:val="20"/>
                <w:szCs w:val="20"/>
                <w:color w:val="auto"/>
              </w:rPr>
            </w:pPr>
            <w:r>
              <w:rPr>
                <w:rFonts w:ascii="Arial" w:cs="Arial" w:eastAsia="Arial" w:hAnsi="Arial"/>
                <w:sz w:val="14"/>
                <w:szCs w:val="14"/>
                <w:color w:val="auto"/>
              </w:rPr>
              <w:t>Level 1</w:t>
            </w:r>
          </w:p>
        </w:tc>
        <w:tc>
          <w:tcPr>
            <w:tcW w:w="300" w:type="dxa"/>
            <w:vAlign w:val="bottom"/>
            <w:shd w:val="clear" w:color="auto" w:fill="E0E3F1"/>
          </w:tcPr>
          <w:p>
            <w:pPr>
              <w:spacing w:after="0"/>
              <w:rPr>
                <w:sz w:val="12"/>
                <w:szCs w:val="12"/>
                <w:color w:val="auto"/>
              </w:rPr>
            </w:pPr>
          </w:p>
        </w:tc>
        <w:tc>
          <w:tcPr>
            <w:tcW w:w="1060" w:type="dxa"/>
            <w:vAlign w:val="bottom"/>
            <w:vMerge w:val="restart"/>
            <w:shd w:val="clear" w:color="auto" w:fill="E0E3F1"/>
          </w:tcPr>
          <w:p>
            <w:pPr>
              <w:jc w:val="right"/>
              <w:ind w:right="328"/>
              <w:spacing w:after="0"/>
              <w:rPr>
                <w:sz w:val="20"/>
                <w:szCs w:val="20"/>
                <w:color w:val="auto"/>
              </w:rPr>
            </w:pPr>
            <w:r>
              <w:rPr>
                <w:rFonts w:ascii="Arial" w:cs="Arial" w:eastAsia="Arial" w:hAnsi="Arial"/>
                <w:sz w:val="14"/>
                <w:szCs w:val="14"/>
                <w:color w:val="auto"/>
              </w:rPr>
              <w:t>Level 2</w:t>
            </w:r>
          </w:p>
        </w:tc>
        <w:tc>
          <w:tcPr>
            <w:tcW w:w="40" w:type="dxa"/>
            <w:vAlign w:val="bottom"/>
            <w:shd w:val="clear" w:color="auto" w:fill="E0E3F1"/>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5740" w:type="dxa"/>
            <w:vAlign w:val="bottom"/>
            <w:tcBorders>
              <w:bottom w:val="single" w:sz="8" w:color="00539B"/>
            </w:tcBorders>
            <w:vMerge w:val="continue"/>
            <w:shd w:val="clear" w:color="auto" w:fill="E0E3F1"/>
          </w:tcPr>
          <w:p>
            <w:pPr>
              <w:spacing w:after="0"/>
              <w:rPr>
                <w:sz w:val="16"/>
                <w:szCs w:val="16"/>
                <w:color w:val="auto"/>
              </w:rPr>
            </w:pPr>
          </w:p>
        </w:tc>
        <w:tc>
          <w:tcPr>
            <w:tcW w:w="320" w:type="dxa"/>
            <w:vAlign w:val="bottom"/>
            <w:tcBorders>
              <w:bottom w:val="single" w:sz="8" w:color="00539B"/>
            </w:tcBorders>
            <w:shd w:val="clear" w:color="auto" w:fill="E0E3F1"/>
          </w:tcPr>
          <w:p>
            <w:pPr>
              <w:spacing w:after="0"/>
              <w:rPr>
                <w:sz w:val="16"/>
                <w:szCs w:val="16"/>
                <w:color w:val="auto"/>
              </w:rPr>
            </w:pPr>
          </w:p>
        </w:tc>
        <w:tc>
          <w:tcPr>
            <w:tcW w:w="1040" w:type="dxa"/>
            <w:vAlign w:val="bottom"/>
            <w:tcBorders>
              <w:bottom w:val="single" w:sz="8" w:color="00539B"/>
            </w:tcBorders>
            <w:shd w:val="clear" w:color="auto" w:fill="E0E3F1"/>
          </w:tcPr>
          <w:p>
            <w:pPr>
              <w:jc w:val="center"/>
              <w:ind w:right="168"/>
              <w:spacing w:after="0"/>
              <w:rPr>
                <w:sz w:val="20"/>
                <w:szCs w:val="20"/>
                <w:color w:val="auto"/>
              </w:rPr>
            </w:pPr>
            <w:r>
              <w:rPr>
                <w:rFonts w:ascii="Arial" w:cs="Arial" w:eastAsia="Arial" w:hAnsi="Arial"/>
                <w:sz w:val="14"/>
                <w:szCs w:val="14"/>
                <w:color w:val="auto"/>
              </w:rPr>
              <w:t>value</w:t>
            </w:r>
          </w:p>
        </w:tc>
        <w:tc>
          <w:tcPr>
            <w:tcW w:w="180" w:type="dxa"/>
            <w:vAlign w:val="bottom"/>
            <w:tcBorders>
              <w:bottom w:val="single" w:sz="8" w:color="00539B"/>
            </w:tcBorders>
            <w:shd w:val="clear" w:color="auto" w:fill="E0E3F1"/>
          </w:tcPr>
          <w:p>
            <w:pPr>
              <w:spacing w:after="0"/>
              <w:rPr>
                <w:sz w:val="16"/>
                <w:szCs w:val="16"/>
                <w:color w:val="auto"/>
              </w:rPr>
            </w:pPr>
          </w:p>
        </w:tc>
        <w:tc>
          <w:tcPr>
            <w:tcW w:w="1160" w:type="dxa"/>
            <w:vAlign w:val="bottom"/>
            <w:tcBorders>
              <w:bottom w:val="single" w:sz="8" w:color="00539B"/>
            </w:tcBorders>
            <w:vMerge w:val="continue"/>
            <w:shd w:val="clear" w:color="auto" w:fill="E0E3F1"/>
          </w:tcPr>
          <w:p>
            <w:pPr>
              <w:spacing w:after="0"/>
              <w:rPr>
                <w:sz w:val="16"/>
                <w:szCs w:val="16"/>
                <w:color w:val="auto"/>
              </w:rPr>
            </w:pPr>
          </w:p>
        </w:tc>
        <w:tc>
          <w:tcPr>
            <w:tcW w:w="300" w:type="dxa"/>
            <w:vAlign w:val="bottom"/>
            <w:tcBorders>
              <w:bottom w:val="single" w:sz="8" w:color="00539B"/>
            </w:tcBorders>
            <w:shd w:val="clear" w:color="auto" w:fill="E0E3F1"/>
          </w:tcPr>
          <w:p>
            <w:pPr>
              <w:spacing w:after="0"/>
              <w:rPr>
                <w:sz w:val="16"/>
                <w:szCs w:val="16"/>
                <w:color w:val="auto"/>
              </w:rPr>
            </w:pPr>
          </w:p>
        </w:tc>
        <w:tc>
          <w:tcPr>
            <w:tcW w:w="1060" w:type="dxa"/>
            <w:vAlign w:val="bottom"/>
            <w:tcBorders>
              <w:bottom w:val="single" w:sz="8" w:color="00539B"/>
            </w:tcBorders>
            <w:vMerge w:val="continue"/>
            <w:shd w:val="clear" w:color="auto" w:fill="E0E3F1"/>
          </w:tcPr>
          <w:p>
            <w:pPr>
              <w:spacing w:after="0"/>
              <w:rPr>
                <w:sz w:val="16"/>
                <w:szCs w:val="16"/>
                <w:color w:val="auto"/>
              </w:rPr>
            </w:pPr>
          </w:p>
        </w:tc>
        <w:tc>
          <w:tcPr>
            <w:tcW w:w="40" w:type="dxa"/>
            <w:vAlign w:val="bottom"/>
            <w:tcBorders>
              <w:bottom w:val="single" w:sz="8" w:color="00539B"/>
            </w:tcBorders>
            <w:shd w:val="clear" w:color="auto" w:fill="E0E3F1"/>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5740" w:type="dxa"/>
            <w:vAlign w:val="bottom"/>
            <w:shd w:val="clear" w:color="auto" w:fill="E0E3F1"/>
          </w:tcPr>
          <w:p>
            <w:pPr>
              <w:ind w:left="20"/>
              <w:spacing w:after="0"/>
              <w:rPr>
                <w:sz w:val="20"/>
                <w:szCs w:val="20"/>
                <w:color w:val="auto"/>
              </w:rPr>
            </w:pPr>
            <w:r>
              <w:rPr>
                <w:rFonts w:ascii="Arial" w:cs="Arial" w:eastAsia="Arial" w:hAnsi="Arial"/>
                <w:sz w:val="14"/>
                <w:szCs w:val="14"/>
                <w:color w:val="auto"/>
              </w:rPr>
              <w:t>Cash and cash equivalents</w:t>
            </w:r>
          </w:p>
        </w:tc>
        <w:tc>
          <w:tcPr>
            <w:tcW w:w="320" w:type="dxa"/>
            <w:vAlign w:val="bottom"/>
            <w:shd w:val="clear" w:color="auto" w:fill="E0E3F1"/>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shd w:val="clear" w:color="auto" w:fill="E0E3F1"/>
          </w:tcPr>
          <w:p>
            <w:pPr>
              <w:jc w:val="right"/>
              <w:spacing w:after="0"/>
              <w:rPr>
                <w:sz w:val="20"/>
                <w:szCs w:val="20"/>
                <w:color w:val="auto"/>
              </w:rPr>
            </w:pPr>
            <w:r>
              <w:rPr>
                <w:rFonts w:ascii="Arial" w:cs="Arial" w:eastAsia="Arial" w:hAnsi="Arial"/>
                <w:sz w:val="14"/>
                <w:szCs w:val="14"/>
                <w:color w:val="auto"/>
              </w:rPr>
              <w:t>4.6</w:t>
            </w:r>
          </w:p>
        </w:tc>
        <w:tc>
          <w:tcPr>
            <w:tcW w:w="180" w:type="dxa"/>
            <w:vAlign w:val="bottom"/>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4.6</w:t>
            </w:r>
          </w:p>
        </w:tc>
        <w:tc>
          <w:tcPr>
            <w:tcW w:w="300" w:type="dxa"/>
            <w:vAlign w:val="bottom"/>
            <w:shd w:val="clear" w:color="auto" w:fill="E0E3F1"/>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E0E3F1"/>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740" w:type="dxa"/>
            <w:vAlign w:val="bottom"/>
            <w:shd w:val="clear" w:color="auto" w:fill="E0E3F1"/>
          </w:tcPr>
          <w:p>
            <w:pPr>
              <w:ind w:left="20"/>
              <w:spacing w:after="0" w:line="237" w:lineRule="exact"/>
              <w:rPr>
                <w:sz w:val="20"/>
                <w:szCs w:val="20"/>
                <w:color w:val="auto"/>
              </w:rPr>
            </w:pPr>
            <w:r>
              <w:rPr>
                <w:rFonts w:ascii="Arial" w:cs="Arial" w:eastAsia="Arial" w:hAnsi="Arial"/>
                <w:sz w:val="14"/>
                <w:szCs w:val="14"/>
                <w:color w:val="auto"/>
              </w:rPr>
              <w:t>International equity securities</w:t>
            </w:r>
            <w:r>
              <w:rPr>
                <w:rFonts w:ascii="Arial" w:cs="Arial" w:eastAsia="Arial" w:hAnsi="Arial"/>
                <w:sz w:val="23"/>
                <w:szCs w:val="23"/>
                <w:color w:val="auto"/>
                <w:vertAlign w:val="superscript"/>
              </w:rPr>
              <w:t>(b)</w:t>
            </w:r>
          </w:p>
        </w:tc>
        <w:tc>
          <w:tcPr>
            <w:tcW w:w="320" w:type="dxa"/>
            <w:vAlign w:val="bottom"/>
            <w:shd w:val="clear" w:color="auto" w:fill="E0E3F1"/>
          </w:tcPr>
          <w:p>
            <w:pPr>
              <w:spacing w:after="0"/>
              <w:rPr>
                <w:sz w:val="20"/>
                <w:szCs w:val="20"/>
                <w:color w:val="auto"/>
              </w:rPr>
            </w:pPr>
          </w:p>
        </w:tc>
        <w:tc>
          <w:tcPr>
            <w:tcW w:w="1040" w:type="dxa"/>
            <w:vAlign w:val="bottom"/>
            <w:shd w:val="clear" w:color="auto" w:fill="E0E3F1"/>
          </w:tcPr>
          <w:p>
            <w:pPr>
              <w:jc w:val="right"/>
              <w:spacing w:after="0"/>
              <w:rPr>
                <w:sz w:val="20"/>
                <w:szCs w:val="20"/>
                <w:color w:val="auto"/>
              </w:rPr>
            </w:pPr>
            <w:r>
              <w:rPr>
                <w:rFonts w:ascii="Arial" w:cs="Arial" w:eastAsia="Arial" w:hAnsi="Arial"/>
                <w:sz w:val="14"/>
                <w:szCs w:val="14"/>
                <w:color w:val="auto"/>
              </w:rPr>
              <w:t>17.8</w:t>
            </w:r>
          </w:p>
        </w:tc>
        <w:tc>
          <w:tcPr>
            <w:tcW w:w="180" w:type="dxa"/>
            <w:vAlign w:val="bottom"/>
            <w:shd w:val="clear" w:color="auto" w:fill="E0E3F1"/>
          </w:tcPr>
          <w:p>
            <w:pPr>
              <w:spacing w:after="0"/>
              <w:rPr>
                <w:sz w:val="20"/>
                <w:szCs w:val="20"/>
                <w:color w:val="auto"/>
              </w:rPr>
            </w:pPr>
          </w:p>
        </w:tc>
        <w:tc>
          <w:tcPr>
            <w:tcW w:w="11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E0E3F1"/>
          </w:tcPr>
          <w:p>
            <w:pPr>
              <w:spacing w:after="0"/>
              <w:rPr>
                <w:sz w:val="20"/>
                <w:szCs w:val="20"/>
                <w:color w:val="auto"/>
              </w:rPr>
            </w:pPr>
          </w:p>
        </w:tc>
        <w:tc>
          <w:tcPr>
            <w:tcW w:w="10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17.8</w:t>
            </w:r>
          </w:p>
        </w:tc>
        <w:tc>
          <w:tcPr>
            <w:tcW w:w="40" w:type="dxa"/>
            <w:vAlign w:val="bottom"/>
            <w:shd w:val="clear" w:color="auto" w:fill="E0E3F1"/>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5740" w:type="dxa"/>
            <w:vAlign w:val="bottom"/>
            <w:shd w:val="clear" w:color="auto" w:fill="E0E3F1"/>
          </w:tcPr>
          <w:p>
            <w:pPr>
              <w:ind w:left="20"/>
              <w:spacing w:after="0"/>
              <w:rPr>
                <w:sz w:val="20"/>
                <w:szCs w:val="20"/>
                <w:color w:val="auto"/>
              </w:rPr>
            </w:pPr>
            <w:r>
              <w:rPr>
                <w:rFonts w:ascii="Arial" w:cs="Arial" w:eastAsia="Arial" w:hAnsi="Arial"/>
                <w:sz w:val="14"/>
                <w:szCs w:val="14"/>
                <w:color w:val="auto"/>
              </w:rPr>
              <w:t>Fixed income securities:</w:t>
            </w:r>
          </w:p>
        </w:tc>
        <w:tc>
          <w:tcPr>
            <w:tcW w:w="320" w:type="dxa"/>
            <w:vAlign w:val="bottom"/>
            <w:shd w:val="clear" w:color="auto" w:fill="E0E3F1"/>
          </w:tcPr>
          <w:p>
            <w:pPr>
              <w:spacing w:after="0"/>
              <w:rPr>
                <w:sz w:val="14"/>
                <w:szCs w:val="14"/>
                <w:color w:val="auto"/>
              </w:rPr>
            </w:pPr>
          </w:p>
        </w:tc>
        <w:tc>
          <w:tcPr>
            <w:tcW w:w="1040" w:type="dxa"/>
            <w:vAlign w:val="bottom"/>
            <w:shd w:val="clear" w:color="auto" w:fill="E0E3F1"/>
          </w:tcPr>
          <w:p>
            <w:pPr>
              <w:spacing w:after="0"/>
              <w:rPr>
                <w:sz w:val="14"/>
                <w:szCs w:val="14"/>
                <w:color w:val="auto"/>
              </w:rPr>
            </w:pPr>
          </w:p>
        </w:tc>
        <w:tc>
          <w:tcPr>
            <w:tcW w:w="180" w:type="dxa"/>
            <w:vAlign w:val="bottom"/>
            <w:shd w:val="clear" w:color="auto" w:fill="E0E3F1"/>
          </w:tcPr>
          <w:p>
            <w:pPr>
              <w:spacing w:after="0"/>
              <w:rPr>
                <w:sz w:val="14"/>
                <w:szCs w:val="14"/>
                <w:color w:val="auto"/>
              </w:rPr>
            </w:pPr>
          </w:p>
        </w:tc>
        <w:tc>
          <w:tcPr>
            <w:tcW w:w="1160" w:type="dxa"/>
            <w:vAlign w:val="bottom"/>
            <w:shd w:val="clear" w:color="auto" w:fill="E0E3F1"/>
          </w:tcPr>
          <w:p>
            <w:pPr>
              <w:spacing w:after="0"/>
              <w:rPr>
                <w:sz w:val="14"/>
                <w:szCs w:val="14"/>
                <w:color w:val="auto"/>
              </w:rPr>
            </w:pPr>
          </w:p>
        </w:tc>
        <w:tc>
          <w:tcPr>
            <w:tcW w:w="300" w:type="dxa"/>
            <w:vAlign w:val="bottom"/>
            <w:shd w:val="clear" w:color="auto" w:fill="E0E3F1"/>
          </w:tcPr>
          <w:p>
            <w:pPr>
              <w:spacing w:after="0"/>
              <w:rPr>
                <w:sz w:val="14"/>
                <w:szCs w:val="14"/>
                <w:color w:val="auto"/>
              </w:rPr>
            </w:pPr>
          </w:p>
        </w:tc>
        <w:tc>
          <w:tcPr>
            <w:tcW w:w="1060" w:type="dxa"/>
            <w:vAlign w:val="bottom"/>
            <w:shd w:val="clear" w:color="auto" w:fill="E0E3F1"/>
          </w:tcPr>
          <w:p>
            <w:pPr>
              <w:spacing w:after="0"/>
              <w:rPr>
                <w:sz w:val="14"/>
                <w:szCs w:val="14"/>
                <w:color w:val="auto"/>
              </w:rPr>
            </w:pPr>
          </w:p>
        </w:tc>
        <w:tc>
          <w:tcPr>
            <w:tcW w:w="40" w:type="dxa"/>
            <w:vAlign w:val="bottom"/>
            <w:shd w:val="clear" w:color="auto" w:fill="E0E3F1"/>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740" w:type="dxa"/>
            <w:vAlign w:val="bottom"/>
            <w:shd w:val="clear" w:color="auto" w:fill="E0E3F1"/>
          </w:tcPr>
          <w:p>
            <w:pPr>
              <w:ind w:left="140"/>
              <w:spacing w:after="0" w:line="202" w:lineRule="exact"/>
              <w:rPr>
                <w:sz w:val="20"/>
                <w:szCs w:val="20"/>
                <w:color w:val="auto"/>
              </w:rPr>
            </w:pPr>
            <w:r>
              <w:rPr>
                <w:rFonts w:ascii="Arial" w:cs="Arial" w:eastAsia="Arial" w:hAnsi="Arial"/>
                <w:sz w:val="14"/>
                <w:szCs w:val="14"/>
                <w:color w:val="auto"/>
              </w:rPr>
              <w:t>International/government/corporate bonds</w:t>
            </w:r>
            <w:r>
              <w:rPr>
                <w:rFonts w:ascii="Arial" w:cs="Arial" w:eastAsia="Arial" w:hAnsi="Arial"/>
                <w:sz w:val="23"/>
                <w:szCs w:val="23"/>
                <w:color w:val="auto"/>
                <w:vertAlign w:val="superscript"/>
              </w:rPr>
              <w:t>(e)</w:t>
            </w:r>
          </w:p>
        </w:tc>
        <w:tc>
          <w:tcPr>
            <w:tcW w:w="320" w:type="dxa"/>
            <w:vAlign w:val="bottom"/>
            <w:shd w:val="clear" w:color="auto" w:fill="E0E3F1"/>
          </w:tcPr>
          <w:p>
            <w:pPr>
              <w:spacing w:after="0"/>
              <w:rPr>
                <w:sz w:val="17"/>
                <w:szCs w:val="17"/>
                <w:color w:val="auto"/>
              </w:rPr>
            </w:pPr>
          </w:p>
        </w:tc>
        <w:tc>
          <w:tcPr>
            <w:tcW w:w="1040" w:type="dxa"/>
            <w:vAlign w:val="bottom"/>
            <w:shd w:val="clear" w:color="auto" w:fill="E0E3F1"/>
          </w:tcPr>
          <w:p>
            <w:pPr>
              <w:jc w:val="right"/>
              <w:spacing w:after="0"/>
              <w:rPr>
                <w:sz w:val="20"/>
                <w:szCs w:val="20"/>
                <w:color w:val="auto"/>
              </w:rPr>
            </w:pPr>
            <w:r>
              <w:rPr>
                <w:rFonts w:ascii="Arial" w:cs="Arial" w:eastAsia="Arial" w:hAnsi="Arial"/>
                <w:sz w:val="14"/>
                <w:szCs w:val="14"/>
                <w:color w:val="auto"/>
              </w:rPr>
              <w:t>223.4</w:t>
            </w:r>
          </w:p>
        </w:tc>
        <w:tc>
          <w:tcPr>
            <w:tcW w:w="180" w:type="dxa"/>
            <w:vAlign w:val="bottom"/>
            <w:shd w:val="clear" w:color="auto" w:fill="E0E3F1"/>
          </w:tcPr>
          <w:p>
            <w:pPr>
              <w:spacing w:after="0"/>
              <w:rPr>
                <w:sz w:val="17"/>
                <w:szCs w:val="17"/>
                <w:color w:val="auto"/>
              </w:rPr>
            </w:pPr>
          </w:p>
        </w:tc>
        <w:tc>
          <w:tcPr>
            <w:tcW w:w="11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E0E3F1"/>
          </w:tcPr>
          <w:p>
            <w:pPr>
              <w:spacing w:after="0"/>
              <w:rPr>
                <w:sz w:val="17"/>
                <w:szCs w:val="17"/>
                <w:color w:val="auto"/>
              </w:rPr>
            </w:pPr>
          </w:p>
        </w:tc>
        <w:tc>
          <w:tcPr>
            <w:tcW w:w="10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223.4</w:t>
            </w:r>
          </w:p>
        </w:tc>
        <w:tc>
          <w:tcPr>
            <w:tcW w:w="40" w:type="dxa"/>
            <w:vAlign w:val="bottom"/>
            <w:shd w:val="clear" w:color="auto" w:fill="E0E3F1"/>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5740" w:type="dxa"/>
            <w:vAlign w:val="bottom"/>
            <w:shd w:val="clear" w:color="auto" w:fill="E0E3F1"/>
          </w:tcPr>
          <w:p>
            <w:pPr>
              <w:ind w:left="140"/>
              <w:spacing w:after="0" w:line="213" w:lineRule="exact"/>
              <w:rPr>
                <w:sz w:val="20"/>
                <w:szCs w:val="20"/>
                <w:color w:val="auto"/>
              </w:rPr>
            </w:pPr>
            <w:r>
              <w:rPr>
                <w:rFonts w:ascii="Arial" w:cs="Arial" w:eastAsia="Arial" w:hAnsi="Arial"/>
                <w:sz w:val="14"/>
                <w:szCs w:val="14"/>
                <w:color w:val="auto"/>
              </w:rPr>
              <w:t>Insurance contracts</w:t>
            </w:r>
            <w:r>
              <w:rPr>
                <w:rFonts w:ascii="Arial" w:cs="Arial" w:eastAsia="Arial" w:hAnsi="Arial"/>
                <w:sz w:val="23"/>
                <w:szCs w:val="23"/>
                <w:color w:val="auto"/>
                <w:vertAlign w:val="superscript"/>
              </w:rPr>
              <w:t>(f)</w:t>
            </w:r>
          </w:p>
        </w:tc>
        <w:tc>
          <w:tcPr>
            <w:tcW w:w="320" w:type="dxa"/>
            <w:vAlign w:val="bottom"/>
            <w:shd w:val="clear" w:color="auto" w:fill="E0E3F1"/>
          </w:tcPr>
          <w:p>
            <w:pPr>
              <w:spacing w:after="0"/>
              <w:rPr>
                <w:sz w:val="18"/>
                <w:szCs w:val="18"/>
                <w:color w:val="auto"/>
              </w:rPr>
            </w:pPr>
          </w:p>
        </w:tc>
        <w:tc>
          <w:tcPr>
            <w:tcW w:w="1040" w:type="dxa"/>
            <w:vAlign w:val="bottom"/>
            <w:shd w:val="clear" w:color="auto" w:fill="E0E3F1"/>
          </w:tcPr>
          <w:p>
            <w:pPr>
              <w:jc w:val="right"/>
              <w:spacing w:after="0"/>
              <w:rPr>
                <w:sz w:val="20"/>
                <w:szCs w:val="20"/>
                <w:color w:val="auto"/>
              </w:rPr>
            </w:pPr>
            <w:r>
              <w:rPr>
                <w:rFonts w:ascii="Arial" w:cs="Arial" w:eastAsia="Arial" w:hAnsi="Arial"/>
                <w:sz w:val="14"/>
                <w:szCs w:val="14"/>
                <w:color w:val="auto"/>
              </w:rPr>
              <w:t>14.5</w:t>
            </w:r>
          </w:p>
        </w:tc>
        <w:tc>
          <w:tcPr>
            <w:tcW w:w="180" w:type="dxa"/>
            <w:vAlign w:val="bottom"/>
            <w:shd w:val="clear" w:color="auto" w:fill="E0E3F1"/>
          </w:tcPr>
          <w:p>
            <w:pPr>
              <w:spacing w:after="0"/>
              <w:rPr>
                <w:sz w:val="18"/>
                <w:szCs w:val="18"/>
                <w:color w:val="auto"/>
              </w:rPr>
            </w:pPr>
          </w:p>
        </w:tc>
        <w:tc>
          <w:tcPr>
            <w:tcW w:w="11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E0E3F1"/>
          </w:tcPr>
          <w:p>
            <w:pPr>
              <w:spacing w:after="0"/>
              <w:rPr>
                <w:sz w:val="18"/>
                <w:szCs w:val="18"/>
                <w:color w:val="auto"/>
              </w:rPr>
            </w:pPr>
          </w:p>
        </w:tc>
        <w:tc>
          <w:tcPr>
            <w:tcW w:w="10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14.5</w:t>
            </w:r>
          </w:p>
        </w:tc>
        <w:tc>
          <w:tcPr>
            <w:tcW w:w="40" w:type="dxa"/>
            <w:vAlign w:val="bottom"/>
            <w:shd w:val="clear" w:color="auto" w:fill="E0E3F1"/>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5740" w:type="dxa"/>
            <w:vAlign w:val="bottom"/>
            <w:tcBorders>
              <w:bottom w:val="single" w:sz="8" w:color="00539B"/>
            </w:tcBorders>
            <w:shd w:val="clear" w:color="auto" w:fill="E0E3F1"/>
          </w:tcPr>
          <w:p>
            <w:pPr>
              <w:ind w:left="140"/>
              <w:spacing w:after="0" w:line="227" w:lineRule="exact"/>
              <w:rPr>
                <w:sz w:val="20"/>
                <w:szCs w:val="20"/>
                <w:color w:val="auto"/>
              </w:rPr>
            </w:pPr>
            <w:r>
              <w:rPr>
                <w:rFonts w:ascii="Arial" w:cs="Arial" w:eastAsia="Arial" w:hAnsi="Arial"/>
                <w:sz w:val="14"/>
                <w:szCs w:val="14"/>
                <w:color w:val="auto"/>
              </w:rPr>
              <w:t>Real estate</w:t>
            </w:r>
            <w:r>
              <w:rPr>
                <w:rFonts w:ascii="Arial" w:cs="Arial" w:eastAsia="Arial" w:hAnsi="Arial"/>
                <w:sz w:val="21"/>
                <w:szCs w:val="21"/>
                <w:b w:val="1"/>
                <w:bCs w:val="1"/>
                <w:color w:val="auto"/>
                <w:vertAlign w:val="superscript"/>
              </w:rPr>
              <w:t>(g)</w:t>
            </w:r>
          </w:p>
        </w:tc>
        <w:tc>
          <w:tcPr>
            <w:tcW w:w="320" w:type="dxa"/>
            <w:vAlign w:val="bottom"/>
            <w:tcBorders>
              <w:bottom w:val="single" w:sz="8" w:color="00539B"/>
            </w:tcBorders>
            <w:shd w:val="clear" w:color="auto" w:fill="E0E3F1"/>
          </w:tcPr>
          <w:p>
            <w:pPr>
              <w:spacing w:after="0"/>
              <w:rPr>
                <w:sz w:val="19"/>
                <w:szCs w:val="19"/>
                <w:color w:val="auto"/>
              </w:rPr>
            </w:pPr>
          </w:p>
        </w:tc>
        <w:tc>
          <w:tcPr>
            <w:tcW w:w="104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9.1</w:t>
            </w:r>
          </w:p>
        </w:tc>
        <w:tc>
          <w:tcPr>
            <w:tcW w:w="180" w:type="dxa"/>
            <w:vAlign w:val="bottom"/>
            <w:tcBorders>
              <w:bottom w:val="single" w:sz="8" w:color="00539B"/>
            </w:tcBorders>
            <w:shd w:val="clear" w:color="auto" w:fill="E0E3F1"/>
          </w:tcPr>
          <w:p>
            <w:pPr>
              <w:spacing w:after="0"/>
              <w:rPr>
                <w:sz w:val="19"/>
                <w:szCs w:val="19"/>
                <w:color w:val="auto"/>
              </w:rPr>
            </w:pPr>
          </w:p>
        </w:tc>
        <w:tc>
          <w:tcPr>
            <w:tcW w:w="116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00539B"/>
            </w:tcBorders>
            <w:shd w:val="clear" w:color="auto" w:fill="E0E3F1"/>
          </w:tcPr>
          <w:p>
            <w:pPr>
              <w:spacing w:after="0"/>
              <w:rPr>
                <w:sz w:val="19"/>
                <w:szCs w:val="19"/>
                <w:color w:val="auto"/>
              </w:rPr>
            </w:pPr>
          </w:p>
        </w:tc>
        <w:tc>
          <w:tcPr>
            <w:tcW w:w="106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9.1</w:t>
            </w:r>
          </w:p>
        </w:tc>
        <w:tc>
          <w:tcPr>
            <w:tcW w:w="40" w:type="dxa"/>
            <w:vAlign w:val="bottom"/>
            <w:tcBorders>
              <w:bottom w:val="single" w:sz="8" w:color="00539B"/>
            </w:tcBorders>
            <w:shd w:val="clear" w:color="auto" w:fill="E0E3F1"/>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740" w:type="dxa"/>
            <w:vAlign w:val="bottom"/>
            <w:tcBorders>
              <w:bottom w:val="single" w:sz="8" w:color="00539B"/>
            </w:tcBorders>
            <w:shd w:val="clear" w:color="auto" w:fill="E0E3F1"/>
          </w:tcPr>
          <w:p>
            <w:pPr>
              <w:ind w:left="20"/>
              <w:spacing w:after="0"/>
              <w:rPr>
                <w:sz w:val="20"/>
                <w:szCs w:val="20"/>
                <w:color w:val="auto"/>
              </w:rPr>
            </w:pPr>
            <w:r>
              <w:rPr>
                <w:rFonts w:ascii="Arial" w:cs="Arial" w:eastAsia="Arial" w:hAnsi="Arial"/>
                <w:sz w:val="14"/>
                <w:szCs w:val="14"/>
                <w:color w:val="auto"/>
              </w:rPr>
              <w:t>Total investments</w:t>
            </w:r>
          </w:p>
        </w:tc>
        <w:tc>
          <w:tcPr>
            <w:tcW w:w="320" w:type="dxa"/>
            <w:vAlign w:val="bottom"/>
            <w:tcBorders>
              <w:bottom w:val="single" w:sz="8" w:color="00539B"/>
            </w:tcBorders>
            <w:shd w:val="clear" w:color="auto" w:fill="E0E3F1"/>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269.4</w:t>
            </w:r>
          </w:p>
        </w:tc>
        <w:tc>
          <w:tcPr>
            <w:tcW w:w="18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4.6</w:t>
            </w:r>
          </w:p>
        </w:tc>
        <w:tc>
          <w:tcPr>
            <w:tcW w:w="300" w:type="dxa"/>
            <w:vAlign w:val="bottom"/>
            <w:tcBorders>
              <w:bottom w:val="single" w:sz="8" w:color="00539B"/>
            </w:tcBorders>
            <w:shd w:val="clear" w:color="auto" w:fill="E0E3F1"/>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264.8</w:t>
            </w:r>
          </w:p>
        </w:tc>
        <w:tc>
          <w:tcPr>
            <w:tcW w:w="40" w:type="dxa"/>
            <w:vAlign w:val="bottom"/>
            <w:tcBorders>
              <w:bottom w:val="single" w:sz="8" w:color="00539B"/>
            </w:tcBorders>
            <w:shd w:val="clear" w:color="auto" w:fill="E0E3F1"/>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5780" w:type="dxa"/>
            <w:vAlign w:val="bottom"/>
            <w:tcBorders>
              <w:bottom w:val="single" w:sz="8" w:color="00539B"/>
            </w:tcBorders>
            <w:gridSpan w:val="2"/>
          </w:tcPr>
          <w:p>
            <w:pPr>
              <w:spacing w:after="0"/>
              <w:rPr>
                <w:sz w:val="11"/>
                <w:szCs w:val="11"/>
                <w:color w:val="auto"/>
              </w:rPr>
            </w:pPr>
          </w:p>
        </w:tc>
        <w:tc>
          <w:tcPr>
            <w:tcW w:w="320" w:type="dxa"/>
            <w:vAlign w:val="bottom"/>
            <w:tcBorders>
              <w:bottom w:val="single" w:sz="8" w:color="00539B"/>
            </w:tcBorders>
          </w:tcPr>
          <w:p>
            <w:pPr>
              <w:spacing w:after="0"/>
              <w:rPr>
                <w:sz w:val="11"/>
                <w:szCs w:val="11"/>
                <w:color w:val="auto"/>
              </w:rPr>
            </w:pPr>
          </w:p>
        </w:tc>
        <w:tc>
          <w:tcPr>
            <w:tcW w:w="1040" w:type="dxa"/>
            <w:vAlign w:val="bottom"/>
            <w:tcBorders>
              <w:bottom w:val="single" w:sz="8" w:color="00539B"/>
            </w:tcBorders>
          </w:tcPr>
          <w:p>
            <w:pPr>
              <w:spacing w:after="0"/>
              <w:rPr>
                <w:sz w:val="11"/>
                <w:szCs w:val="11"/>
                <w:color w:val="auto"/>
              </w:rPr>
            </w:pPr>
          </w:p>
        </w:tc>
        <w:tc>
          <w:tcPr>
            <w:tcW w:w="180" w:type="dxa"/>
            <w:vAlign w:val="bottom"/>
            <w:tcBorders>
              <w:bottom w:val="single" w:sz="8" w:color="00539B"/>
            </w:tcBorders>
          </w:tcPr>
          <w:p>
            <w:pPr>
              <w:spacing w:after="0"/>
              <w:rPr>
                <w:sz w:val="11"/>
                <w:szCs w:val="11"/>
                <w:color w:val="auto"/>
              </w:rPr>
            </w:pPr>
          </w:p>
        </w:tc>
        <w:tc>
          <w:tcPr>
            <w:tcW w:w="1160" w:type="dxa"/>
            <w:vAlign w:val="bottom"/>
            <w:tcBorders>
              <w:bottom w:val="single" w:sz="8" w:color="00539B"/>
            </w:tcBorders>
          </w:tcPr>
          <w:p>
            <w:pPr>
              <w:spacing w:after="0"/>
              <w:rPr>
                <w:sz w:val="11"/>
                <w:szCs w:val="11"/>
                <w:color w:val="auto"/>
              </w:rPr>
            </w:pPr>
          </w:p>
        </w:tc>
        <w:tc>
          <w:tcPr>
            <w:tcW w:w="300" w:type="dxa"/>
            <w:vAlign w:val="bottom"/>
            <w:tcBorders>
              <w:bottom w:val="single" w:sz="8" w:color="00539B"/>
            </w:tcBorders>
          </w:tcPr>
          <w:p>
            <w:pPr>
              <w:spacing w:after="0"/>
              <w:rPr>
                <w:sz w:val="11"/>
                <w:szCs w:val="11"/>
                <w:color w:val="auto"/>
              </w:rPr>
            </w:pPr>
          </w:p>
        </w:tc>
        <w:tc>
          <w:tcPr>
            <w:tcW w:w="1060" w:type="dxa"/>
            <w:vAlign w:val="bottom"/>
            <w:tcBorders>
              <w:bottom w:val="single" w:sz="8" w:color="00539B"/>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5780" w:type="dxa"/>
            <w:vAlign w:val="bottom"/>
            <w:tcBorders>
              <w:bottom w:val="single" w:sz="8" w:color="00539B"/>
            </w:tcBorders>
            <w:gridSpan w:val="2"/>
          </w:tcPr>
          <w:p>
            <w:pPr>
              <w:ind w:left="20"/>
              <w:spacing w:after="0"/>
              <w:rPr>
                <w:sz w:val="20"/>
                <w:szCs w:val="20"/>
                <w:color w:val="auto"/>
              </w:rPr>
            </w:pPr>
            <w:r>
              <w:rPr>
                <w:rFonts w:ascii="Arial" w:cs="Arial" w:eastAsia="Arial" w:hAnsi="Arial"/>
                <w:sz w:val="14"/>
                <w:szCs w:val="14"/>
                <w:color w:val="auto"/>
              </w:rPr>
              <w:t>As of November 30, 2024</w:t>
            </w:r>
          </w:p>
        </w:tc>
        <w:tc>
          <w:tcPr>
            <w:tcW w:w="320" w:type="dxa"/>
            <w:vAlign w:val="bottom"/>
            <w:tcBorders>
              <w:bottom w:val="single" w:sz="8" w:color="00539B"/>
            </w:tcBorders>
          </w:tcPr>
          <w:p>
            <w:pPr>
              <w:spacing w:after="0"/>
              <w:rPr>
                <w:sz w:val="17"/>
                <w:szCs w:val="17"/>
                <w:color w:val="auto"/>
              </w:rPr>
            </w:pPr>
          </w:p>
        </w:tc>
        <w:tc>
          <w:tcPr>
            <w:tcW w:w="1040" w:type="dxa"/>
            <w:vAlign w:val="bottom"/>
            <w:tcBorders>
              <w:bottom w:val="single" w:sz="8" w:color="00539B"/>
            </w:tcBorders>
          </w:tcPr>
          <w:p>
            <w:pPr>
              <w:spacing w:after="0"/>
              <w:rPr>
                <w:sz w:val="17"/>
                <w:szCs w:val="17"/>
                <w:color w:val="auto"/>
              </w:rPr>
            </w:pPr>
          </w:p>
        </w:tc>
        <w:tc>
          <w:tcPr>
            <w:tcW w:w="180" w:type="dxa"/>
            <w:vAlign w:val="bottom"/>
            <w:tcBorders>
              <w:bottom w:val="single" w:sz="8" w:color="00539B"/>
            </w:tcBorders>
          </w:tcPr>
          <w:p>
            <w:pPr>
              <w:spacing w:after="0"/>
              <w:rPr>
                <w:sz w:val="17"/>
                <w:szCs w:val="17"/>
                <w:color w:val="auto"/>
              </w:rPr>
            </w:pPr>
          </w:p>
        </w:tc>
        <w:tc>
          <w:tcPr>
            <w:tcW w:w="1160" w:type="dxa"/>
            <w:vAlign w:val="bottom"/>
            <w:tcBorders>
              <w:bottom w:val="single" w:sz="8" w:color="00539B"/>
            </w:tcBorders>
          </w:tcPr>
          <w:p>
            <w:pPr>
              <w:jc w:val="center"/>
              <w:ind w:right="108"/>
              <w:spacing w:after="0"/>
              <w:rPr>
                <w:sz w:val="20"/>
                <w:szCs w:val="20"/>
                <w:color w:val="auto"/>
              </w:rPr>
            </w:pPr>
            <w:r>
              <w:rPr>
                <w:rFonts w:ascii="Arial" w:cs="Arial" w:eastAsia="Arial" w:hAnsi="Arial"/>
                <w:sz w:val="14"/>
                <w:szCs w:val="14"/>
                <w:color w:val="auto"/>
              </w:rPr>
              <w:t>United States</w:t>
            </w:r>
          </w:p>
        </w:tc>
        <w:tc>
          <w:tcPr>
            <w:tcW w:w="300" w:type="dxa"/>
            <w:vAlign w:val="bottom"/>
            <w:tcBorders>
              <w:bottom w:val="single" w:sz="8" w:color="00539B"/>
            </w:tcBorders>
          </w:tcPr>
          <w:p>
            <w:pPr>
              <w:spacing w:after="0"/>
              <w:rPr>
                <w:sz w:val="17"/>
                <w:szCs w:val="17"/>
                <w:color w:val="auto"/>
              </w:rPr>
            </w:pPr>
          </w:p>
        </w:tc>
        <w:tc>
          <w:tcPr>
            <w:tcW w:w="1060" w:type="dxa"/>
            <w:vAlign w:val="bottom"/>
            <w:tcBorders>
              <w:bottom w:val="single" w:sz="8" w:color="00539B"/>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center"/>
              <w:ind w:right="288"/>
              <w:spacing w:after="0" w:line="146" w:lineRule="exact"/>
              <w:rPr>
                <w:sz w:val="20"/>
                <w:szCs w:val="20"/>
                <w:color w:val="auto"/>
              </w:rPr>
            </w:pPr>
            <w:r>
              <w:rPr>
                <w:rFonts w:ascii="Arial" w:cs="Arial" w:eastAsia="Arial" w:hAnsi="Arial"/>
                <w:sz w:val="14"/>
                <w:szCs w:val="14"/>
                <w:color w:val="auto"/>
              </w:rPr>
              <w:t>Total</w:t>
            </w: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780" w:type="dxa"/>
            <w:vAlign w:val="bottom"/>
            <w:gridSpan w:val="2"/>
            <w:vMerge w:val="restart"/>
          </w:tcPr>
          <w:p>
            <w:pPr>
              <w:ind w:left="20"/>
              <w:spacing w:after="0"/>
              <w:rPr>
                <w:sz w:val="20"/>
                <w:szCs w:val="20"/>
                <w:color w:val="auto"/>
              </w:rPr>
            </w:pPr>
            <w:r>
              <w:rPr>
                <w:rFonts w:ascii="Arial" w:cs="Arial" w:eastAsia="Arial" w:hAnsi="Arial"/>
                <w:sz w:val="14"/>
                <w:szCs w:val="14"/>
                <w:color w:val="auto"/>
              </w:rPr>
              <w:t>(millions)</w:t>
            </w:r>
          </w:p>
        </w:tc>
        <w:tc>
          <w:tcPr>
            <w:tcW w:w="320" w:type="dxa"/>
            <w:vAlign w:val="bottom"/>
          </w:tcPr>
          <w:p>
            <w:pPr>
              <w:spacing w:after="0"/>
              <w:rPr>
                <w:sz w:val="12"/>
                <w:szCs w:val="12"/>
                <w:color w:val="auto"/>
              </w:rPr>
            </w:pPr>
          </w:p>
        </w:tc>
        <w:tc>
          <w:tcPr>
            <w:tcW w:w="1040" w:type="dxa"/>
            <w:vAlign w:val="bottom"/>
          </w:tcPr>
          <w:p>
            <w:pPr>
              <w:jc w:val="right"/>
              <w:ind w:right="548"/>
              <w:spacing w:after="0" w:line="139" w:lineRule="exact"/>
              <w:rPr>
                <w:sz w:val="20"/>
                <w:szCs w:val="20"/>
                <w:color w:val="auto"/>
              </w:rPr>
            </w:pPr>
            <w:r>
              <w:rPr>
                <w:rFonts w:ascii="Arial" w:cs="Arial" w:eastAsia="Arial" w:hAnsi="Arial"/>
                <w:sz w:val="14"/>
                <w:szCs w:val="14"/>
                <w:color w:val="auto"/>
              </w:rPr>
              <w:t>fair</w:t>
            </w:r>
          </w:p>
        </w:tc>
        <w:tc>
          <w:tcPr>
            <w:tcW w:w="180" w:type="dxa"/>
            <w:vAlign w:val="bottom"/>
          </w:tcPr>
          <w:p>
            <w:pPr>
              <w:spacing w:after="0"/>
              <w:rPr>
                <w:sz w:val="12"/>
                <w:szCs w:val="12"/>
                <w:color w:val="auto"/>
              </w:rPr>
            </w:pPr>
          </w:p>
        </w:tc>
        <w:tc>
          <w:tcPr>
            <w:tcW w:w="1160" w:type="dxa"/>
            <w:vAlign w:val="bottom"/>
            <w:vMerge w:val="restart"/>
          </w:tcPr>
          <w:p>
            <w:pPr>
              <w:jc w:val="center"/>
              <w:ind w:right="108"/>
              <w:spacing w:after="0"/>
              <w:rPr>
                <w:sz w:val="20"/>
                <w:szCs w:val="20"/>
                <w:color w:val="auto"/>
              </w:rPr>
            </w:pPr>
            <w:r>
              <w:rPr>
                <w:rFonts w:ascii="Arial" w:cs="Arial" w:eastAsia="Arial" w:hAnsi="Arial"/>
                <w:sz w:val="14"/>
                <w:szCs w:val="14"/>
                <w:color w:val="auto"/>
              </w:rPr>
              <w:t>Level 1</w:t>
            </w:r>
          </w:p>
        </w:tc>
        <w:tc>
          <w:tcPr>
            <w:tcW w:w="300" w:type="dxa"/>
            <w:vAlign w:val="bottom"/>
          </w:tcPr>
          <w:p>
            <w:pPr>
              <w:spacing w:after="0"/>
              <w:rPr>
                <w:sz w:val="12"/>
                <w:szCs w:val="12"/>
                <w:color w:val="auto"/>
              </w:rPr>
            </w:pPr>
          </w:p>
        </w:tc>
        <w:tc>
          <w:tcPr>
            <w:tcW w:w="1060" w:type="dxa"/>
            <w:vAlign w:val="bottom"/>
            <w:vMerge w:val="restart"/>
          </w:tcPr>
          <w:p>
            <w:pPr>
              <w:jc w:val="right"/>
              <w:ind w:right="368"/>
              <w:spacing w:after="0"/>
              <w:rPr>
                <w:sz w:val="20"/>
                <w:szCs w:val="20"/>
                <w:color w:val="auto"/>
              </w:rPr>
            </w:pPr>
            <w:r>
              <w:rPr>
                <w:rFonts w:ascii="Arial" w:cs="Arial" w:eastAsia="Arial" w:hAnsi="Arial"/>
                <w:sz w:val="14"/>
                <w:szCs w:val="14"/>
                <w:color w:val="auto"/>
              </w:rPr>
              <w:t>Level 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5780" w:type="dxa"/>
            <w:vAlign w:val="bottom"/>
            <w:tcBorders>
              <w:bottom w:val="single" w:sz="8" w:color="00539B"/>
            </w:tcBorders>
            <w:gridSpan w:val="2"/>
            <w:vMerge w:val="continue"/>
          </w:tcPr>
          <w:p>
            <w:pPr>
              <w:spacing w:after="0"/>
              <w:rPr>
                <w:sz w:val="16"/>
                <w:szCs w:val="16"/>
                <w:color w:val="auto"/>
              </w:rPr>
            </w:pPr>
          </w:p>
        </w:tc>
        <w:tc>
          <w:tcPr>
            <w:tcW w:w="320" w:type="dxa"/>
            <w:vAlign w:val="bottom"/>
            <w:tcBorders>
              <w:bottom w:val="single" w:sz="8" w:color="00539B"/>
            </w:tcBorders>
          </w:tcPr>
          <w:p>
            <w:pPr>
              <w:spacing w:after="0"/>
              <w:rPr>
                <w:sz w:val="16"/>
                <w:szCs w:val="16"/>
                <w:color w:val="auto"/>
              </w:rPr>
            </w:pPr>
          </w:p>
        </w:tc>
        <w:tc>
          <w:tcPr>
            <w:tcW w:w="1040" w:type="dxa"/>
            <w:vAlign w:val="bottom"/>
            <w:tcBorders>
              <w:bottom w:val="single" w:sz="8" w:color="00539B"/>
            </w:tcBorders>
          </w:tcPr>
          <w:p>
            <w:pPr>
              <w:jc w:val="center"/>
              <w:ind w:right="288"/>
              <w:spacing w:after="0"/>
              <w:rPr>
                <w:sz w:val="20"/>
                <w:szCs w:val="20"/>
                <w:color w:val="auto"/>
              </w:rPr>
            </w:pPr>
            <w:r>
              <w:rPr>
                <w:rFonts w:ascii="Arial" w:cs="Arial" w:eastAsia="Arial" w:hAnsi="Arial"/>
                <w:sz w:val="14"/>
                <w:szCs w:val="14"/>
                <w:color w:val="auto"/>
              </w:rPr>
              <w:t>value</w:t>
            </w:r>
          </w:p>
        </w:tc>
        <w:tc>
          <w:tcPr>
            <w:tcW w:w="180" w:type="dxa"/>
            <w:vAlign w:val="bottom"/>
            <w:tcBorders>
              <w:bottom w:val="single" w:sz="8" w:color="00539B"/>
            </w:tcBorders>
          </w:tcPr>
          <w:p>
            <w:pPr>
              <w:spacing w:after="0"/>
              <w:rPr>
                <w:sz w:val="16"/>
                <w:szCs w:val="16"/>
                <w:color w:val="auto"/>
              </w:rPr>
            </w:pPr>
          </w:p>
        </w:tc>
        <w:tc>
          <w:tcPr>
            <w:tcW w:w="1160" w:type="dxa"/>
            <w:vAlign w:val="bottom"/>
            <w:tcBorders>
              <w:bottom w:val="single" w:sz="8" w:color="00539B"/>
            </w:tcBorders>
            <w:vMerge w:val="continue"/>
          </w:tcPr>
          <w:p>
            <w:pPr>
              <w:spacing w:after="0"/>
              <w:rPr>
                <w:sz w:val="16"/>
                <w:szCs w:val="16"/>
                <w:color w:val="auto"/>
              </w:rPr>
            </w:pPr>
          </w:p>
        </w:tc>
        <w:tc>
          <w:tcPr>
            <w:tcW w:w="300" w:type="dxa"/>
            <w:vAlign w:val="bottom"/>
            <w:tcBorders>
              <w:bottom w:val="single" w:sz="8" w:color="00539B"/>
            </w:tcBorders>
          </w:tcPr>
          <w:p>
            <w:pPr>
              <w:spacing w:after="0"/>
              <w:rPr>
                <w:sz w:val="16"/>
                <w:szCs w:val="16"/>
                <w:color w:val="auto"/>
              </w:rPr>
            </w:pPr>
          </w:p>
        </w:tc>
        <w:tc>
          <w:tcPr>
            <w:tcW w:w="1060" w:type="dxa"/>
            <w:vAlign w:val="bottom"/>
            <w:tcBorders>
              <w:bottom w:val="single" w:sz="8" w:color="00539B"/>
            </w:tcBorders>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780" w:type="dxa"/>
            <w:vAlign w:val="bottom"/>
            <w:gridSpan w:val="2"/>
          </w:tcPr>
          <w:p>
            <w:pPr>
              <w:ind w:left="20"/>
              <w:spacing w:after="0"/>
              <w:rPr>
                <w:sz w:val="20"/>
                <w:szCs w:val="20"/>
                <w:color w:val="auto"/>
              </w:rPr>
            </w:pPr>
            <w:r>
              <w:rPr>
                <w:rFonts w:ascii="Arial" w:cs="Arial" w:eastAsia="Arial" w:hAnsi="Arial"/>
                <w:sz w:val="14"/>
                <w:szCs w:val="14"/>
                <w:color w:val="auto"/>
              </w:rPr>
              <w:t>Cash and cash equivalents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4.4</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4.4</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780" w:type="dxa"/>
            <w:vAlign w:val="bottom"/>
            <w:gridSpan w:val="2"/>
          </w:tcPr>
          <w:p>
            <w:pPr>
              <w:ind w:left="20"/>
              <w:spacing w:after="0"/>
              <w:rPr>
                <w:sz w:val="20"/>
                <w:szCs w:val="20"/>
                <w:color w:val="auto"/>
              </w:rPr>
            </w:pPr>
            <w:r>
              <w:rPr>
                <w:rFonts w:ascii="Arial" w:cs="Arial" w:eastAsia="Arial" w:hAnsi="Arial"/>
                <w:sz w:val="14"/>
                <w:szCs w:val="14"/>
                <w:color w:val="auto"/>
              </w:rPr>
              <w:t>Equity securities:</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740" w:type="dxa"/>
            <w:vAlign w:val="bottom"/>
          </w:tcPr>
          <w:p>
            <w:pPr>
              <w:ind w:left="140"/>
              <w:spacing w:after="0" w:line="202" w:lineRule="exact"/>
              <w:rPr>
                <w:sz w:val="20"/>
                <w:szCs w:val="20"/>
                <w:color w:val="auto"/>
              </w:rPr>
            </w:pPr>
            <w:r>
              <w:rPr>
                <w:rFonts w:ascii="Arial" w:cs="Arial" w:eastAsia="Arial" w:hAnsi="Arial"/>
                <w:sz w:val="14"/>
                <w:szCs w:val="14"/>
                <w:color w:val="auto"/>
              </w:rPr>
              <w:t>U.S. equity securities</w:t>
            </w:r>
            <w:r>
              <w:rPr>
                <w:rFonts w:ascii="Arial" w:cs="Arial" w:eastAsia="Arial" w:hAnsi="Arial"/>
                <w:sz w:val="23"/>
                <w:szCs w:val="23"/>
                <w:color w:val="auto"/>
                <w:vertAlign w:val="superscript"/>
              </w:rPr>
              <w:t>(a)</w:t>
            </w:r>
          </w:p>
        </w:tc>
        <w:tc>
          <w:tcPr>
            <w:tcW w:w="32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81.2</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81.2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40" w:type="dxa"/>
            <w:vAlign w:val="bottom"/>
          </w:tcPr>
          <w:p>
            <w:pPr>
              <w:spacing w:after="0"/>
              <w:rPr>
                <w:sz w:val="21"/>
                <w:szCs w:val="21"/>
                <w:color w:val="auto"/>
              </w:rPr>
            </w:pPr>
          </w:p>
        </w:tc>
        <w:tc>
          <w:tcPr>
            <w:tcW w:w="5740" w:type="dxa"/>
            <w:vAlign w:val="bottom"/>
          </w:tcPr>
          <w:p>
            <w:pPr>
              <w:ind w:left="140"/>
              <w:spacing w:after="0" w:line="242" w:lineRule="exact"/>
              <w:rPr>
                <w:sz w:val="20"/>
                <w:szCs w:val="20"/>
                <w:color w:val="auto"/>
              </w:rPr>
            </w:pPr>
            <w:r>
              <w:rPr>
                <w:rFonts w:ascii="Arial" w:cs="Arial" w:eastAsia="Arial" w:hAnsi="Arial"/>
                <w:sz w:val="14"/>
                <w:szCs w:val="14"/>
                <w:color w:val="auto"/>
              </w:rPr>
              <w:t>International equity securities</w:t>
            </w:r>
            <w:r>
              <w:rPr>
                <w:rFonts w:ascii="Arial" w:cs="Arial" w:eastAsia="Arial" w:hAnsi="Arial"/>
                <w:sz w:val="23"/>
                <w:szCs w:val="23"/>
                <w:color w:val="auto"/>
                <w:vertAlign w:val="superscript"/>
              </w:rPr>
              <w:t>(b)</w:t>
            </w:r>
          </w:p>
        </w:tc>
        <w:tc>
          <w:tcPr>
            <w:tcW w:w="320" w:type="dxa"/>
            <w:vAlign w:val="bottom"/>
          </w:tcPr>
          <w:p>
            <w:pPr>
              <w:spacing w:after="0"/>
              <w:rPr>
                <w:sz w:val="21"/>
                <w:szCs w:val="21"/>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50.3</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1"/>
                <w:szCs w:val="21"/>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50.3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5780" w:type="dxa"/>
            <w:vAlign w:val="bottom"/>
            <w:gridSpan w:val="2"/>
          </w:tcPr>
          <w:p>
            <w:pPr>
              <w:ind w:left="20"/>
              <w:spacing w:after="0"/>
              <w:rPr>
                <w:sz w:val="20"/>
                <w:szCs w:val="20"/>
                <w:color w:val="auto"/>
              </w:rPr>
            </w:pPr>
            <w:r>
              <w:rPr>
                <w:rFonts w:ascii="Arial" w:cs="Arial" w:eastAsia="Arial" w:hAnsi="Arial"/>
                <w:sz w:val="14"/>
                <w:szCs w:val="14"/>
                <w:color w:val="auto"/>
              </w:rPr>
              <w:t>Fixed income securities:</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740" w:type="dxa"/>
            <w:vAlign w:val="bottom"/>
          </w:tcPr>
          <w:p>
            <w:pPr>
              <w:ind w:left="140"/>
              <w:spacing w:after="0" w:line="202" w:lineRule="exact"/>
              <w:rPr>
                <w:sz w:val="20"/>
                <w:szCs w:val="20"/>
                <w:color w:val="auto"/>
              </w:rPr>
            </w:pPr>
            <w:r>
              <w:rPr>
                <w:rFonts w:ascii="Arial" w:cs="Arial" w:eastAsia="Arial" w:hAnsi="Arial"/>
                <w:sz w:val="14"/>
                <w:szCs w:val="14"/>
                <w:color w:val="auto"/>
              </w:rPr>
              <w:t>U.S./government/ corporate bonds</w:t>
            </w:r>
            <w:r>
              <w:rPr>
                <w:rFonts w:ascii="Arial" w:cs="Arial" w:eastAsia="Arial" w:hAnsi="Arial"/>
                <w:sz w:val="23"/>
                <w:szCs w:val="23"/>
                <w:color w:val="auto"/>
                <w:vertAlign w:val="superscript"/>
              </w:rPr>
              <w:t>(c)</w:t>
            </w:r>
          </w:p>
        </w:tc>
        <w:tc>
          <w:tcPr>
            <w:tcW w:w="32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417.0</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417.0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740" w:type="dxa"/>
            <w:vAlign w:val="bottom"/>
          </w:tcPr>
          <w:p>
            <w:pPr>
              <w:ind w:left="140"/>
              <w:spacing w:after="0" w:line="202" w:lineRule="exact"/>
              <w:rPr>
                <w:sz w:val="20"/>
                <w:szCs w:val="20"/>
                <w:color w:val="auto"/>
              </w:rPr>
            </w:pPr>
            <w:r>
              <w:rPr>
                <w:rFonts w:ascii="Arial" w:cs="Arial" w:eastAsia="Arial" w:hAnsi="Arial"/>
                <w:sz w:val="14"/>
                <w:szCs w:val="14"/>
                <w:color w:val="auto"/>
              </w:rPr>
              <w:t>High yield bonds</w:t>
            </w:r>
            <w:r>
              <w:rPr>
                <w:rFonts w:ascii="Arial" w:cs="Arial" w:eastAsia="Arial" w:hAnsi="Arial"/>
                <w:sz w:val="23"/>
                <w:szCs w:val="23"/>
                <w:color w:val="auto"/>
                <w:vertAlign w:val="superscript"/>
              </w:rPr>
              <w:t>(d)</w:t>
            </w:r>
          </w:p>
        </w:tc>
        <w:tc>
          <w:tcPr>
            <w:tcW w:w="32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42.9</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42.9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00539B"/>
            </w:tcBorders>
          </w:tcPr>
          <w:p>
            <w:pPr>
              <w:spacing w:after="0"/>
              <w:rPr>
                <w:sz w:val="20"/>
                <w:szCs w:val="20"/>
                <w:color w:val="auto"/>
              </w:rPr>
            </w:pPr>
          </w:p>
        </w:tc>
        <w:tc>
          <w:tcPr>
            <w:tcW w:w="5740" w:type="dxa"/>
            <w:vAlign w:val="bottom"/>
            <w:tcBorders>
              <w:bottom w:val="single" w:sz="8" w:color="00539B"/>
            </w:tcBorders>
          </w:tcPr>
          <w:p>
            <w:pPr>
              <w:ind w:left="140"/>
              <w:spacing w:after="0" w:line="237" w:lineRule="exact"/>
              <w:rPr>
                <w:sz w:val="20"/>
                <w:szCs w:val="20"/>
                <w:color w:val="auto"/>
              </w:rPr>
            </w:pPr>
            <w:r>
              <w:rPr>
                <w:rFonts w:ascii="Arial" w:cs="Arial" w:eastAsia="Arial" w:hAnsi="Arial"/>
                <w:sz w:val="14"/>
                <w:szCs w:val="14"/>
                <w:color w:val="auto"/>
              </w:rPr>
              <w:t>Insurance contracts</w:t>
            </w:r>
            <w:r>
              <w:rPr>
                <w:rFonts w:ascii="Arial" w:cs="Arial" w:eastAsia="Arial" w:hAnsi="Arial"/>
                <w:sz w:val="23"/>
                <w:szCs w:val="23"/>
                <w:color w:val="auto"/>
                <w:vertAlign w:val="superscript"/>
              </w:rPr>
              <w:t>(f)</w:t>
            </w:r>
          </w:p>
        </w:tc>
        <w:tc>
          <w:tcPr>
            <w:tcW w:w="320" w:type="dxa"/>
            <w:vAlign w:val="bottom"/>
            <w:tcBorders>
              <w:bottom w:val="single" w:sz="8" w:color="00539B"/>
            </w:tcBorders>
          </w:tcPr>
          <w:p>
            <w:pPr>
              <w:spacing w:after="0"/>
              <w:rPr>
                <w:sz w:val="20"/>
                <w:szCs w:val="20"/>
                <w:color w:val="auto"/>
              </w:rPr>
            </w:pPr>
          </w:p>
        </w:tc>
        <w:tc>
          <w:tcPr>
            <w:tcW w:w="1040" w:type="dxa"/>
            <w:vAlign w:val="bottom"/>
            <w:tcBorders>
              <w:bottom w:val="single" w:sz="8" w:color="00539B"/>
            </w:tcBorders>
          </w:tcPr>
          <w:p>
            <w:pPr>
              <w:jc w:val="right"/>
              <w:ind w:right="8"/>
              <w:spacing w:after="0"/>
              <w:rPr>
                <w:sz w:val="20"/>
                <w:szCs w:val="20"/>
                <w:color w:val="auto"/>
              </w:rPr>
            </w:pPr>
            <w:r>
              <w:rPr>
                <w:rFonts w:ascii="Arial" w:cs="Arial" w:eastAsia="Arial" w:hAnsi="Arial"/>
                <w:sz w:val="14"/>
                <w:szCs w:val="14"/>
                <w:color w:val="auto"/>
              </w:rPr>
              <w:t>1.2</w:t>
            </w:r>
          </w:p>
        </w:tc>
        <w:tc>
          <w:tcPr>
            <w:tcW w:w="180" w:type="dxa"/>
            <w:vAlign w:val="bottom"/>
            <w:tcBorders>
              <w:bottom w:val="single" w:sz="8" w:color="00539B"/>
            </w:tcBorders>
          </w:tcPr>
          <w:p>
            <w:pPr>
              <w:spacing w:after="0"/>
              <w:rPr>
                <w:sz w:val="20"/>
                <w:szCs w:val="20"/>
                <w:color w:val="auto"/>
              </w:rPr>
            </w:pPr>
          </w:p>
        </w:tc>
        <w:tc>
          <w:tcPr>
            <w:tcW w:w="116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00539B"/>
            </w:tcBorders>
          </w:tcPr>
          <w:p>
            <w:pPr>
              <w:spacing w:after="0"/>
              <w:rPr>
                <w:sz w:val="20"/>
                <w:szCs w:val="20"/>
                <w:color w:val="auto"/>
              </w:rPr>
            </w:pPr>
          </w:p>
        </w:tc>
        <w:tc>
          <w:tcPr>
            <w:tcW w:w="1060" w:type="dxa"/>
            <w:vAlign w:val="bottom"/>
            <w:tcBorders>
              <w:bottom w:val="single" w:sz="8" w:color="00539B"/>
            </w:tcBorders>
          </w:tcPr>
          <w:p>
            <w:pPr>
              <w:jc w:val="right"/>
              <w:ind w:right="8"/>
              <w:spacing w:after="0"/>
              <w:rPr>
                <w:sz w:val="20"/>
                <w:szCs w:val="20"/>
                <w:color w:val="auto"/>
              </w:rPr>
            </w:pPr>
            <w:r>
              <w:rPr>
                <w:rFonts w:ascii="Arial" w:cs="Arial" w:eastAsia="Arial" w:hAnsi="Arial"/>
                <w:sz w:val="14"/>
                <w:szCs w:val="14"/>
                <w:color w:val="auto"/>
              </w:rPr>
              <w:t>1.2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5780" w:type="dxa"/>
            <w:vAlign w:val="bottom"/>
            <w:tcBorders>
              <w:bottom w:val="single" w:sz="8" w:color="00539B"/>
            </w:tcBorders>
            <w:gridSpan w:val="2"/>
          </w:tcPr>
          <w:p>
            <w:pPr>
              <w:ind w:left="20"/>
              <w:spacing w:after="0"/>
              <w:rPr>
                <w:sz w:val="20"/>
                <w:szCs w:val="20"/>
                <w:color w:val="auto"/>
              </w:rPr>
            </w:pPr>
            <w:r>
              <w:rPr>
                <w:rFonts w:ascii="Arial" w:cs="Arial" w:eastAsia="Arial" w:hAnsi="Arial"/>
                <w:sz w:val="14"/>
                <w:szCs w:val="14"/>
                <w:color w:val="auto"/>
              </w:rPr>
              <w:t>Total</w:t>
            </w:r>
          </w:p>
        </w:tc>
        <w:tc>
          <w:tcPr>
            <w:tcW w:w="320" w:type="dxa"/>
            <w:vAlign w:val="bottom"/>
            <w:tcBorders>
              <w:bottom w:val="single" w:sz="8" w:color="00539B"/>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00539B"/>
            </w:tcBorders>
          </w:tcPr>
          <w:p>
            <w:pPr>
              <w:jc w:val="right"/>
              <w:ind w:right="8"/>
              <w:spacing w:after="0"/>
              <w:rPr>
                <w:sz w:val="20"/>
                <w:szCs w:val="20"/>
                <w:color w:val="auto"/>
              </w:rPr>
            </w:pPr>
            <w:r>
              <w:rPr>
                <w:rFonts w:ascii="Arial" w:cs="Arial" w:eastAsia="Arial" w:hAnsi="Arial"/>
                <w:sz w:val="14"/>
                <w:szCs w:val="14"/>
                <w:color w:val="auto"/>
              </w:rPr>
              <w:t>597.0</w:t>
            </w:r>
          </w:p>
        </w:tc>
        <w:tc>
          <w:tcPr>
            <w:tcW w:w="180" w:type="dxa"/>
            <w:vAlign w:val="bottom"/>
            <w:tcBorders>
              <w:bottom w:val="single" w:sz="8" w:color="00539B"/>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4.4</w:t>
            </w:r>
          </w:p>
        </w:tc>
        <w:tc>
          <w:tcPr>
            <w:tcW w:w="300" w:type="dxa"/>
            <w:vAlign w:val="bottom"/>
            <w:tcBorders>
              <w:bottom w:val="single" w:sz="8" w:color="00539B"/>
            </w:tcBorders>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00539B"/>
            </w:tcBorders>
          </w:tcPr>
          <w:p>
            <w:pPr>
              <w:jc w:val="right"/>
              <w:ind w:right="8"/>
              <w:spacing w:after="0"/>
              <w:rPr>
                <w:sz w:val="20"/>
                <w:szCs w:val="20"/>
                <w:color w:val="auto"/>
              </w:rPr>
            </w:pPr>
            <w:r>
              <w:rPr>
                <w:rFonts w:ascii="Arial" w:cs="Arial" w:eastAsia="Arial" w:hAnsi="Arial"/>
                <w:sz w:val="14"/>
                <w:szCs w:val="14"/>
                <w:color w:val="auto"/>
              </w:rPr>
              <w:t>592.6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5780" w:type="dxa"/>
            <w:vAlign w:val="bottom"/>
            <w:gridSpan w:val="2"/>
          </w:tcPr>
          <w:p>
            <w:pPr>
              <w:ind w:left="20"/>
              <w:spacing w:after="0" w:line="165" w:lineRule="exact"/>
              <w:rPr>
                <w:sz w:val="20"/>
                <w:szCs w:val="20"/>
                <w:color w:val="auto"/>
              </w:rPr>
            </w:pPr>
            <w:r>
              <w:rPr>
                <w:rFonts w:ascii="Arial" w:cs="Arial" w:eastAsia="Arial" w:hAnsi="Arial"/>
                <w:sz w:val="12"/>
                <w:szCs w:val="12"/>
                <w:color w:val="auto"/>
              </w:rPr>
              <w:t>Investments measured at net asset value</w:t>
            </w:r>
            <w:r>
              <w:rPr>
                <w:rFonts w:ascii="Arial" w:cs="Arial" w:eastAsia="Arial" w:hAnsi="Arial"/>
                <w:sz w:val="19"/>
                <w:szCs w:val="19"/>
                <w:color w:val="auto"/>
                <w:vertAlign w:val="superscript"/>
              </w:rPr>
              <w:t>(h)</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740" w:type="dxa"/>
            <w:vAlign w:val="bottom"/>
          </w:tcPr>
          <w:p>
            <w:pPr>
              <w:ind w:left="180"/>
              <w:spacing w:after="0" w:line="202" w:lineRule="exact"/>
              <w:rPr>
                <w:sz w:val="20"/>
                <w:szCs w:val="20"/>
                <w:color w:val="auto"/>
              </w:rPr>
            </w:pPr>
            <w:r>
              <w:rPr>
                <w:rFonts w:ascii="Arial" w:cs="Arial" w:eastAsia="Arial" w:hAnsi="Arial"/>
                <w:sz w:val="14"/>
                <w:szCs w:val="14"/>
                <w:color w:val="auto"/>
              </w:rPr>
              <w:t>Hedge funds</w:t>
            </w:r>
            <w:r>
              <w:rPr>
                <w:rFonts w:ascii="Arial" w:cs="Arial" w:eastAsia="Arial" w:hAnsi="Arial"/>
                <w:sz w:val="23"/>
                <w:szCs w:val="23"/>
                <w:color w:val="auto"/>
                <w:vertAlign w:val="superscript"/>
              </w:rPr>
              <w:t>(i)</w:t>
            </w:r>
          </w:p>
        </w:tc>
        <w:tc>
          <w:tcPr>
            <w:tcW w:w="32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29.6</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40" w:type="dxa"/>
            <w:vAlign w:val="bottom"/>
          </w:tcPr>
          <w:p>
            <w:pPr>
              <w:spacing w:after="0"/>
              <w:rPr>
                <w:sz w:val="21"/>
                <w:szCs w:val="21"/>
                <w:color w:val="auto"/>
              </w:rPr>
            </w:pPr>
          </w:p>
        </w:tc>
        <w:tc>
          <w:tcPr>
            <w:tcW w:w="5740" w:type="dxa"/>
            <w:vAlign w:val="bottom"/>
          </w:tcPr>
          <w:p>
            <w:pPr>
              <w:ind w:left="180"/>
              <w:spacing w:after="0" w:line="242" w:lineRule="exact"/>
              <w:rPr>
                <w:sz w:val="20"/>
                <w:szCs w:val="20"/>
                <w:color w:val="auto"/>
              </w:rPr>
            </w:pPr>
            <w:r>
              <w:rPr>
                <w:rFonts w:ascii="Arial" w:cs="Arial" w:eastAsia="Arial" w:hAnsi="Arial"/>
                <w:sz w:val="14"/>
                <w:szCs w:val="14"/>
                <w:color w:val="auto"/>
              </w:rPr>
              <w:t>Private equity funds</w:t>
            </w:r>
            <w:r>
              <w:rPr>
                <w:rFonts w:ascii="Arial" w:cs="Arial" w:eastAsia="Arial" w:hAnsi="Arial"/>
                <w:sz w:val="23"/>
                <w:szCs w:val="23"/>
                <w:color w:val="auto"/>
                <w:vertAlign w:val="superscript"/>
              </w:rPr>
              <w:t>(j)</w:t>
            </w:r>
          </w:p>
        </w:tc>
        <w:tc>
          <w:tcPr>
            <w:tcW w:w="320" w:type="dxa"/>
            <w:vAlign w:val="bottom"/>
          </w:tcPr>
          <w:p>
            <w:pPr>
              <w:spacing w:after="0"/>
              <w:rPr>
                <w:sz w:val="21"/>
                <w:szCs w:val="21"/>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16.8</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5740" w:type="dxa"/>
            <w:vAlign w:val="bottom"/>
          </w:tcPr>
          <w:p>
            <w:pPr>
              <w:ind w:left="180"/>
              <w:spacing w:after="0"/>
              <w:rPr>
                <w:sz w:val="20"/>
                <w:szCs w:val="20"/>
                <w:color w:val="auto"/>
              </w:rPr>
            </w:pPr>
            <w:r>
              <w:rPr>
                <w:rFonts w:ascii="Arial" w:cs="Arial" w:eastAsia="Arial" w:hAnsi="Arial"/>
                <w:sz w:val="14"/>
                <w:szCs w:val="14"/>
                <w:color w:val="auto"/>
              </w:rPr>
              <w:t>Private debt funds(k)</w:t>
            </w:r>
          </w:p>
        </w:tc>
        <w:tc>
          <w:tcPr>
            <w:tcW w:w="32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8.0</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0" w:type="dxa"/>
            <w:vAlign w:val="bottom"/>
            <w:tcBorders>
              <w:bottom w:val="single" w:sz="8" w:color="00539B"/>
            </w:tcBorders>
          </w:tcPr>
          <w:p>
            <w:pPr>
              <w:spacing w:after="0"/>
              <w:rPr>
                <w:sz w:val="17"/>
                <w:szCs w:val="17"/>
                <w:color w:val="auto"/>
              </w:rPr>
            </w:pPr>
          </w:p>
        </w:tc>
        <w:tc>
          <w:tcPr>
            <w:tcW w:w="5740" w:type="dxa"/>
            <w:vAlign w:val="bottom"/>
            <w:tcBorders>
              <w:bottom w:val="single" w:sz="8" w:color="00539B"/>
            </w:tcBorders>
          </w:tcPr>
          <w:p>
            <w:pPr>
              <w:ind w:left="180"/>
              <w:spacing w:after="0"/>
              <w:rPr>
                <w:sz w:val="20"/>
                <w:szCs w:val="20"/>
                <w:color w:val="auto"/>
              </w:rPr>
            </w:pPr>
            <w:r>
              <w:rPr>
                <w:rFonts w:ascii="Arial" w:cs="Arial" w:eastAsia="Arial" w:hAnsi="Arial"/>
                <w:sz w:val="14"/>
                <w:szCs w:val="14"/>
                <w:color w:val="auto"/>
              </w:rPr>
              <w:t>Real estate (l)</w:t>
            </w:r>
          </w:p>
        </w:tc>
        <w:tc>
          <w:tcPr>
            <w:tcW w:w="320" w:type="dxa"/>
            <w:vAlign w:val="bottom"/>
            <w:tcBorders>
              <w:bottom w:val="single" w:sz="8" w:color="00539B"/>
            </w:tcBorders>
          </w:tcPr>
          <w:p>
            <w:pPr>
              <w:spacing w:after="0"/>
              <w:rPr>
                <w:sz w:val="17"/>
                <w:szCs w:val="17"/>
                <w:color w:val="auto"/>
              </w:rPr>
            </w:pPr>
          </w:p>
        </w:tc>
        <w:tc>
          <w:tcPr>
            <w:tcW w:w="1040" w:type="dxa"/>
            <w:vAlign w:val="bottom"/>
            <w:tcBorders>
              <w:bottom w:val="single" w:sz="8" w:color="00539B"/>
            </w:tcBorders>
          </w:tcPr>
          <w:p>
            <w:pPr>
              <w:jc w:val="right"/>
              <w:ind w:right="8"/>
              <w:spacing w:after="0"/>
              <w:rPr>
                <w:sz w:val="20"/>
                <w:szCs w:val="20"/>
                <w:color w:val="auto"/>
              </w:rPr>
            </w:pPr>
            <w:r>
              <w:rPr>
                <w:rFonts w:ascii="Arial" w:cs="Arial" w:eastAsia="Arial" w:hAnsi="Arial"/>
                <w:sz w:val="14"/>
                <w:szCs w:val="14"/>
                <w:color w:val="auto"/>
              </w:rPr>
              <w:t>19.3</w:t>
            </w:r>
          </w:p>
        </w:tc>
        <w:tc>
          <w:tcPr>
            <w:tcW w:w="180" w:type="dxa"/>
            <w:vAlign w:val="bottom"/>
            <w:tcBorders>
              <w:bottom w:val="single" w:sz="8" w:color="00539B"/>
            </w:tcBorders>
          </w:tcPr>
          <w:p>
            <w:pPr>
              <w:spacing w:after="0"/>
              <w:rPr>
                <w:sz w:val="17"/>
                <w:szCs w:val="17"/>
                <w:color w:val="auto"/>
              </w:rPr>
            </w:pPr>
          </w:p>
        </w:tc>
        <w:tc>
          <w:tcPr>
            <w:tcW w:w="1160" w:type="dxa"/>
            <w:vAlign w:val="bottom"/>
            <w:tcBorders>
              <w:bottom w:val="single" w:sz="8" w:color="00539B"/>
            </w:tcBorders>
          </w:tcPr>
          <w:p>
            <w:pPr>
              <w:spacing w:after="0"/>
              <w:rPr>
                <w:sz w:val="17"/>
                <w:szCs w:val="17"/>
                <w:color w:val="auto"/>
              </w:rPr>
            </w:pPr>
          </w:p>
        </w:tc>
        <w:tc>
          <w:tcPr>
            <w:tcW w:w="300" w:type="dxa"/>
            <w:vAlign w:val="bottom"/>
            <w:tcBorders>
              <w:bottom w:val="single" w:sz="8" w:color="00539B"/>
            </w:tcBorders>
          </w:tcPr>
          <w:p>
            <w:pPr>
              <w:spacing w:after="0"/>
              <w:rPr>
                <w:sz w:val="17"/>
                <w:szCs w:val="17"/>
                <w:color w:val="auto"/>
              </w:rPr>
            </w:pPr>
          </w:p>
        </w:tc>
        <w:tc>
          <w:tcPr>
            <w:tcW w:w="1060" w:type="dxa"/>
            <w:vAlign w:val="bottom"/>
            <w:tcBorders>
              <w:bottom w:val="single" w:sz="8" w:color="00539B"/>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780" w:type="dxa"/>
            <w:vAlign w:val="bottom"/>
            <w:tcBorders>
              <w:bottom w:val="single" w:sz="8" w:color="00539B"/>
            </w:tcBorders>
            <w:gridSpan w:val="2"/>
          </w:tcPr>
          <w:p>
            <w:pPr>
              <w:ind w:left="20"/>
              <w:spacing w:after="0"/>
              <w:rPr>
                <w:sz w:val="20"/>
                <w:szCs w:val="20"/>
                <w:color w:val="auto"/>
              </w:rPr>
            </w:pPr>
            <w:r>
              <w:rPr>
                <w:rFonts w:ascii="Arial" w:cs="Arial" w:eastAsia="Arial" w:hAnsi="Arial"/>
                <w:sz w:val="14"/>
                <w:szCs w:val="14"/>
                <w:color w:val="auto"/>
              </w:rPr>
              <w:t>Total investments</w:t>
            </w:r>
          </w:p>
        </w:tc>
        <w:tc>
          <w:tcPr>
            <w:tcW w:w="320" w:type="dxa"/>
            <w:vAlign w:val="bottom"/>
            <w:tcBorders>
              <w:bottom w:val="single" w:sz="8" w:color="00539B"/>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00539B"/>
            </w:tcBorders>
          </w:tcPr>
          <w:p>
            <w:pPr>
              <w:jc w:val="right"/>
              <w:ind w:right="8"/>
              <w:spacing w:after="0"/>
              <w:rPr>
                <w:sz w:val="20"/>
                <w:szCs w:val="20"/>
                <w:color w:val="auto"/>
              </w:rPr>
            </w:pPr>
            <w:r>
              <w:rPr>
                <w:rFonts w:ascii="Arial" w:cs="Arial" w:eastAsia="Arial" w:hAnsi="Arial"/>
                <w:sz w:val="14"/>
                <w:szCs w:val="14"/>
                <w:color w:val="auto"/>
              </w:rPr>
              <w:t>670.7</w:t>
            </w:r>
          </w:p>
        </w:tc>
        <w:tc>
          <w:tcPr>
            <w:tcW w:w="180" w:type="dxa"/>
            <w:vAlign w:val="bottom"/>
            <w:tcBorders>
              <w:bottom w:val="single" w:sz="8" w:color="00539B"/>
            </w:tcBorders>
          </w:tcPr>
          <w:p>
            <w:pPr>
              <w:spacing w:after="0"/>
              <w:rPr>
                <w:sz w:val="18"/>
                <w:szCs w:val="18"/>
                <w:color w:val="auto"/>
              </w:rPr>
            </w:pPr>
          </w:p>
        </w:tc>
        <w:tc>
          <w:tcPr>
            <w:tcW w:w="1160" w:type="dxa"/>
            <w:vAlign w:val="bottom"/>
            <w:tcBorders>
              <w:bottom w:val="single" w:sz="8" w:color="00539B"/>
            </w:tcBorders>
          </w:tcPr>
          <w:p>
            <w:pPr>
              <w:spacing w:after="0"/>
              <w:rPr>
                <w:sz w:val="18"/>
                <w:szCs w:val="18"/>
                <w:color w:val="auto"/>
              </w:rPr>
            </w:pPr>
          </w:p>
        </w:tc>
        <w:tc>
          <w:tcPr>
            <w:tcW w:w="300" w:type="dxa"/>
            <w:vAlign w:val="bottom"/>
            <w:tcBorders>
              <w:bottom w:val="single" w:sz="8" w:color="00539B"/>
            </w:tcBorders>
          </w:tcPr>
          <w:p>
            <w:pPr>
              <w:spacing w:after="0"/>
              <w:rPr>
                <w:sz w:val="18"/>
                <w:szCs w:val="18"/>
                <w:color w:val="auto"/>
              </w:rPr>
            </w:pPr>
          </w:p>
        </w:tc>
        <w:tc>
          <w:tcPr>
            <w:tcW w:w="1060" w:type="dxa"/>
            <w:vAlign w:val="bottom"/>
            <w:tcBorders>
              <w:bottom w:val="single" w:sz="8" w:color="00539B"/>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1052" w:right="8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25"/>
        </w:trPr>
        <w:tc>
          <w:tcPr>
            <w:tcW w:w="4400" w:type="dxa"/>
            <w:vAlign w:val="bottom"/>
            <w:tcBorders>
              <w:top w:val="single" w:sz="8" w:color="00539B"/>
              <w:bottom w:val="single" w:sz="8" w:color="00539B"/>
            </w:tcBorders>
          </w:tcPr>
          <w:p>
            <w:pPr>
              <w:ind w:left="20"/>
              <w:spacing w:after="0"/>
              <w:rPr>
                <w:sz w:val="20"/>
                <w:szCs w:val="20"/>
                <w:color w:val="auto"/>
              </w:rPr>
            </w:pPr>
            <w:r>
              <w:rPr>
                <w:rFonts w:ascii="Arial" w:cs="Arial" w:eastAsia="Arial" w:hAnsi="Arial"/>
                <w:sz w:val="14"/>
                <w:szCs w:val="14"/>
                <w:color w:val="auto"/>
              </w:rPr>
              <w:t>As of November 30, 2024</w:t>
            </w:r>
          </w:p>
        </w:tc>
        <w:tc>
          <w:tcPr>
            <w:tcW w:w="1680" w:type="dxa"/>
            <w:vAlign w:val="bottom"/>
            <w:tcBorders>
              <w:top w:val="single" w:sz="8" w:color="00539B"/>
              <w:bottom w:val="single" w:sz="8" w:color="00539B"/>
            </w:tcBorders>
          </w:tcPr>
          <w:p>
            <w:pPr>
              <w:spacing w:after="0"/>
              <w:rPr>
                <w:sz w:val="19"/>
                <w:szCs w:val="19"/>
                <w:color w:val="auto"/>
              </w:rPr>
            </w:pPr>
          </w:p>
        </w:tc>
        <w:tc>
          <w:tcPr>
            <w:tcW w:w="1040" w:type="dxa"/>
            <w:vAlign w:val="bottom"/>
            <w:tcBorders>
              <w:top w:val="single" w:sz="8" w:color="00539B"/>
              <w:bottom w:val="single" w:sz="8" w:color="00539B"/>
            </w:tcBorders>
          </w:tcPr>
          <w:p>
            <w:pPr>
              <w:spacing w:after="0"/>
              <w:rPr>
                <w:sz w:val="19"/>
                <w:szCs w:val="19"/>
                <w:color w:val="auto"/>
              </w:rPr>
            </w:pPr>
          </w:p>
        </w:tc>
        <w:tc>
          <w:tcPr>
            <w:tcW w:w="200" w:type="dxa"/>
            <w:vAlign w:val="bottom"/>
            <w:tcBorders>
              <w:top w:val="single" w:sz="8" w:color="00539B"/>
              <w:bottom w:val="single" w:sz="8" w:color="00539B"/>
            </w:tcBorders>
          </w:tcPr>
          <w:p>
            <w:pPr>
              <w:spacing w:after="0"/>
              <w:rPr>
                <w:sz w:val="19"/>
                <w:szCs w:val="19"/>
                <w:color w:val="auto"/>
              </w:rPr>
            </w:pPr>
          </w:p>
        </w:tc>
        <w:tc>
          <w:tcPr>
            <w:tcW w:w="1140" w:type="dxa"/>
            <w:vAlign w:val="bottom"/>
            <w:tcBorders>
              <w:top w:val="single" w:sz="8" w:color="00539B"/>
              <w:bottom w:val="single" w:sz="8" w:color="00539B"/>
            </w:tcBorders>
          </w:tcPr>
          <w:p>
            <w:pPr>
              <w:jc w:val="right"/>
              <w:ind w:right="188"/>
              <w:spacing w:after="0"/>
              <w:rPr>
                <w:sz w:val="20"/>
                <w:szCs w:val="20"/>
                <w:color w:val="auto"/>
              </w:rPr>
            </w:pPr>
            <w:r>
              <w:rPr>
                <w:rFonts w:ascii="Arial" w:cs="Arial" w:eastAsia="Arial" w:hAnsi="Arial"/>
                <w:sz w:val="14"/>
                <w:szCs w:val="14"/>
                <w:color w:val="auto"/>
              </w:rPr>
              <w:t>International</w:t>
            </w:r>
          </w:p>
        </w:tc>
        <w:tc>
          <w:tcPr>
            <w:tcW w:w="300" w:type="dxa"/>
            <w:vAlign w:val="bottom"/>
            <w:tcBorders>
              <w:top w:val="single" w:sz="8" w:color="00539B"/>
              <w:bottom w:val="single" w:sz="8" w:color="00539B"/>
            </w:tcBorders>
          </w:tcPr>
          <w:p>
            <w:pPr>
              <w:spacing w:after="0"/>
              <w:rPr>
                <w:sz w:val="19"/>
                <w:szCs w:val="19"/>
                <w:color w:val="auto"/>
              </w:rPr>
            </w:pPr>
          </w:p>
        </w:tc>
        <w:tc>
          <w:tcPr>
            <w:tcW w:w="1080" w:type="dxa"/>
            <w:vAlign w:val="bottom"/>
            <w:tcBorders>
              <w:top w:val="single" w:sz="8" w:color="00539B"/>
              <w:bottom w:val="single" w:sz="8" w:color="00539B"/>
            </w:tcBorders>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44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40" w:type="dxa"/>
            <w:vAlign w:val="bottom"/>
          </w:tcPr>
          <w:p>
            <w:pPr>
              <w:jc w:val="right"/>
              <w:ind w:right="448"/>
              <w:spacing w:after="0" w:line="151" w:lineRule="exact"/>
              <w:rPr>
                <w:sz w:val="20"/>
                <w:szCs w:val="20"/>
                <w:color w:val="auto"/>
              </w:rPr>
            </w:pPr>
            <w:r>
              <w:rPr>
                <w:rFonts w:ascii="Arial" w:cs="Arial" w:eastAsia="Arial" w:hAnsi="Arial"/>
                <w:sz w:val="14"/>
                <w:szCs w:val="14"/>
                <w:color w:val="auto"/>
              </w:rPr>
              <w:t>Total</w:t>
            </w: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400" w:type="dxa"/>
            <w:vAlign w:val="bottom"/>
            <w:vMerge w:val="restart"/>
          </w:tcPr>
          <w:p>
            <w:pPr>
              <w:ind w:left="20"/>
              <w:spacing w:after="0"/>
              <w:rPr>
                <w:sz w:val="20"/>
                <w:szCs w:val="20"/>
                <w:color w:val="auto"/>
              </w:rPr>
            </w:pPr>
            <w:r>
              <w:rPr>
                <w:rFonts w:ascii="Arial" w:cs="Arial" w:eastAsia="Arial" w:hAnsi="Arial"/>
                <w:sz w:val="14"/>
                <w:szCs w:val="14"/>
                <w:color w:val="auto"/>
              </w:rPr>
              <w:t>(millions)</w:t>
            </w:r>
          </w:p>
        </w:tc>
        <w:tc>
          <w:tcPr>
            <w:tcW w:w="1680" w:type="dxa"/>
            <w:vAlign w:val="bottom"/>
          </w:tcPr>
          <w:p>
            <w:pPr>
              <w:spacing w:after="0"/>
              <w:rPr>
                <w:sz w:val="12"/>
                <w:szCs w:val="12"/>
                <w:color w:val="auto"/>
              </w:rPr>
            </w:pPr>
          </w:p>
        </w:tc>
        <w:tc>
          <w:tcPr>
            <w:tcW w:w="1040" w:type="dxa"/>
            <w:vAlign w:val="bottom"/>
          </w:tcPr>
          <w:p>
            <w:pPr>
              <w:jc w:val="right"/>
              <w:ind w:right="548"/>
              <w:spacing w:after="0" w:line="145" w:lineRule="exact"/>
              <w:rPr>
                <w:sz w:val="20"/>
                <w:szCs w:val="20"/>
                <w:color w:val="auto"/>
              </w:rPr>
            </w:pPr>
            <w:r>
              <w:rPr>
                <w:rFonts w:ascii="Arial" w:cs="Arial" w:eastAsia="Arial" w:hAnsi="Arial"/>
                <w:sz w:val="14"/>
                <w:szCs w:val="14"/>
                <w:color w:val="auto"/>
              </w:rPr>
              <w:t>fair</w:t>
            </w:r>
          </w:p>
        </w:tc>
        <w:tc>
          <w:tcPr>
            <w:tcW w:w="200" w:type="dxa"/>
            <w:vAlign w:val="bottom"/>
          </w:tcPr>
          <w:p>
            <w:pPr>
              <w:spacing w:after="0"/>
              <w:rPr>
                <w:sz w:val="12"/>
                <w:szCs w:val="12"/>
                <w:color w:val="auto"/>
              </w:rPr>
            </w:pPr>
          </w:p>
        </w:tc>
        <w:tc>
          <w:tcPr>
            <w:tcW w:w="1140" w:type="dxa"/>
            <w:vAlign w:val="bottom"/>
            <w:vMerge w:val="restart"/>
          </w:tcPr>
          <w:p>
            <w:pPr>
              <w:jc w:val="right"/>
              <w:ind w:right="348"/>
              <w:spacing w:after="0"/>
              <w:rPr>
                <w:sz w:val="20"/>
                <w:szCs w:val="20"/>
                <w:color w:val="auto"/>
              </w:rPr>
            </w:pPr>
            <w:r>
              <w:rPr>
                <w:rFonts w:ascii="Arial" w:cs="Arial" w:eastAsia="Arial" w:hAnsi="Arial"/>
                <w:sz w:val="14"/>
                <w:szCs w:val="14"/>
                <w:color w:val="auto"/>
              </w:rPr>
              <w:t>Level 1</w:t>
            </w:r>
          </w:p>
        </w:tc>
        <w:tc>
          <w:tcPr>
            <w:tcW w:w="300" w:type="dxa"/>
            <w:vAlign w:val="bottom"/>
          </w:tcPr>
          <w:p>
            <w:pPr>
              <w:spacing w:after="0"/>
              <w:rPr>
                <w:sz w:val="12"/>
                <w:szCs w:val="12"/>
                <w:color w:val="auto"/>
              </w:rPr>
            </w:pPr>
          </w:p>
        </w:tc>
        <w:tc>
          <w:tcPr>
            <w:tcW w:w="1080" w:type="dxa"/>
            <w:vAlign w:val="bottom"/>
            <w:vMerge w:val="restart"/>
          </w:tcPr>
          <w:p>
            <w:pPr>
              <w:jc w:val="right"/>
              <w:ind w:right="368"/>
              <w:spacing w:after="0"/>
              <w:rPr>
                <w:sz w:val="20"/>
                <w:szCs w:val="20"/>
                <w:color w:val="auto"/>
              </w:rPr>
            </w:pPr>
            <w:r>
              <w:rPr>
                <w:rFonts w:ascii="Arial" w:cs="Arial" w:eastAsia="Arial" w:hAnsi="Arial"/>
                <w:sz w:val="14"/>
                <w:szCs w:val="14"/>
                <w:color w:val="auto"/>
              </w:rPr>
              <w:t>Level 2</w:t>
            </w:r>
          </w:p>
        </w:tc>
        <w:tc>
          <w:tcPr>
            <w:tcW w:w="0" w:type="dxa"/>
            <w:vAlign w:val="bottom"/>
          </w:tcPr>
          <w:p>
            <w:pPr>
              <w:spacing w:after="0"/>
              <w:rPr>
                <w:sz w:val="1"/>
                <w:szCs w:val="1"/>
                <w:color w:val="auto"/>
              </w:rPr>
            </w:pPr>
          </w:p>
        </w:tc>
      </w:tr>
      <w:tr>
        <w:trPr>
          <w:trHeight w:val="189"/>
        </w:trPr>
        <w:tc>
          <w:tcPr>
            <w:tcW w:w="4400" w:type="dxa"/>
            <w:vAlign w:val="bottom"/>
            <w:tcBorders>
              <w:bottom w:val="single" w:sz="8" w:color="00539B"/>
            </w:tcBorders>
            <w:vMerge w:val="continue"/>
          </w:tcPr>
          <w:p>
            <w:pPr>
              <w:spacing w:after="0"/>
              <w:rPr>
                <w:sz w:val="16"/>
                <w:szCs w:val="16"/>
                <w:color w:val="auto"/>
              </w:rPr>
            </w:pPr>
          </w:p>
        </w:tc>
        <w:tc>
          <w:tcPr>
            <w:tcW w:w="1680" w:type="dxa"/>
            <w:vAlign w:val="bottom"/>
            <w:tcBorders>
              <w:bottom w:val="single" w:sz="8" w:color="00539B"/>
            </w:tcBorders>
          </w:tcPr>
          <w:p>
            <w:pPr>
              <w:spacing w:after="0"/>
              <w:rPr>
                <w:sz w:val="16"/>
                <w:szCs w:val="16"/>
                <w:color w:val="auto"/>
              </w:rPr>
            </w:pPr>
          </w:p>
        </w:tc>
        <w:tc>
          <w:tcPr>
            <w:tcW w:w="1040" w:type="dxa"/>
            <w:vAlign w:val="bottom"/>
            <w:tcBorders>
              <w:bottom w:val="single" w:sz="8" w:color="00539B"/>
            </w:tcBorders>
          </w:tcPr>
          <w:p>
            <w:pPr>
              <w:jc w:val="right"/>
              <w:ind w:right="428"/>
              <w:spacing w:after="0"/>
              <w:rPr>
                <w:sz w:val="20"/>
                <w:szCs w:val="20"/>
                <w:color w:val="auto"/>
              </w:rPr>
            </w:pPr>
            <w:r>
              <w:rPr>
                <w:rFonts w:ascii="Arial" w:cs="Arial" w:eastAsia="Arial" w:hAnsi="Arial"/>
                <w:sz w:val="14"/>
                <w:szCs w:val="14"/>
                <w:color w:val="auto"/>
              </w:rPr>
              <w:t>value</w:t>
            </w:r>
          </w:p>
        </w:tc>
        <w:tc>
          <w:tcPr>
            <w:tcW w:w="200" w:type="dxa"/>
            <w:vAlign w:val="bottom"/>
            <w:tcBorders>
              <w:bottom w:val="single" w:sz="8" w:color="00539B"/>
            </w:tcBorders>
          </w:tcPr>
          <w:p>
            <w:pPr>
              <w:spacing w:after="0"/>
              <w:rPr>
                <w:sz w:val="16"/>
                <w:szCs w:val="16"/>
                <w:color w:val="auto"/>
              </w:rPr>
            </w:pPr>
          </w:p>
        </w:tc>
        <w:tc>
          <w:tcPr>
            <w:tcW w:w="1140" w:type="dxa"/>
            <w:vAlign w:val="bottom"/>
            <w:tcBorders>
              <w:bottom w:val="single" w:sz="8" w:color="00539B"/>
            </w:tcBorders>
            <w:vMerge w:val="continue"/>
          </w:tcPr>
          <w:p>
            <w:pPr>
              <w:spacing w:after="0"/>
              <w:rPr>
                <w:sz w:val="16"/>
                <w:szCs w:val="16"/>
                <w:color w:val="auto"/>
              </w:rPr>
            </w:pPr>
          </w:p>
        </w:tc>
        <w:tc>
          <w:tcPr>
            <w:tcW w:w="300" w:type="dxa"/>
            <w:vAlign w:val="bottom"/>
            <w:tcBorders>
              <w:bottom w:val="single" w:sz="8" w:color="00539B"/>
            </w:tcBorders>
          </w:tcPr>
          <w:p>
            <w:pPr>
              <w:spacing w:after="0"/>
              <w:rPr>
                <w:sz w:val="16"/>
                <w:szCs w:val="16"/>
                <w:color w:val="auto"/>
              </w:rPr>
            </w:pPr>
          </w:p>
        </w:tc>
        <w:tc>
          <w:tcPr>
            <w:tcW w:w="1080" w:type="dxa"/>
            <w:vAlign w:val="bottom"/>
            <w:tcBorders>
              <w:bottom w:val="single" w:sz="8" w:color="00539B"/>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440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16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6.4</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6.4</w:t>
            </w: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2"/>
        </w:trPr>
        <w:tc>
          <w:tcPr>
            <w:tcW w:w="4400" w:type="dxa"/>
            <w:vAlign w:val="bottom"/>
          </w:tcPr>
          <w:p>
            <w:pPr>
              <w:ind w:left="20"/>
              <w:spacing w:after="0" w:line="242" w:lineRule="exact"/>
              <w:rPr>
                <w:sz w:val="20"/>
                <w:szCs w:val="20"/>
                <w:color w:val="auto"/>
              </w:rPr>
            </w:pPr>
            <w:r>
              <w:rPr>
                <w:rFonts w:ascii="Arial" w:cs="Arial" w:eastAsia="Arial" w:hAnsi="Arial"/>
                <w:sz w:val="14"/>
                <w:szCs w:val="14"/>
                <w:color w:val="auto"/>
              </w:rPr>
              <w:t>International equity securities</w:t>
            </w:r>
            <w:r>
              <w:rPr>
                <w:rFonts w:ascii="Arial" w:cs="Arial" w:eastAsia="Arial" w:hAnsi="Arial"/>
                <w:sz w:val="23"/>
                <w:szCs w:val="23"/>
                <w:color w:val="auto"/>
                <w:vertAlign w:val="superscript"/>
              </w:rPr>
              <w:t>(b)</w:t>
            </w:r>
          </w:p>
        </w:tc>
        <w:tc>
          <w:tcPr>
            <w:tcW w:w="16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21.6</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1"/>
                <w:szCs w:val="21"/>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21.6</w:t>
            </w:r>
          </w:p>
        </w:tc>
        <w:tc>
          <w:tcPr>
            <w:tcW w:w="0" w:type="dxa"/>
            <w:vAlign w:val="bottom"/>
          </w:tcPr>
          <w:p>
            <w:pPr>
              <w:spacing w:after="0"/>
              <w:rPr>
                <w:sz w:val="1"/>
                <w:szCs w:val="1"/>
                <w:color w:val="auto"/>
              </w:rPr>
            </w:pPr>
          </w:p>
        </w:tc>
      </w:tr>
      <w:tr>
        <w:trPr>
          <w:trHeight w:val="163"/>
        </w:trPr>
        <w:tc>
          <w:tcPr>
            <w:tcW w:w="4400" w:type="dxa"/>
            <w:vAlign w:val="bottom"/>
          </w:tcPr>
          <w:p>
            <w:pPr>
              <w:ind w:left="20"/>
              <w:spacing w:after="0"/>
              <w:rPr>
                <w:sz w:val="20"/>
                <w:szCs w:val="20"/>
                <w:color w:val="auto"/>
              </w:rPr>
            </w:pPr>
            <w:r>
              <w:rPr>
                <w:rFonts w:ascii="Arial" w:cs="Arial" w:eastAsia="Arial" w:hAnsi="Arial"/>
                <w:sz w:val="14"/>
                <w:szCs w:val="14"/>
                <w:color w:val="auto"/>
              </w:rPr>
              <w:t>Fixed income securities:</w:t>
            </w:r>
          </w:p>
        </w:tc>
        <w:tc>
          <w:tcPr>
            <w:tcW w:w="1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400" w:type="dxa"/>
            <w:vAlign w:val="bottom"/>
          </w:tcPr>
          <w:p>
            <w:pPr>
              <w:ind w:left="180"/>
              <w:spacing w:after="0" w:line="202" w:lineRule="exact"/>
              <w:rPr>
                <w:sz w:val="20"/>
                <w:szCs w:val="20"/>
                <w:color w:val="auto"/>
              </w:rPr>
            </w:pPr>
            <w:r>
              <w:rPr>
                <w:rFonts w:ascii="Arial" w:cs="Arial" w:eastAsia="Arial" w:hAnsi="Arial"/>
                <w:sz w:val="14"/>
                <w:szCs w:val="14"/>
                <w:color w:val="auto"/>
              </w:rPr>
              <w:t>International/government/corporate bonds</w:t>
            </w:r>
            <w:r>
              <w:rPr>
                <w:rFonts w:ascii="Arial" w:cs="Arial" w:eastAsia="Arial" w:hAnsi="Arial"/>
                <w:sz w:val="23"/>
                <w:szCs w:val="23"/>
                <w:color w:val="auto"/>
                <w:vertAlign w:val="superscript"/>
              </w:rPr>
              <w:t>(e)</w:t>
            </w:r>
          </w:p>
        </w:tc>
        <w:tc>
          <w:tcPr>
            <w:tcW w:w="16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220.7</w:t>
            </w: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220.7</w:t>
            </w:r>
          </w:p>
        </w:tc>
        <w:tc>
          <w:tcPr>
            <w:tcW w:w="0" w:type="dxa"/>
            <w:vAlign w:val="bottom"/>
          </w:tcPr>
          <w:p>
            <w:pPr>
              <w:spacing w:after="0"/>
              <w:rPr>
                <w:sz w:val="1"/>
                <w:szCs w:val="1"/>
                <w:color w:val="auto"/>
              </w:rPr>
            </w:pPr>
          </w:p>
        </w:tc>
      </w:tr>
      <w:tr>
        <w:trPr>
          <w:trHeight w:val="242"/>
        </w:trPr>
        <w:tc>
          <w:tcPr>
            <w:tcW w:w="4400" w:type="dxa"/>
            <w:vAlign w:val="bottom"/>
          </w:tcPr>
          <w:p>
            <w:pPr>
              <w:ind w:left="180"/>
              <w:spacing w:after="0" w:line="242" w:lineRule="exact"/>
              <w:rPr>
                <w:sz w:val="20"/>
                <w:szCs w:val="20"/>
                <w:color w:val="auto"/>
              </w:rPr>
            </w:pPr>
            <w:r>
              <w:rPr>
                <w:rFonts w:ascii="Arial" w:cs="Arial" w:eastAsia="Arial" w:hAnsi="Arial"/>
                <w:sz w:val="14"/>
                <w:szCs w:val="14"/>
                <w:color w:val="auto"/>
              </w:rPr>
              <w:t>Insurance contracts</w:t>
            </w:r>
            <w:r>
              <w:rPr>
                <w:rFonts w:ascii="Arial" w:cs="Arial" w:eastAsia="Arial" w:hAnsi="Arial"/>
                <w:sz w:val="23"/>
                <w:szCs w:val="23"/>
                <w:color w:val="auto"/>
                <w:vertAlign w:val="superscript"/>
              </w:rPr>
              <w:t>(f)</w:t>
            </w:r>
          </w:p>
        </w:tc>
        <w:tc>
          <w:tcPr>
            <w:tcW w:w="16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14.7</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1"/>
                <w:szCs w:val="21"/>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194"/>
        </w:trPr>
        <w:tc>
          <w:tcPr>
            <w:tcW w:w="4400" w:type="dxa"/>
            <w:vAlign w:val="bottom"/>
            <w:tcBorders>
              <w:bottom w:val="single" w:sz="8" w:color="00539B"/>
            </w:tcBorders>
          </w:tcPr>
          <w:p>
            <w:pPr>
              <w:ind w:left="180"/>
              <w:spacing w:after="0"/>
              <w:rPr>
                <w:sz w:val="20"/>
                <w:szCs w:val="20"/>
                <w:color w:val="auto"/>
              </w:rPr>
            </w:pPr>
            <w:r>
              <w:rPr>
                <w:rFonts w:ascii="Arial" w:cs="Arial" w:eastAsia="Arial" w:hAnsi="Arial"/>
                <w:sz w:val="14"/>
                <w:szCs w:val="14"/>
                <w:color w:val="auto"/>
              </w:rPr>
              <w:t>Real estate (g)</w:t>
            </w:r>
          </w:p>
        </w:tc>
        <w:tc>
          <w:tcPr>
            <w:tcW w:w="1680" w:type="dxa"/>
            <w:vAlign w:val="bottom"/>
            <w:tcBorders>
              <w:bottom w:val="single" w:sz="8" w:color="00539B"/>
            </w:tcBorders>
          </w:tcPr>
          <w:p>
            <w:pPr>
              <w:spacing w:after="0"/>
              <w:rPr>
                <w:sz w:val="16"/>
                <w:szCs w:val="16"/>
                <w:color w:val="auto"/>
              </w:rPr>
            </w:pPr>
          </w:p>
        </w:tc>
        <w:tc>
          <w:tcPr>
            <w:tcW w:w="104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9.0</w:t>
            </w:r>
          </w:p>
        </w:tc>
        <w:tc>
          <w:tcPr>
            <w:tcW w:w="200" w:type="dxa"/>
            <w:vAlign w:val="bottom"/>
            <w:tcBorders>
              <w:bottom w:val="single" w:sz="8" w:color="00539B"/>
            </w:tcBorders>
          </w:tcPr>
          <w:p>
            <w:pPr>
              <w:spacing w:after="0"/>
              <w:rPr>
                <w:sz w:val="16"/>
                <w:szCs w:val="16"/>
                <w:color w:val="auto"/>
              </w:rPr>
            </w:pPr>
          </w:p>
        </w:tc>
        <w:tc>
          <w:tcPr>
            <w:tcW w:w="1140" w:type="dxa"/>
            <w:vAlign w:val="bottom"/>
            <w:tcBorders>
              <w:bottom w:val="single" w:sz="8" w:color="00539B"/>
            </w:tcBorders>
          </w:tcPr>
          <w:p>
            <w:pPr>
              <w:spacing w:after="0"/>
              <w:rPr>
                <w:sz w:val="16"/>
                <w:szCs w:val="16"/>
                <w:color w:val="auto"/>
              </w:rPr>
            </w:pPr>
          </w:p>
        </w:tc>
        <w:tc>
          <w:tcPr>
            <w:tcW w:w="300" w:type="dxa"/>
            <w:vAlign w:val="bottom"/>
            <w:tcBorders>
              <w:bottom w:val="single" w:sz="8" w:color="00539B"/>
            </w:tcBorders>
          </w:tcPr>
          <w:p>
            <w:pPr>
              <w:spacing w:after="0"/>
              <w:rPr>
                <w:sz w:val="16"/>
                <w:szCs w:val="16"/>
                <w:color w:val="auto"/>
              </w:rPr>
            </w:pPr>
          </w:p>
        </w:tc>
        <w:tc>
          <w:tcPr>
            <w:tcW w:w="1080" w:type="dxa"/>
            <w:vAlign w:val="bottom"/>
            <w:tcBorders>
              <w:bottom w:val="single" w:sz="8" w:color="00539B"/>
            </w:tcBorders>
          </w:tcPr>
          <w:p>
            <w:pPr>
              <w:jc w:val="right"/>
              <w:ind w:right="8"/>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07"/>
        </w:trPr>
        <w:tc>
          <w:tcPr>
            <w:tcW w:w="440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Total investments</w:t>
            </w:r>
          </w:p>
        </w:tc>
        <w:tc>
          <w:tcPr>
            <w:tcW w:w="1680" w:type="dxa"/>
            <w:vAlign w:val="bottom"/>
            <w:tcBorders>
              <w:bottom w:val="single" w:sz="8" w:color="00539B"/>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272.4</w:t>
            </w:r>
          </w:p>
        </w:tc>
        <w:tc>
          <w:tcPr>
            <w:tcW w:w="200" w:type="dxa"/>
            <w:vAlign w:val="bottom"/>
            <w:tcBorders>
              <w:bottom w:val="single" w:sz="8" w:color="00539B"/>
            </w:tcBorders>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6.4</w:t>
            </w:r>
          </w:p>
        </w:tc>
        <w:tc>
          <w:tcPr>
            <w:tcW w:w="300" w:type="dxa"/>
            <w:vAlign w:val="bottom"/>
            <w:tcBorders>
              <w:bottom w:val="single" w:sz="8" w:color="00539B"/>
            </w:tcBorders>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00539B"/>
            </w:tcBorders>
          </w:tcPr>
          <w:p>
            <w:pPr>
              <w:jc w:val="right"/>
              <w:ind w:right="8"/>
              <w:spacing w:after="0"/>
              <w:rPr>
                <w:sz w:val="20"/>
                <w:szCs w:val="20"/>
                <w:color w:val="auto"/>
              </w:rPr>
            </w:pPr>
            <w:r>
              <w:rPr>
                <w:rFonts w:ascii="Arial" w:cs="Arial" w:eastAsia="Arial" w:hAnsi="Arial"/>
                <w:sz w:val="14"/>
                <w:szCs w:val="14"/>
                <w:color w:val="auto"/>
              </w:rPr>
              <w:t>266.0</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60" w:hanging="312"/>
        <w:spacing w:after="0"/>
        <w:tabs>
          <w:tab w:leader="none" w:pos="3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This category comprises equity funds and collective equity trust funds that most closely track the S&amp;P index and other equity indices.</w:t>
      </w:r>
    </w:p>
    <w:p>
      <w:pPr>
        <w:spacing w:after="0" w:line="15" w:lineRule="exact"/>
        <w:rPr>
          <w:rFonts w:ascii="Arial" w:cs="Arial" w:eastAsia="Arial" w:hAnsi="Arial"/>
          <w:sz w:val="14"/>
          <w:szCs w:val="14"/>
          <w:color w:val="auto"/>
        </w:rPr>
      </w:pPr>
    </w:p>
    <w:p>
      <w:pPr>
        <w:ind w:left="360" w:hanging="312"/>
        <w:spacing w:after="0"/>
        <w:tabs>
          <w:tab w:leader="none" w:pos="3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This category comprises international equity funds with varying benchmark indices.</w:t>
      </w:r>
    </w:p>
    <w:p>
      <w:pPr>
        <w:spacing w:after="0" w:line="14" w:lineRule="exact"/>
        <w:rPr>
          <w:rFonts w:ascii="Arial" w:cs="Arial" w:eastAsia="Arial" w:hAnsi="Arial"/>
          <w:sz w:val="14"/>
          <w:szCs w:val="14"/>
          <w:color w:val="auto"/>
        </w:rPr>
      </w:pPr>
    </w:p>
    <w:p>
      <w:pPr>
        <w:ind w:left="380" w:right="380" w:hanging="332"/>
        <w:spacing w:after="0" w:line="261" w:lineRule="auto"/>
        <w:tabs>
          <w:tab w:leader="none" w:pos="372"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This category comprises funds consisting of U.S. government and U.S. corporate bonds and other fixed income securities. An appropriate benchmark is the Barclays Capital Aggregate Bond Index.</w:t>
      </w:r>
    </w:p>
    <w:p>
      <w:pPr>
        <w:ind w:left="360" w:hanging="312"/>
        <w:spacing w:after="0"/>
        <w:tabs>
          <w:tab w:leader="none" w:pos="3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This category comprises funds consisting of a variety of fixed income securities with varying benchmark indices.</w:t>
      </w:r>
    </w:p>
    <w:p>
      <w:pPr>
        <w:spacing w:after="0" w:line="14" w:lineRule="exact"/>
        <w:rPr>
          <w:rFonts w:ascii="Arial" w:cs="Arial" w:eastAsia="Arial" w:hAnsi="Arial"/>
          <w:sz w:val="14"/>
          <w:szCs w:val="14"/>
          <w:color w:val="auto"/>
        </w:rPr>
      </w:pPr>
    </w:p>
    <w:p>
      <w:pPr>
        <w:ind w:left="360" w:hanging="312"/>
        <w:spacing w:after="0"/>
        <w:tabs>
          <w:tab w:leader="none" w:pos="3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This category comprises funds consisting of international government/corporate bonds and other fixed income securities with varying benchmark indices.</w:t>
      </w:r>
    </w:p>
    <w:p>
      <w:pPr>
        <w:spacing w:after="0" w:line="1" w:lineRule="exact"/>
        <w:rPr>
          <w:rFonts w:ascii="Arial" w:cs="Arial" w:eastAsia="Arial" w:hAnsi="Arial"/>
          <w:sz w:val="14"/>
          <w:szCs w:val="14"/>
          <w:color w:val="auto"/>
        </w:rPr>
      </w:pPr>
    </w:p>
    <w:p>
      <w:pPr>
        <w:ind w:left="360" w:hanging="312"/>
        <w:spacing w:after="0"/>
        <w:tabs>
          <w:tab w:leader="none" w:pos="3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This category comprises insurance contracts, the majority of which have a guaranteed investment return.</w:t>
      </w:r>
    </w:p>
    <w:p>
      <w:pPr>
        <w:spacing w:after="0" w:line="14" w:lineRule="exact"/>
        <w:rPr>
          <w:rFonts w:ascii="Arial" w:cs="Arial" w:eastAsia="Arial" w:hAnsi="Arial"/>
          <w:sz w:val="14"/>
          <w:szCs w:val="14"/>
          <w:color w:val="auto"/>
        </w:rPr>
      </w:pPr>
    </w:p>
    <w:p>
      <w:pPr>
        <w:ind w:left="380" w:right="260" w:hanging="332"/>
        <w:spacing w:after="0" w:line="261" w:lineRule="auto"/>
        <w:tabs>
          <w:tab w:leader="none" w:pos="367"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This category comprises funds investing in real estate investment trusts (REIT). Appropriate benchmarks are the MSCI REALPAC Canada Property Index International holding.</w:t>
      </w:r>
    </w:p>
    <w:p>
      <w:pPr>
        <w:ind w:left="380" w:right="360" w:hanging="332"/>
        <w:spacing w:after="0" w:line="251" w:lineRule="auto"/>
        <w:tabs>
          <w:tab w:leader="none" w:pos="367" w:val="left"/>
        </w:tabs>
        <w:numPr>
          <w:ilvl w:val="0"/>
          <w:numId w:val="18"/>
        </w:numPr>
        <w:rPr>
          <w:rFonts w:ascii="Arial" w:cs="Arial" w:eastAsia="Arial" w:hAnsi="Arial"/>
          <w:sz w:val="14"/>
          <w:szCs w:val="14"/>
          <w:color w:val="auto"/>
        </w:rPr>
      </w:pPr>
      <w:r>
        <w:rPr>
          <w:rFonts w:ascii="Arial" w:cs="Arial" w:eastAsia="Arial" w:hAnsi="Arial"/>
          <w:sz w:val="14"/>
          <w:szCs w:val="14"/>
          <w:color w:val="auto"/>
        </w:rPr>
        <w:t>Certain investments that are valued using the net asset value per share (or its equivalent) as a practical expedient have not been classified in the fair value hierarchy. These are included to permit reconciliation of the fair value hierarchy to the aggregate pension plan assets.</w:t>
      </w:r>
    </w:p>
    <w:p>
      <w:pPr>
        <w:jc w:val="both"/>
        <w:ind w:left="380" w:right="320" w:hanging="332"/>
        <w:spacing w:after="0" w:line="261" w:lineRule="auto"/>
        <w:tabs>
          <w:tab w:leader="none" w:pos="373"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This category comprises hedge funds investing in strategies represented in various HFRI Fund Indices. The net asset value is generally based on the valuation of the underlying investment. Limitations exist on the timing from notice by the plan of its intent to redeem and actual redemptions of these funds and generally range from a minimum of one month to several months.</w:t>
      </w:r>
    </w:p>
    <w:p>
      <w:pPr>
        <w:spacing w:after="0" w:line="1" w:lineRule="exact"/>
        <w:rPr>
          <w:rFonts w:ascii="Arial" w:cs="Arial" w:eastAsia="Arial" w:hAnsi="Arial"/>
          <w:sz w:val="14"/>
          <w:szCs w:val="14"/>
          <w:color w:val="auto"/>
        </w:rPr>
      </w:pPr>
    </w:p>
    <w:p>
      <w:pPr>
        <w:ind w:left="380" w:right="80" w:hanging="332"/>
        <w:spacing w:after="0" w:line="254" w:lineRule="auto"/>
        <w:tabs>
          <w:tab w:leader="none" w:pos="373"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This category comprises private equity, venture capital and limited partnerships. The net asset is based on valuation models of the underlying securities as determined by the general partner or general partner's designee. These valuation models include unobservable inputs that cannot be corroborated using verifiable observable market data. These funds typically have redemption periods of approximately 10 years.</w:t>
      </w:r>
    </w:p>
    <w:p>
      <w:pPr>
        <w:spacing w:after="0" w:line="1" w:lineRule="exact"/>
        <w:rPr>
          <w:rFonts w:ascii="Arial" w:cs="Arial" w:eastAsia="Arial" w:hAnsi="Arial"/>
          <w:sz w:val="14"/>
          <w:szCs w:val="14"/>
          <w:color w:val="auto"/>
        </w:rPr>
      </w:pPr>
    </w:p>
    <w:p>
      <w:pPr>
        <w:ind w:left="380" w:right="20" w:hanging="332"/>
        <w:spacing w:after="0" w:line="261" w:lineRule="auto"/>
        <w:tabs>
          <w:tab w:leader="none" w:pos="372"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This category comprises limited partnerships funds investing in senior loans, mezzanine and distressed debt. The net asset is based on valuation models of the underlying securities as determined by the general partner or general partner's designee. These valuation models include unobservable inputs that cannot be corroborated using verifiable observable market data. These funds typically have redemption periods of approximately 10 years.</w:t>
      </w:r>
    </w:p>
    <w:p>
      <w:pPr>
        <w:spacing w:after="0" w:line="1" w:lineRule="exact"/>
        <w:rPr>
          <w:rFonts w:ascii="Arial" w:cs="Arial" w:eastAsia="Arial" w:hAnsi="Arial"/>
          <w:sz w:val="14"/>
          <w:szCs w:val="14"/>
          <w:color w:val="auto"/>
        </w:rPr>
      </w:pPr>
    </w:p>
    <w:p>
      <w:pPr>
        <w:ind w:left="380" w:right="40" w:hanging="332"/>
        <w:spacing w:after="0" w:line="262" w:lineRule="auto"/>
        <w:tabs>
          <w:tab w:leader="none" w:pos="373"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This category comprises private real estate funds. The net asset is based on valuation models of the underlying securities as determined by the general partner or general partner's designee. These valuation models include unobservable inputs that cannot be corroborated using verifiable observable market data. These funds have no redemption restrictions.</w:t>
      </w:r>
    </w:p>
    <w:p>
      <w:pPr>
        <w:spacing w:after="0" w:line="12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For the plans’ hedge funds, private equity funds and private debt funds, we engage an independent advisor to compare the funds’ returns to other funds with similar strategies. Each fund is required to have an annual audit by an independent accountant, which is provided to the independent advisor. This provides a basis of comparability relative to similar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U.S. pension plans previously held McCormick stock. Dividends paid on these shares were $0.8 million in 2024.</w:t>
      </w:r>
    </w:p>
    <w:p>
      <w:pPr>
        <w:spacing w:after="0" w:line="17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Pension benefit payments in our most significant plans are made from assets of the pension plans. It is anticipated that future benefit payments for the U.S. and international plans for the next 10 fiscal years will be as follows:</w:t>
      </w:r>
    </w:p>
    <w:tbl>
      <w:tblPr>
        <w:tblLayout w:type="fixed"/>
        <w:tblInd w:w="0" w:type="dxa"/>
        <w:tblCellMar>
          <w:top w:w="0" w:type="dxa"/>
          <w:left w:w="0" w:type="dxa"/>
          <w:bottom w:w="0" w:type="dxa"/>
          <w:right w:w="0" w:type="dxa"/>
        </w:tblCellMar>
      </w:tblPr>
      <w:tr>
        <w:trPr>
          <w:trHeight w:val="206"/>
        </w:trPr>
        <w:tc>
          <w:tcPr>
            <w:tcW w:w="4100" w:type="dxa"/>
            <w:vAlign w:val="bottom"/>
            <w:tcBorders>
              <w:top w:val="single" w:sz="8" w:color="00539B"/>
              <w:bottom w:val="single" w:sz="8" w:color="00539B"/>
            </w:tcBorders>
          </w:tcPr>
          <w:p>
            <w:pPr>
              <w:ind w:left="20"/>
              <w:spacing w:after="0"/>
              <w:rPr>
                <w:sz w:val="20"/>
                <w:szCs w:val="20"/>
                <w:color w:val="auto"/>
              </w:rPr>
            </w:pPr>
            <w:r>
              <w:rPr>
                <w:rFonts w:ascii="Arial" w:cs="Arial" w:eastAsia="Arial" w:hAnsi="Arial"/>
                <w:sz w:val="14"/>
                <w:szCs w:val="14"/>
                <w:color w:val="auto"/>
              </w:rPr>
              <w:t>(millions)</w:t>
            </w:r>
          </w:p>
        </w:tc>
        <w:tc>
          <w:tcPr>
            <w:tcW w:w="3680" w:type="dxa"/>
            <w:vAlign w:val="bottom"/>
            <w:tcBorders>
              <w:top w:val="single" w:sz="8" w:color="00539B"/>
              <w:bottom w:val="single" w:sz="8" w:color="00539B"/>
            </w:tcBorders>
          </w:tcPr>
          <w:p>
            <w:pPr>
              <w:spacing w:after="0"/>
              <w:rPr>
                <w:sz w:val="17"/>
                <w:szCs w:val="17"/>
                <w:color w:val="auto"/>
              </w:rPr>
            </w:pPr>
          </w:p>
        </w:tc>
        <w:tc>
          <w:tcPr>
            <w:tcW w:w="1540" w:type="dxa"/>
            <w:vAlign w:val="bottom"/>
            <w:tcBorders>
              <w:top w:val="single" w:sz="8" w:color="00539B"/>
              <w:bottom w:val="single" w:sz="8" w:color="00539B"/>
            </w:tcBorders>
          </w:tcPr>
          <w:p>
            <w:pPr>
              <w:jc w:val="right"/>
              <w:ind w:right="408"/>
              <w:spacing w:after="0"/>
              <w:rPr>
                <w:sz w:val="20"/>
                <w:szCs w:val="20"/>
                <w:color w:val="auto"/>
              </w:rPr>
            </w:pPr>
            <w:r>
              <w:rPr>
                <w:rFonts w:ascii="Arial" w:cs="Arial" w:eastAsia="Arial" w:hAnsi="Arial"/>
                <w:sz w:val="14"/>
                <w:szCs w:val="14"/>
                <w:color w:val="auto"/>
              </w:rPr>
              <w:t>United States</w:t>
            </w:r>
          </w:p>
        </w:tc>
        <w:tc>
          <w:tcPr>
            <w:tcW w:w="340" w:type="dxa"/>
            <w:vAlign w:val="bottom"/>
            <w:tcBorders>
              <w:top w:val="single" w:sz="8" w:color="00539B"/>
              <w:bottom w:val="single" w:sz="8" w:color="00539B"/>
            </w:tcBorders>
          </w:tcPr>
          <w:p>
            <w:pPr>
              <w:spacing w:after="0"/>
              <w:rPr>
                <w:sz w:val="17"/>
                <w:szCs w:val="17"/>
                <w:color w:val="auto"/>
              </w:rPr>
            </w:pPr>
          </w:p>
        </w:tc>
        <w:tc>
          <w:tcPr>
            <w:tcW w:w="1540" w:type="dxa"/>
            <w:vAlign w:val="bottom"/>
            <w:tcBorders>
              <w:top w:val="single" w:sz="8" w:color="00539B"/>
              <w:bottom w:val="single" w:sz="8" w:color="00539B"/>
            </w:tcBorders>
          </w:tcPr>
          <w:p>
            <w:pPr>
              <w:jc w:val="right"/>
              <w:ind w:right="468"/>
              <w:spacing w:after="0"/>
              <w:rPr>
                <w:sz w:val="20"/>
                <w:szCs w:val="20"/>
                <w:color w:val="auto"/>
              </w:rPr>
            </w:pPr>
            <w:r>
              <w:rPr>
                <w:rFonts w:ascii="Arial" w:cs="Arial" w:eastAsia="Arial" w:hAnsi="Arial"/>
                <w:sz w:val="14"/>
                <w:szCs w:val="14"/>
                <w:color w:val="auto"/>
              </w:rPr>
              <w:t>International</w:t>
            </w:r>
          </w:p>
        </w:tc>
      </w:tr>
      <w:tr>
        <w:trPr>
          <w:trHeight w:val="198"/>
        </w:trPr>
        <w:tc>
          <w:tcPr>
            <w:tcW w:w="4100" w:type="dxa"/>
            <w:vAlign w:val="bottom"/>
          </w:tcPr>
          <w:p>
            <w:pPr>
              <w:ind w:left="20"/>
              <w:spacing w:after="0"/>
              <w:rPr>
                <w:sz w:val="20"/>
                <w:szCs w:val="20"/>
                <w:color w:val="auto"/>
              </w:rPr>
            </w:pPr>
            <w:r>
              <w:rPr>
                <w:rFonts w:ascii="Arial" w:cs="Arial" w:eastAsia="Arial" w:hAnsi="Arial"/>
                <w:sz w:val="14"/>
                <w:szCs w:val="14"/>
                <w:color w:val="auto"/>
              </w:rPr>
              <w:t>2026</w:t>
            </w:r>
          </w:p>
        </w:tc>
        <w:tc>
          <w:tcPr>
            <w:tcW w:w="368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51.0</w:t>
            </w: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13.1</w:t>
            </w:r>
          </w:p>
        </w:tc>
      </w:tr>
      <w:tr>
        <w:trPr>
          <w:trHeight w:val="203"/>
        </w:trPr>
        <w:tc>
          <w:tcPr>
            <w:tcW w:w="4100" w:type="dxa"/>
            <w:vAlign w:val="bottom"/>
          </w:tcPr>
          <w:p>
            <w:pPr>
              <w:ind w:left="20"/>
              <w:spacing w:after="0"/>
              <w:rPr>
                <w:sz w:val="20"/>
                <w:szCs w:val="20"/>
                <w:color w:val="auto"/>
              </w:rPr>
            </w:pPr>
            <w:r>
              <w:rPr>
                <w:rFonts w:ascii="Arial" w:cs="Arial" w:eastAsia="Arial" w:hAnsi="Arial"/>
                <w:sz w:val="14"/>
                <w:szCs w:val="14"/>
                <w:color w:val="auto"/>
              </w:rPr>
              <w:t>2027</w:t>
            </w:r>
          </w:p>
        </w:tc>
        <w:tc>
          <w:tcPr>
            <w:tcW w:w="36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51.5</w:t>
            </w:r>
          </w:p>
        </w:tc>
        <w:tc>
          <w:tcPr>
            <w:tcW w:w="3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13.0</w:t>
            </w:r>
          </w:p>
        </w:tc>
      </w:tr>
      <w:tr>
        <w:trPr>
          <w:trHeight w:val="203"/>
        </w:trPr>
        <w:tc>
          <w:tcPr>
            <w:tcW w:w="4100" w:type="dxa"/>
            <w:vAlign w:val="bottom"/>
          </w:tcPr>
          <w:p>
            <w:pPr>
              <w:ind w:left="20"/>
              <w:spacing w:after="0"/>
              <w:rPr>
                <w:sz w:val="20"/>
                <w:szCs w:val="20"/>
                <w:color w:val="auto"/>
              </w:rPr>
            </w:pPr>
            <w:r>
              <w:rPr>
                <w:rFonts w:ascii="Arial" w:cs="Arial" w:eastAsia="Arial" w:hAnsi="Arial"/>
                <w:sz w:val="14"/>
                <w:szCs w:val="14"/>
                <w:color w:val="auto"/>
              </w:rPr>
              <w:t>2028</w:t>
            </w:r>
          </w:p>
        </w:tc>
        <w:tc>
          <w:tcPr>
            <w:tcW w:w="36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52.0</w:t>
            </w:r>
          </w:p>
        </w:tc>
        <w:tc>
          <w:tcPr>
            <w:tcW w:w="3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12.4</w:t>
            </w:r>
          </w:p>
        </w:tc>
      </w:tr>
      <w:tr>
        <w:trPr>
          <w:trHeight w:val="203"/>
        </w:trPr>
        <w:tc>
          <w:tcPr>
            <w:tcW w:w="4100" w:type="dxa"/>
            <w:vAlign w:val="bottom"/>
          </w:tcPr>
          <w:p>
            <w:pPr>
              <w:ind w:left="20"/>
              <w:spacing w:after="0"/>
              <w:rPr>
                <w:sz w:val="20"/>
                <w:szCs w:val="20"/>
                <w:color w:val="auto"/>
              </w:rPr>
            </w:pPr>
            <w:r>
              <w:rPr>
                <w:rFonts w:ascii="Arial" w:cs="Arial" w:eastAsia="Arial" w:hAnsi="Arial"/>
                <w:sz w:val="14"/>
                <w:szCs w:val="14"/>
                <w:color w:val="auto"/>
              </w:rPr>
              <w:t>2029</w:t>
            </w:r>
          </w:p>
        </w:tc>
        <w:tc>
          <w:tcPr>
            <w:tcW w:w="36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52.6</w:t>
            </w:r>
          </w:p>
        </w:tc>
        <w:tc>
          <w:tcPr>
            <w:tcW w:w="3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13.7</w:t>
            </w:r>
          </w:p>
        </w:tc>
      </w:tr>
      <w:tr>
        <w:trPr>
          <w:trHeight w:val="203"/>
        </w:trPr>
        <w:tc>
          <w:tcPr>
            <w:tcW w:w="4100" w:type="dxa"/>
            <w:vAlign w:val="bottom"/>
          </w:tcPr>
          <w:p>
            <w:pPr>
              <w:ind w:left="20"/>
              <w:spacing w:after="0"/>
              <w:rPr>
                <w:sz w:val="20"/>
                <w:szCs w:val="20"/>
                <w:color w:val="auto"/>
              </w:rPr>
            </w:pPr>
            <w:r>
              <w:rPr>
                <w:rFonts w:ascii="Arial" w:cs="Arial" w:eastAsia="Arial" w:hAnsi="Arial"/>
                <w:sz w:val="14"/>
                <w:szCs w:val="14"/>
                <w:color w:val="auto"/>
              </w:rPr>
              <w:t>2030</w:t>
            </w:r>
          </w:p>
        </w:tc>
        <w:tc>
          <w:tcPr>
            <w:tcW w:w="36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52.4</w:t>
            </w:r>
          </w:p>
        </w:tc>
        <w:tc>
          <w:tcPr>
            <w:tcW w:w="3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14.2</w:t>
            </w:r>
          </w:p>
        </w:tc>
      </w:tr>
      <w:tr>
        <w:trPr>
          <w:trHeight w:val="211"/>
        </w:trPr>
        <w:tc>
          <w:tcPr>
            <w:tcW w:w="410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2031-2036</w:t>
            </w:r>
          </w:p>
        </w:tc>
        <w:tc>
          <w:tcPr>
            <w:tcW w:w="3680" w:type="dxa"/>
            <w:vAlign w:val="bottom"/>
            <w:tcBorders>
              <w:bottom w:val="single" w:sz="8" w:color="00539B"/>
            </w:tcBorders>
          </w:tcPr>
          <w:p>
            <w:pPr>
              <w:spacing w:after="0"/>
              <w:rPr>
                <w:sz w:val="18"/>
                <w:szCs w:val="18"/>
                <w:color w:val="auto"/>
              </w:rPr>
            </w:pPr>
          </w:p>
        </w:tc>
        <w:tc>
          <w:tcPr>
            <w:tcW w:w="1540" w:type="dxa"/>
            <w:vAlign w:val="bottom"/>
            <w:tcBorders>
              <w:bottom w:val="single" w:sz="8" w:color="00539B"/>
            </w:tcBorders>
          </w:tcPr>
          <w:p>
            <w:pPr>
              <w:jc w:val="right"/>
              <w:spacing w:after="0"/>
              <w:rPr>
                <w:sz w:val="20"/>
                <w:szCs w:val="20"/>
                <w:color w:val="auto"/>
              </w:rPr>
            </w:pPr>
            <w:r>
              <w:rPr>
                <w:rFonts w:ascii="Arial" w:cs="Arial" w:eastAsia="Arial" w:hAnsi="Arial"/>
                <w:sz w:val="14"/>
                <w:szCs w:val="14"/>
                <w:b w:val="1"/>
                <w:bCs w:val="1"/>
                <w:color w:val="auto"/>
              </w:rPr>
              <w:t>256.5</w:t>
            </w:r>
          </w:p>
        </w:tc>
        <w:tc>
          <w:tcPr>
            <w:tcW w:w="340" w:type="dxa"/>
            <w:vAlign w:val="bottom"/>
            <w:tcBorders>
              <w:bottom w:val="single" w:sz="8" w:color="00539B"/>
            </w:tcBorders>
          </w:tcPr>
          <w:p>
            <w:pPr>
              <w:spacing w:after="0"/>
              <w:rPr>
                <w:sz w:val="18"/>
                <w:szCs w:val="18"/>
                <w:color w:val="auto"/>
              </w:rPr>
            </w:pPr>
          </w:p>
        </w:tc>
        <w:tc>
          <w:tcPr>
            <w:tcW w:w="154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71.9</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00539B"/>
        </w:rPr>
        <w:t>U.S. Defined Contribution Retirement Plans</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For our U.S. qualified and non-qualified defined contribution retirement plans, we match 100% of a participant’s contribution up to the first 3% of the participant’s eligible compensation, and 66.7% of the next 3% of the participant’s salary. In addition, we make contributions of 3% of the participant's eligible compensation for all U.S. employees who are employed on December 31 of each year. Our contributions charged to expense under all U.S. defined contribution retirement plans were $34.9 million, $34.7 million and $29.7 million in 2025, 2024, and 2023, respectively.</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16" w:right="359" w:bottom="1440" w:gutter="0" w:footer="0" w:header="0"/>
        </w:sectPr>
      </w:pPr>
    </w:p>
    <w:bookmarkStart w:id="72" w:name="page73"/>
    <w:bookmarkEnd w:id="72"/>
    <w:p>
      <w:pPr>
        <w:ind w:right="200"/>
        <w:spacing w:after="0" w:line="268" w:lineRule="auto"/>
        <w:rPr>
          <w:sz w:val="20"/>
          <w:szCs w:val="20"/>
          <w:color w:val="auto"/>
        </w:rPr>
      </w:pPr>
      <w:r>
        <w:rPr>
          <w:rFonts w:ascii="Arial" w:cs="Arial" w:eastAsia="Arial" w:hAnsi="Arial"/>
          <w:sz w:val="18"/>
          <w:szCs w:val="18"/>
          <w:color w:val="auto"/>
        </w:rPr>
        <w:t>At the participants' election, 401(k) retirement plans held 1.8 million shares of McCormick stock, with a fair value of $122.1 million, at November 30, 2025. Dividends paid on the shares held in the 401(k) retirement plans in 2025 and 2024 were $3.5 million and $3.6 million,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539B"/>
        </w:rPr>
        <w:t>Postretirement Benefits Other Than Pensions</w:t>
      </w:r>
    </w:p>
    <w:p>
      <w:pPr>
        <w:spacing w:after="0" w:line="2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currently provide postretirement medical and life insurance benefits to certain U.S. employees who were covered under the active employees’ plan and retire after age 55 with at least five years of service. The subsidy provided under these plans is based primarily on age at date of retirement. These benefits are not pre-funded but paid as incurred. Employees hired after December 31, 2008 are not eligible for a company subsidy. They are eligible for coverage on an access-only basis.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Our other postretirement benefit expense for the years ended November 30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760" w:type="dxa"/>
            <w:vAlign w:val="bottom"/>
            <w:tcBorders>
              <w:top w:val="single" w:sz="8" w:color="00539B"/>
              <w:bottom w:val="single" w:sz="8" w:color="00539B"/>
            </w:tcBorders>
          </w:tcPr>
          <w:p>
            <w:pPr>
              <w:ind w:left="20"/>
              <w:spacing w:after="0"/>
              <w:rPr>
                <w:sz w:val="20"/>
                <w:szCs w:val="20"/>
                <w:color w:val="auto"/>
              </w:rPr>
            </w:pPr>
            <w:r>
              <w:rPr>
                <w:rFonts w:ascii="Arial" w:cs="Arial" w:eastAsia="Arial" w:hAnsi="Arial"/>
                <w:sz w:val="14"/>
                <w:szCs w:val="14"/>
                <w:color w:val="auto"/>
              </w:rPr>
              <w:t>(millions)</w:t>
            </w:r>
          </w:p>
        </w:tc>
        <w:tc>
          <w:tcPr>
            <w:tcW w:w="340" w:type="dxa"/>
            <w:vAlign w:val="bottom"/>
            <w:tcBorders>
              <w:top w:val="single" w:sz="8" w:color="00539B"/>
              <w:bottom w:val="single" w:sz="8" w:color="00539B"/>
            </w:tcBorders>
            <w:shd w:val="clear" w:color="auto" w:fill="E0E3F1"/>
          </w:tcPr>
          <w:p>
            <w:pPr>
              <w:spacing w:after="0"/>
              <w:rPr>
                <w:sz w:val="19"/>
                <w:szCs w:val="19"/>
                <w:color w:val="auto"/>
              </w:rPr>
            </w:pPr>
          </w:p>
        </w:tc>
        <w:tc>
          <w:tcPr>
            <w:tcW w:w="1120" w:type="dxa"/>
            <w:vAlign w:val="bottom"/>
            <w:tcBorders>
              <w:top w:val="single" w:sz="8" w:color="00539B"/>
              <w:bottom w:val="single" w:sz="8" w:color="00539B"/>
            </w:tcBorders>
            <w:shd w:val="clear" w:color="auto" w:fill="E0E3F1"/>
          </w:tcPr>
          <w:p>
            <w:pPr>
              <w:jc w:val="right"/>
              <w:ind w:right="488"/>
              <w:spacing w:after="0"/>
              <w:rPr>
                <w:sz w:val="20"/>
                <w:szCs w:val="20"/>
                <w:color w:val="auto"/>
              </w:rPr>
            </w:pPr>
            <w:r>
              <w:rPr>
                <w:rFonts w:ascii="Arial" w:cs="Arial" w:eastAsia="Arial" w:hAnsi="Arial"/>
                <w:sz w:val="14"/>
                <w:szCs w:val="14"/>
                <w:color w:val="auto"/>
              </w:rPr>
              <w:t>2025</w:t>
            </w:r>
          </w:p>
        </w:tc>
        <w:tc>
          <w:tcPr>
            <w:tcW w:w="340" w:type="dxa"/>
            <w:vAlign w:val="bottom"/>
            <w:tcBorders>
              <w:top w:val="single" w:sz="8" w:color="00539B"/>
              <w:bottom w:val="single" w:sz="8" w:color="00539B"/>
            </w:tcBorders>
          </w:tcPr>
          <w:p>
            <w:pPr>
              <w:spacing w:after="0"/>
              <w:rPr>
                <w:sz w:val="19"/>
                <w:szCs w:val="19"/>
                <w:color w:val="auto"/>
              </w:rPr>
            </w:pPr>
          </w:p>
        </w:tc>
        <w:tc>
          <w:tcPr>
            <w:tcW w:w="1140" w:type="dxa"/>
            <w:vAlign w:val="bottom"/>
            <w:tcBorders>
              <w:top w:val="single" w:sz="8" w:color="00539B"/>
              <w:bottom w:val="single" w:sz="8" w:color="00539B"/>
            </w:tcBorders>
          </w:tcPr>
          <w:p>
            <w:pPr>
              <w:jc w:val="right"/>
              <w:ind w:right="508"/>
              <w:spacing w:after="0"/>
              <w:rPr>
                <w:sz w:val="20"/>
                <w:szCs w:val="20"/>
                <w:color w:val="auto"/>
              </w:rPr>
            </w:pPr>
            <w:r>
              <w:rPr>
                <w:rFonts w:ascii="Arial" w:cs="Arial" w:eastAsia="Arial" w:hAnsi="Arial"/>
                <w:sz w:val="14"/>
                <w:szCs w:val="14"/>
                <w:color w:val="auto"/>
              </w:rPr>
              <w:t>2024</w:t>
            </w:r>
          </w:p>
        </w:tc>
        <w:tc>
          <w:tcPr>
            <w:tcW w:w="340" w:type="dxa"/>
            <w:vAlign w:val="bottom"/>
            <w:tcBorders>
              <w:top w:val="single" w:sz="8" w:color="00539B"/>
              <w:bottom w:val="single" w:sz="8" w:color="00539B"/>
            </w:tcBorders>
          </w:tcPr>
          <w:p>
            <w:pPr>
              <w:spacing w:after="0"/>
              <w:rPr>
                <w:sz w:val="19"/>
                <w:szCs w:val="19"/>
                <w:color w:val="auto"/>
              </w:rPr>
            </w:pPr>
          </w:p>
        </w:tc>
        <w:tc>
          <w:tcPr>
            <w:tcW w:w="1160" w:type="dxa"/>
            <w:vAlign w:val="bottom"/>
            <w:tcBorders>
              <w:top w:val="single" w:sz="8" w:color="00539B"/>
              <w:bottom w:val="single" w:sz="8" w:color="00539B"/>
            </w:tcBorders>
          </w:tcPr>
          <w:p>
            <w:pPr>
              <w:jc w:val="right"/>
              <w:ind w:right="508"/>
              <w:spacing w:after="0"/>
              <w:rPr>
                <w:sz w:val="20"/>
                <w:szCs w:val="20"/>
                <w:color w:val="auto"/>
              </w:rPr>
            </w:pPr>
            <w:r>
              <w:rPr>
                <w:rFonts w:ascii="Arial" w:cs="Arial" w:eastAsia="Arial" w:hAnsi="Arial"/>
                <w:sz w:val="14"/>
                <w:szCs w:val="14"/>
                <w:color w:val="auto"/>
              </w:rPr>
              <w:t>2023</w:t>
            </w:r>
          </w:p>
        </w:tc>
      </w:tr>
      <w:tr>
        <w:trPr>
          <w:trHeight w:val="192"/>
        </w:trPr>
        <w:tc>
          <w:tcPr>
            <w:tcW w:w="6760" w:type="dxa"/>
            <w:vAlign w:val="bottom"/>
          </w:tcPr>
          <w:p>
            <w:pPr>
              <w:ind w:left="20"/>
              <w:spacing w:after="0"/>
              <w:rPr>
                <w:sz w:val="20"/>
                <w:szCs w:val="20"/>
                <w:color w:val="auto"/>
              </w:rPr>
            </w:pPr>
            <w:r>
              <w:rPr>
                <w:rFonts w:ascii="Arial" w:cs="Arial" w:eastAsia="Arial" w:hAnsi="Arial"/>
                <w:sz w:val="14"/>
                <w:szCs w:val="14"/>
                <w:color w:val="auto"/>
              </w:rPr>
              <w:t>Service cost</w:t>
            </w:r>
          </w:p>
        </w:tc>
        <w:tc>
          <w:tcPr>
            <w:tcW w:w="340" w:type="dxa"/>
            <w:vAlign w:val="bottom"/>
            <w:shd w:val="clear" w:color="auto" w:fill="E0E3F1"/>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E0E3F1"/>
          </w:tcPr>
          <w:p>
            <w:pPr>
              <w:jc w:val="center"/>
              <w:ind w:left="728"/>
              <w:spacing w:after="0"/>
              <w:rPr>
                <w:sz w:val="20"/>
                <w:szCs w:val="20"/>
                <w:color w:val="auto"/>
              </w:rPr>
            </w:pPr>
            <w:r>
              <w:rPr>
                <w:rFonts w:ascii="Arial" w:cs="Arial" w:eastAsia="Arial" w:hAnsi="Arial"/>
                <w:sz w:val="14"/>
                <w:szCs w:val="14"/>
                <w:color w:val="auto"/>
              </w:rPr>
              <w:t>0.8</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center"/>
              <w:ind w:left="748"/>
              <w:spacing w:after="0"/>
              <w:rPr>
                <w:sz w:val="20"/>
                <w:szCs w:val="20"/>
                <w:color w:val="auto"/>
              </w:rPr>
            </w:pPr>
            <w:r>
              <w:rPr>
                <w:rFonts w:ascii="Arial" w:cs="Arial" w:eastAsia="Arial" w:hAnsi="Arial"/>
                <w:sz w:val="14"/>
                <w:szCs w:val="14"/>
                <w:color w:val="auto"/>
              </w:rPr>
              <w:t>0.8</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center"/>
              <w:ind w:left="768"/>
              <w:spacing w:after="0"/>
              <w:rPr>
                <w:sz w:val="20"/>
                <w:szCs w:val="20"/>
                <w:color w:val="auto"/>
              </w:rPr>
            </w:pPr>
            <w:r>
              <w:rPr>
                <w:rFonts w:ascii="Arial" w:cs="Arial" w:eastAsia="Arial" w:hAnsi="Arial"/>
                <w:sz w:val="14"/>
                <w:szCs w:val="14"/>
                <w:color w:val="auto"/>
              </w:rPr>
              <w:t>1.3</w:t>
            </w:r>
          </w:p>
        </w:tc>
      </w:tr>
      <w:tr>
        <w:trPr>
          <w:trHeight w:val="203"/>
        </w:trPr>
        <w:tc>
          <w:tcPr>
            <w:tcW w:w="6760" w:type="dxa"/>
            <w:vAlign w:val="bottom"/>
          </w:tcPr>
          <w:p>
            <w:pPr>
              <w:ind w:left="20"/>
              <w:spacing w:after="0"/>
              <w:rPr>
                <w:sz w:val="20"/>
                <w:szCs w:val="20"/>
                <w:color w:val="auto"/>
              </w:rPr>
            </w:pPr>
            <w:r>
              <w:rPr>
                <w:rFonts w:ascii="Arial" w:cs="Arial" w:eastAsia="Arial" w:hAnsi="Arial"/>
                <w:sz w:val="14"/>
                <w:szCs w:val="14"/>
                <w:color w:val="auto"/>
              </w:rPr>
              <w:t>Interest costs</w:t>
            </w:r>
          </w:p>
        </w:tc>
        <w:tc>
          <w:tcPr>
            <w:tcW w:w="340" w:type="dxa"/>
            <w:vAlign w:val="bottom"/>
            <w:shd w:val="clear" w:color="auto" w:fill="E0E3F1"/>
          </w:tcPr>
          <w:p>
            <w:pPr>
              <w:spacing w:after="0"/>
              <w:rPr>
                <w:sz w:val="17"/>
                <w:szCs w:val="17"/>
                <w:color w:val="auto"/>
              </w:rPr>
            </w:pPr>
          </w:p>
        </w:tc>
        <w:tc>
          <w:tcPr>
            <w:tcW w:w="1120" w:type="dxa"/>
            <w:vAlign w:val="bottom"/>
            <w:shd w:val="clear" w:color="auto" w:fill="E0E3F1"/>
          </w:tcPr>
          <w:p>
            <w:pPr>
              <w:jc w:val="center"/>
              <w:ind w:left="728"/>
              <w:spacing w:after="0"/>
              <w:rPr>
                <w:sz w:val="20"/>
                <w:szCs w:val="20"/>
                <w:color w:val="auto"/>
              </w:rPr>
            </w:pPr>
            <w:r>
              <w:rPr>
                <w:rFonts w:ascii="Arial" w:cs="Arial" w:eastAsia="Arial" w:hAnsi="Arial"/>
                <w:sz w:val="14"/>
                <w:szCs w:val="14"/>
                <w:color w:val="auto"/>
              </w:rPr>
              <w:t>2.2</w:t>
            </w:r>
          </w:p>
        </w:tc>
        <w:tc>
          <w:tcPr>
            <w:tcW w:w="340" w:type="dxa"/>
            <w:vAlign w:val="bottom"/>
          </w:tcPr>
          <w:p>
            <w:pPr>
              <w:spacing w:after="0"/>
              <w:rPr>
                <w:sz w:val="17"/>
                <w:szCs w:val="17"/>
                <w:color w:val="auto"/>
              </w:rPr>
            </w:pPr>
          </w:p>
        </w:tc>
        <w:tc>
          <w:tcPr>
            <w:tcW w:w="1140" w:type="dxa"/>
            <w:vAlign w:val="bottom"/>
          </w:tcPr>
          <w:p>
            <w:pPr>
              <w:jc w:val="center"/>
              <w:ind w:left="748"/>
              <w:spacing w:after="0"/>
              <w:rPr>
                <w:sz w:val="20"/>
                <w:szCs w:val="20"/>
                <w:color w:val="auto"/>
              </w:rPr>
            </w:pPr>
            <w:r>
              <w:rPr>
                <w:rFonts w:ascii="Arial" w:cs="Arial" w:eastAsia="Arial" w:hAnsi="Arial"/>
                <w:sz w:val="14"/>
                <w:szCs w:val="14"/>
                <w:color w:val="auto"/>
              </w:rPr>
              <w:t>2.4</w:t>
            </w:r>
          </w:p>
        </w:tc>
        <w:tc>
          <w:tcPr>
            <w:tcW w:w="340" w:type="dxa"/>
            <w:vAlign w:val="bottom"/>
          </w:tcPr>
          <w:p>
            <w:pPr>
              <w:spacing w:after="0"/>
              <w:rPr>
                <w:sz w:val="17"/>
                <w:szCs w:val="17"/>
                <w:color w:val="auto"/>
              </w:rPr>
            </w:pPr>
          </w:p>
        </w:tc>
        <w:tc>
          <w:tcPr>
            <w:tcW w:w="1160" w:type="dxa"/>
            <w:vAlign w:val="bottom"/>
          </w:tcPr>
          <w:p>
            <w:pPr>
              <w:jc w:val="center"/>
              <w:ind w:left="768"/>
              <w:spacing w:after="0"/>
              <w:rPr>
                <w:sz w:val="20"/>
                <w:szCs w:val="20"/>
                <w:color w:val="auto"/>
              </w:rPr>
            </w:pPr>
            <w:r>
              <w:rPr>
                <w:rFonts w:ascii="Arial" w:cs="Arial" w:eastAsia="Arial" w:hAnsi="Arial"/>
                <w:sz w:val="14"/>
                <w:szCs w:val="14"/>
                <w:color w:val="auto"/>
              </w:rPr>
              <w:t>2.6</w:t>
            </w:r>
          </w:p>
        </w:tc>
      </w:tr>
      <w:tr>
        <w:trPr>
          <w:trHeight w:val="202"/>
        </w:trPr>
        <w:tc>
          <w:tcPr>
            <w:tcW w:w="6760" w:type="dxa"/>
            <w:vAlign w:val="bottom"/>
          </w:tcPr>
          <w:p>
            <w:pPr>
              <w:ind w:left="20"/>
              <w:spacing w:after="0"/>
              <w:rPr>
                <w:sz w:val="20"/>
                <w:szCs w:val="20"/>
                <w:color w:val="auto"/>
              </w:rPr>
            </w:pPr>
            <w:r>
              <w:rPr>
                <w:rFonts w:ascii="Arial" w:cs="Arial" w:eastAsia="Arial" w:hAnsi="Arial"/>
                <w:sz w:val="14"/>
                <w:szCs w:val="14"/>
                <w:color w:val="auto"/>
              </w:rPr>
              <w:t>Amortization of prior service credits</w:t>
            </w:r>
          </w:p>
        </w:tc>
        <w:tc>
          <w:tcPr>
            <w:tcW w:w="340" w:type="dxa"/>
            <w:vAlign w:val="bottom"/>
            <w:shd w:val="clear" w:color="auto" w:fill="E0E3F1"/>
          </w:tcPr>
          <w:p>
            <w:pPr>
              <w:spacing w:after="0"/>
              <w:rPr>
                <w:sz w:val="17"/>
                <w:szCs w:val="17"/>
                <w:color w:val="auto"/>
              </w:rPr>
            </w:pPr>
          </w:p>
        </w:tc>
        <w:tc>
          <w:tcPr>
            <w:tcW w:w="1120" w:type="dxa"/>
            <w:vAlign w:val="bottom"/>
            <w:shd w:val="clear" w:color="auto" w:fill="E0E3F1"/>
          </w:tcPr>
          <w:p>
            <w:pPr>
              <w:jc w:val="center"/>
              <w:ind w:left="708"/>
              <w:spacing w:after="0"/>
              <w:rPr>
                <w:sz w:val="20"/>
                <w:szCs w:val="20"/>
                <w:color w:val="auto"/>
              </w:rPr>
            </w:pPr>
            <w:r>
              <w:rPr>
                <w:rFonts w:ascii="Arial" w:cs="Arial" w:eastAsia="Arial" w:hAnsi="Arial"/>
                <w:sz w:val="14"/>
                <w:szCs w:val="14"/>
                <w:color w:val="auto"/>
              </w:rPr>
              <w:t>(0.2)</w:t>
            </w:r>
          </w:p>
        </w:tc>
        <w:tc>
          <w:tcPr>
            <w:tcW w:w="340" w:type="dxa"/>
            <w:vAlign w:val="bottom"/>
          </w:tcPr>
          <w:p>
            <w:pPr>
              <w:spacing w:after="0"/>
              <w:rPr>
                <w:sz w:val="17"/>
                <w:szCs w:val="17"/>
                <w:color w:val="auto"/>
              </w:rPr>
            </w:pPr>
          </w:p>
        </w:tc>
        <w:tc>
          <w:tcPr>
            <w:tcW w:w="1140" w:type="dxa"/>
            <w:vAlign w:val="bottom"/>
          </w:tcPr>
          <w:p>
            <w:pPr>
              <w:jc w:val="center"/>
              <w:ind w:left="728"/>
              <w:spacing w:after="0"/>
              <w:rPr>
                <w:sz w:val="20"/>
                <w:szCs w:val="20"/>
                <w:color w:val="auto"/>
              </w:rPr>
            </w:pPr>
            <w:r>
              <w:rPr>
                <w:rFonts w:ascii="Arial" w:cs="Arial" w:eastAsia="Arial" w:hAnsi="Arial"/>
                <w:sz w:val="14"/>
                <w:szCs w:val="14"/>
                <w:color w:val="auto"/>
              </w:rPr>
              <w:t>(0.3)</w:t>
            </w:r>
          </w:p>
        </w:tc>
        <w:tc>
          <w:tcPr>
            <w:tcW w:w="340" w:type="dxa"/>
            <w:vAlign w:val="bottom"/>
          </w:tcPr>
          <w:p>
            <w:pPr>
              <w:spacing w:after="0"/>
              <w:rPr>
                <w:sz w:val="17"/>
                <w:szCs w:val="17"/>
                <w:color w:val="auto"/>
              </w:rPr>
            </w:pPr>
          </w:p>
        </w:tc>
        <w:tc>
          <w:tcPr>
            <w:tcW w:w="1160" w:type="dxa"/>
            <w:vAlign w:val="bottom"/>
          </w:tcPr>
          <w:p>
            <w:pPr>
              <w:jc w:val="center"/>
              <w:ind w:left="748"/>
              <w:spacing w:after="0"/>
              <w:rPr>
                <w:sz w:val="20"/>
                <w:szCs w:val="20"/>
                <w:color w:val="auto"/>
              </w:rPr>
            </w:pPr>
            <w:r>
              <w:rPr>
                <w:rFonts w:ascii="Arial" w:cs="Arial" w:eastAsia="Arial" w:hAnsi="Arial"/>
                <w:sz w:val="14"/>
                <w:szCs w:val="14"/>
                <w:color w:val="auto"/>
              </w:rPr>
              <w:t>(0.3)</w:t>
            </w:r>
          </w:p>
        </w:tc>
      </w:tr>
      <w:tr>
        <w:trPr>
          <w:trHeight w:val="207"/>
        </w:trPr>
        <w:tc>
          <w:tcPr>
            <w:tcW w:w="676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Amortization of actuarial gains</w:t>
            </w:r>
          </w:p>
        </w:tc>
        <w:tc>
          <w:tcPr>
            <w:tcW w:w="340" w:type="dxa"/>
            <w:vAlign w:val="bottom"/>
            <w:tcBorders>
              <w:bottom w:val="single" w:sz="8" w:color="00539B"/>
            </w:tcBorders>
            <w:shd w:val="clear" w:color="auto" w:fill="E0E3F1"/>
          </w:tcPr>
          <w:p>
            <w:pPr>
              <w:spacing w:after="0"/>
              <w:rPr>
                <w:sz w:val="17"/>
                <w:szCs w:val="17"/>
                <w:color w:val="auto"/>
              </w:rPr>
            </w:pPr>
          </w:p>
        </w:tc>
        <w:tc>
          <w:tcPr>
            <w:tcW w:w="1120" w:type="dxa"/>
            <w:vAlign w:val="bottom"/>
            <w:tcBorders>
              <w:bottom w:val="single" w:sz="8" w:color="00539B"/>
            </w:tcBorders>
            <w:shd w:val="clear" w:color="auto" w:fill="E0E3F1"/>
          </w:tcPr>
          <w:p>
            <w:pPr>
              <w:jc w:val="center"/>
              <w:ind w:left="708"/>
              <w:spacing w:after="0"/>
              <w:rPr>
                <w:sz w:val="20"/>
                <w:szCs w:val="20"/>
                <w:color w:val="auto"/>
              </w:rPr>
            </w:pPr>
            <w:r>
              <w:rPr>
                <w:rFonts w:ascii="Arial" w:cs="Arial" w:eastAsia="Arial" w:hAnsi="Arial"/>
                <w:sz w:val="14"/>
                <w:szCs w:val="14"/>
                <w:color w:val="auto"/>
              </w:rPr>
              <w:t>(2.6)</w:t>
            </w:r>
          </w:p>
        </w:tc>
        <w:tc>
          <w:tcPr>
            <w:tcW w:w="340" w:type="dxa"/>
            <w:vAlign w:val="bottom"/>
            <w:tcBorders>
              <w:bottom w:val="single" w:sz="8" w:color="00539B"/>
            </w:tcBorders>
          </w:tcPr>
          <w:p>
            <w:pPr>
              <w:spacing w:after="0"/>
              <w:rPr>
                <w:sz w:val="17"/>
                <w:szCs w:val="17"/>
                <w:color w:val="auto"/>
              </w:rPr>
            </w:pPr>
          </w:p>
        </w:tc>
        <w:tc>
          <w:tcPr>
            <w:tcW w:w="1140" w:type="dxa"/>
            <w:vAlign w:val="bottom"/>
            <w:tcBorders>
              <w:bottom w:val="single" w:sz="8" w:color="00539B"/>
            </w:tcBorders>
          </w:tcPr>
          <w:p>
            <w:pPr>
              <w:jc w:val="center"/>
              <w:ind w:left="728"/>
              <w:spacing w:after="0"/>
              <w:rPr>
                <w:sz w:val="20"/>
                <w:szCs w:val="20"/>
                <w:color w:val="auto"/>
              </w:rPr>
            </w:pPr>
            <w:r>
              <w:rPr>
                <w:rFonts w:ascii="Arial" w:cs="Arial" w:eastAsia="Arial" w:hAnsi="Arial"/>
                <w:sz w:val="14"/>
                <w:szCs w:val="14"/>
                <w:color w:val="auto"/>
              </w:rPr>
              <w:t>(2.7)</w:t>
            </w:r>
          </w:p>
        </w:tc>
        <w:tc>
          <w:tcPr>
            <w:tcW w:w="340" w:type="dxa"/>
            <w:vAlign w:val="bottom"/>
            <w:tcBorders>
              <w:bottom w:val="single" w:sz="8" w:color="00539B"/>
            </w:tcBorders>
          </w:tcPr>
          <w:p>
            <w:pPr>
              <w:spacing w:after="0"/>
              <w:rPr>
                <w:sz w:val="17"/>
                <w:szCs w:val="17"/>
                <w:color w:val="auto"/>
              </w:rPr>
            </w:pPr>
          </w:p>
        </w:tc>
        <w:tc>
          <w:tcPr>
            <w:tcW w:w="1160" w:type="dxa"/>
            <w:vAlign w:val="bottom"/>
            <w:tcBorders>
              <w:bottom w:val="single" w:sz="8" w:color="00539B"/>
            </w:tcBorders>
          </w:tcPr>
          <w:p>
            <w:pPr>
              <w:jc w:val="center"/>
              <w:ind w:left="748"/>
              <w:spacing w:after="0"/>
              <w:rPr>
                <w:sz w:val="20"/>
                <w:szCs w:val="20"/>
                <w:color w:val="auto"/>
              </w:rPr>
            </w:pPr>
            <w:r>
              <w:rPr>
                <w:rFonts w:ascii="Arial" w:cs="Arial" w:eastAsia="Arial" w:hAnsi="Arial"/>
                <w:sz w:val="14"/>
                <w:szCs w:val="14"/>
                <w:color w:val="auto"/>
              </w:rPr>
              <w:t>(2.2)</w:t>
            </w:r>
          </w:p>
        </w:tc>
      </w:tr>
      <w:tr>
        <w:trPr>
          <w:trHeight w:val="207"/>
        </w:trPr>
        <w:tc>
          <w:tcPr>
            <w:tcW w:w="676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Postretirement benefit expense</w:t>
            </w:r>
          </w:p>
        </w:tc>
        <w:tc>
          <w:tcPr>
            <w:tcW w:w="340" w:type="dxa"/>
            <w:vAlign w:val="bottom"/>
            <w:tcBorders>
              <w:bottom w:val="single" w:sz="8" w:color="00539B"/>
            </w:tcBorders>
            <w:shd w:val="clear" w:color="auto" w:fill="E0E3F1"/>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00539B"/>
            </w:tcBorders>
            <w:shd w:val="clear" w:color="auto" w:fill="E0E3F1"/>
          </w:tcPr>
          <w:p>
            <w:pPr>
              <w:jc w:val="center"/>
              <w:ind w:left="728"/>
              <w:spacing w:after="0"/>
              <w:rPr>
                <w:sz w:val="20"/>
                <w:szCs w:val="20"/>
                <w:color w:val="auto"/>
              </w:rPr>
            </w:pPr>
            <w:r>
              <w:rPr>
                <w:rFonts w:ascii="Arial" w:cs="Arial" w:eastAsia="Arial" w:hAnsi="Arial"/>
                <w:sz w:val="14"/>
                <w:szCs w:val="14"/>
                <w:color w:val="auto"/>
              </w:rPr>
              <w:t>0.2</w:t>
            </w:r>
          </w:p>
        </w:tc>
        <w:tc>
          <w:tcPr>
            <w:tcW w:w="340" w:type="dxa"/>
            <w:vAlign w:val="bottom"/>
            <w:tcBorders>
              <w:bottom w:val="single" w:sz="8" w:color="00539B"/>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00539B"/>
            </w:tcBorders>
          </w:tcPr>
          <w:p>
            <w:pPr>
              <w:jc w:val="center"/>
              <w:ind w:left="748"/>
              <w:spacing w:after="0"/>
              <w:rPr>
                <w:sz w:val="20"/>
                <w:szCs w:val="20"/>
                <w:color w:val="auto"/>
              </w:rPr>
            </w:pPr>
            <w:r>
              <w:rPr>
                <w:rFonts w:ascii="Arial" w:cs="Arial" w:eastAsia="Arial" w:hAnsi="Arial"/>
                <w:sz w:val="14"/>
                <w:szCs w:val="14"/>
                <w:color w:val="auto"/>
              </w:rPr>
              <w:t>0.2</w:t>
            </w:r>
          </w:p>
        </w:tc>
        <w:tc>
          <w:tcPr>
            <w:tcW w:w="340" w:type="dxa"/>
            <w:vAlign w:val="bottom"/>
            <w:tcBorders>
              <w:bottom w:val="single" w:sz="8" w:color="00539B"/>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00539B"/>
            </w:tcBorders>
          </w:tcPr>
          <w:p>
            <w:pPr>
              <w:jc w:val="center"/>
              <w:ind w:left="768"/>
              <w:spacing w:after="0"/>
              <w:rPr>
                <w:sz w:val="20"/>
                <w:szCs w:val="20"/>
                <w:color w:val="auto"/>
              </w:rPr>
            </w:pPr>
            <w:r>
              <w:rPr>
                <w:rFonts w:ascii="Arial" w:cs="Arial" w:eastAsia="Arial" w:hAnsi="Arial"/>
                <w:sz w:val="14"/>
                <w:szCs w:val="14"/>
                <w:color w:val="auto"/>
              </w:rPr>
              <w:t>1.4</w:t>
            </w:r>
          </w:p>
        </w:tc>
      </w:tr>
    </w:tbl>
    <w:p>
      <w:pPr>
        <w:spacing w:after="0" w:line="238"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Roll forwards of the benefit obligation, fair value of plan assets and a reconciliation of the plans’ funded status at November 30, the measurement date, follow:</w:t>
      </w:r>
    </w:p>
    <w:tbl>
      <w:tblPr>
        <w:tblLayout w:type="fixed"/>
        <w:tblInd w:w="0" w:type="dxa"/>
        <w:tblCellMar>
          <w:top w:w="0" w:type="dxa"/>
          <w:left w:w="0" w:type="dxa"/>
          <w:bottom w:w="0" w:type="dxa"/>
          <w:right w:w="0" w:type="dxa"/>
        </w:tblCellMar>
      </w:tblPr>
      <w:tr>
        <w:trPr>
          <w:trHeight w:val="206"/>
        </w:trPr>
        <w:tc>
          <w:tcPr>
            <w:tcW w:w="8260" w:type="dxa"/>
            <w:vAlign w:val="bottom"/>
            <w:tcBorders>
              <w:top w:val="single" w:sz="8" w:color="00539B"/>
              <w:bottom w:val="single" w:sz="8" w:color="00539B"/>
            </w:tcBorders>
          </w:tcPr>
          <w:p>
            <w:pPr>
              <w:ind w:left="20"/>
              <w:spacing w:after="0"/>
              <w:rPr>
                <w:sz w:val="20"/>
                <w:szCs w:val="20"/>
                <w:color w:val="auto"/>
              </w:rPr>
            </w:pPr>
            <w:r>
              <w:rPr>
                <w:rFonts w:ascii="Arial" w:cs="Arial" w:eastAsia="Arial" w:hAnsi="Arial"/>
                <w:sz w:val="14"/>
                <w:szCs w:val="14"/>
                <w:color w:val="auto"/>
              </w:rPr>
              <w:t>(millions)</w:t>
            </w:r>
          </w:p>
        </w:tc>
        <w:tc>
          <w:tcPr>
            <w:tcW w:w="100" w:type="dxa"/>
            <w:vAlign w:val="bottom"/>
            <w:tcBorders>
              <w:top w:val="single" w:sz="8" w:color="00539B"/>
              <w:bottom w:val="single" w:sz="8" w:color="00539B"/>
            </w:tcBorders>
            <w:shd w:val="clear" w:color="auto" w:fill="E0E3F1"/>
          </w:tcPr>
          <w:p>
            <w:pPr>
              <w:spacing w:after="0"/>
              <w:rPr>
                <w:sz w:val="17"/>
                <w:szCs w:val="17"/>
                <w:color w:val="auto"/>
              </w:rPr>
            </w:pPr>
          </w:p>
        </w:tc>
        <w:tc>
          <w:tcPr>
            <w:tcW w:w="1360" w:type="dxa"/>
            <w:vAlign w:val="bottom"/>
            <w:tcBorders>
              <w:top w:val="single" w:sz="8" w:color="00539B"/>
              <w:bottom w:val="single" w:sz="8" w:color="00539B"/>
            </w:tcBorders>
            <w:shd w:val="clear" w:color="auto" w:fill="E0E3F1"/>
          </w:tcPr>
          <w:p>
            <w:pPr>
              <w:jc w:val="right"/>
              <w:ind w:right="488"/>
              <w:spacing w:after="0"/>
              <w:rPr>
                <w:sz w:val="20"/>
                <w:szCs w:val="20"/>
                <w:color w:val="auto"/>
              </w:rPr>
            </w:pPr>
            <w:r>
              <w:rPr>
                <w:rFonts w:ascii="Arial" w:cs="Arial" w:eastAsia="Arial" w:hAnsi="Arial"/>
                <w:sz w:val="14"/>
                <w:szCs w:val="14"/>
                <w:color w:val="auto"/>
              </w:rPr>
              <w:t>2025</w:t>
            </w:r>
          </w:p>
        </w:tc>
        <w:tc>
          <w:tcPr>
            <w:tcW w:w="340" w:type="dxa"/>
            <w:vAlign w:val="bottom"/>
            <w:tcBorders>
              <w:top w:val="single" w:sz="8" w:color="00539B"/>
              <w:bottom w:val="single" w:sz="8" w:color="00539B"/>
            </w:tcBorders>
          </w:tcPr>
          <w:p>
            <w:pPr>
              <w:spacing w:after="0"/>
              <w:rPr>
                <w:sz w:val="17"/>
                <w:szCs w:val="17"/>
                <w:color w:val="auto"/>
              </w:rPr>
            </w:pPr>
          </w:p>
        </w:tc>
        <w:tc>
          <w:tcPr>
            <w:tcW w:w="1140" w:type="dxa"/>
            <w:vAlign w:val="bottom"/>
            <w:tcBorders>
              <w:top w:val="single" w:sz="8" w:color="00539B"/>
              <w:bottom w:val="single" w:sz="8" w:color="00539B"/>
            </w:tcBorders>
          </w:tcPr>
          <w:p>
            <w:pPr>
              <w:jc w:val="right"/>
              <w:ind w:right="508"/>
              <w:spacing w:after="0"/>
              <w:rPr>
                <w:sz w:val="20"/>
                <w:szCs w:val="20"/>
                <w:color w:val="auto"/>
              </w:rPr>
            </w:pPr>
            <w:r>
              <w:rPr>
                <w:rFonts w:ascii="Arial" w:cs="Arial" w:eastAsia="Arial" w:hAnsi="Arial"/>
                <w:sz w:val="14"/>
                <w:szCs w:val="14"/>
                <w:color w:val="auto"/>
              </w:rPr>
              <w:t>2024</w:t>
            </w:r>
          </w:p>
        </w:tc>
      </w:tr>
      <w:tr>
        <w:trPr>
          <w:trHeight w:val="192"/>
        </w:trPr>
        <w:tc>
          <w:tcPr>
            <w:tcW w:w="8260" w:type="dxa"/>
            <w:vAlign w:val="bottom"/>
          </w:tcPr>
          <w:p>
            <w:pPr>
              <w:ind w:left="20"/>
              <w:spacing w:after="0"/>
              <w:rPr>
                <w:sz w:val="20"/>
                <w:szCs w:val="20"/>
                <w:color w:val="auto"/>
              </w:rPr>
            </w:pPr>
            <w:r>
              <w:rPr>
                <w:rFonts w:ascii="Arial" w:cs="Arial" w:eastAsia="Arial" w:hAnsi="Arial"/>
                <w:sz w:val="14"/>
                <w:szCs w:val="14"/>
                <w:color w:val="auto"/>
              </w:rPr>
              <w:t>Change in benefit obligation:</w:t>
            </w:r>
          </w:p>
        </w:tc>
        <w:tc>
          <w:tcPr>
            <w:tcW w:w="100" w:type="dxa"/>
            <w:vAlign w:val="bottom"/>
            <w:shd w:val="clear" w:color="auto" w:fill="E0E3F1"/>
          </w:tcPr>
          <w:p>
            <w:pPr>
              <w:spacing w:after="0"/>
              <w:rPr>
                <w:sz w:val="16"/>
                <w:szCs w:val="16"/>
                <w:color w:val="auto"/>
              </w:rPr>
            </w:pPr>
          </w:p>
        </w:tc>
        <w:tc>
          <w:tcPr>
            <w:tcW w:w="1360" w:type="dxa"/>
            <w:vAlign w:val="bottom"/>
            <w:shd w:val="clear" w:color="auto" w:fill="E0E3F1"/>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3"/>
        </w:trPr>
        <w:tc>
          <w:tcPr>
            <w:tcW w:w="8260" w:type="dxa"/>
            <w:vAlign w:val="bottom"/>
          </w:tcPr>
          <w:p>
            <w:pPr>
              <w:ind w:left="140"/>
              <w:spacing w:after="0"/>
              <w:rPr>
                <w:sz w:val="20"/>
                <w:szCs w:val="20"/>
                <w:color w:val="auto"/>
              </w:rPr>
            </w:pPr>
            <w:r>
              <w:rPr>
                <w:rFonts w:ascii="Arial" w:cs="Arial" w:eastAsia="Arial" w:hAnsi="Arial"/>
                <w:sz w:val="14"/>
                <w:szCs w:val="14"/>
                <w:color w:val="auto"/>
              </w:rPr>
              <w:t>Benefit obligation at beginning of year</w:t>
            </w:r>
          </w:p>
        </w:tc>
        <w:tc>
          <w:tcPr>
            <w:tcW w:w="100" w:type="dxa"/>
            <w:vAlign w:val="bottom"/>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13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45.0</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47.1</w:t>
            </w:r>
          </w:p>
        </w:tc>
      </w:tr>
      <w:tr>
        <w:trPr>
          <w:trHeight w:val="203"/>
        </w:trPr>
        <w:tc>
          <w:tcPr>
            <w:tcW w:w="8260" w:type="dxa"/>
            <w:vAlign w:val="bottom"/>
          </w:tcPr>
          <w:p>
            <w:pPr>
              <w:ind w:left="360"/>
              <w:spacing w:after="0"/>
              <w:rPr>
                <w:sz w:val="20"/>
                <w:szCs w:val="20"/>
                <w:color w:val="auto"/>
              </w:rPr>
            </w:pPr>
            <w:r>
              <w:rPr>
                <w:rFonts w:ascii="Arial" w:cs="Arial" w:eastAsia="Arial" w:hAnsi="Arial"/>
                <w:sz w:val="14"/>
                <w:szCs w:val="14"/>
                <w:color w:val="auto"/>
              </w:rPr>
              <w:t>Service cost</w:t>
            </w:r>
          </w:p>
        </w:tc>
        <w:tc>
          <w:tcPr>
            <w:tcW w:w="100" w:type="dxa"/>
            <w:vAlign w:val="bottom"/>
            <w:shd w:val="clear" w:color="auto" w:fill="E0E3F1"/>
          </w:tcPr>
          <w:p>
            <w:pPr>
              <w:spacing w:after="0"/>
              <w:rPr>
                <w:sz w:val="17"/>
                <w:szCs w:val="17"/>
                <w:color w:val="auto"/>
              </w:rPr>
            </w:pPr>
          </w:p>
        </w:tc>
        <w:tc>
          <w:tcPr>
            <w:tcW w:w="13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0.8</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0.8</w:t>
            </w:r>
          </w:p>
        </w:tc>
      </w:tr>
      <w:tr>
        <w:trPr>
          <w:trHeight w:val="203"/>
        </w:trPr>
        <w:tc>
          <w:tcPr>
            <w:tcW w:w="8260" w:type="dxa"/>
            <w:vAlign w:val="bottom"/>
          </w:tcPr>
          <w:p>
            <w:pPr>
              <w:ind w:left="360"/>
              <w:spacing w:after="0"/>
              <w:rPr>
                <w:sz w:val="20"/>
                <w:szCs w:val="20"/>
                <w:color w:val="auto"/>
              </w:rPr>
            </w:pPr>
            <w:r>
              <w:rPr>
                <w:rFonts w:ascii="Arial" w:cs="Arial" w:eastAsia="Arial" w:hAnsi="Arial"/>
                <w:sz w:val="14"/>
                <w:szCs w:val="14"/>
                <w:color w:val="auto"/>
              </w:rPr>
              <w:t>Interest costs</w:t>
            </w:r>
          </w:p>
        </w:tc>
        <w:tc>
          <w:tcPr>
            <w:tcW w:w="100" w:type="dxa"/>
            <w:vAlign w:val="bottom"/>
            <w:shd w:val="clear" w:color="auto" w:fill="E0E3F1"/>
          </w:tcPr>
          <w:p>
            <w:pPr>
              <w:spacing w:after="0"/>
              <w:rPr>
                <w:sz w:val="17"/>
                <w:szCs w:val="17"/>
                <w:color w:val="auto"/>
              </w:rPr>
            </w:pPr>
          </w:p>
        </w:tc>
        <w:tc>
          <w:tcPr>
            <w:tcW w:w="13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2.2</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203"/>
        </w:trPr>
        <w:tc>
          <w:tcPr>
            <w:tcW w:w="8260" w:type="dxa"/>
            <w:vAlign w:val="bottom"/>
          </w:tcPr>
          <w:p>
            <w:pPr>
              <w:ind w:left="360"/>
              <w:spacing w:after="0"/>
              <w:rPr>
                <w:sz w:val="20"/>
                <w:szCs w:val="20"/>
                <w:color w:val="auto"/>
              </w:rPr>
            </w:pPr>
            <w:r>
              <w:rPr>
                <w:rFonts w:ascii="Arial" w:cs="Arial" w:eastAsia="Arial" w:hAnsi="Arial"/>
                <w:sz w:val="14"/>
                <w:szCs w:val="14"/>
                <w:color w:val="auto"/>
              </w:rPr>
              <w:t>Participant contributions</w:t>
            </w:r>
          </w:p>
        </w:tc>
        <w:tc>
          <w:tcPr>
            <w:tcW w:w="100" w:type="dxa"/>
            <w:vAlign w:val="bottom"/>
            <w:shd w:val="clear" w:color="auto" w:fill="E0E3F1"/>
          </w:tcPr>
          <w:p>
            <w:pPr>
              <w:spacing w:after="0"/>
              <w:rPr>
                <w:sz w:val="17"/>
                <w:szCs w:val="17"/>
                <w:color w:val="auto"/>
              </w:rPr>
            </w:pPr>
          </w:p>
        </w:tc>
        <w:tc>
          <w:tcPr>
            <w:tcW w:w="13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2.6</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203"/>
        </w:trPr>
        <w:tc>
          <w:tcPr>
            <w:tcW w:w="8260" w:type="dxa"/>
            <w:vAlign w:val="bottom"/>
          </w:tcPr>
          <w:p>
            <w:pPr>
              <w:ind w:left="360"/>
              <w:spacing w:after="0"/>
              <w:rPr>
                <w:sz w:val="20"/>
                <w:szCs w:val="20"/>
                <w:color w:val="auto"/>
              </w:rPr>
            </w:pPr>
            <w:r>
              <w:rPr>
                <w:rFonts w:ascii="Arial" w:cs="Arial" w:eastAsia="Arial" w:hAnsi="Arial"/>
                <w:sz w:val="14"/>
                <w:szCs w:val="14"/>
                <w:color w:val="auto"/>
              </w:rPr>
              <w:t>Actuarial gain</w:t>
            </w:r>
          </w:p>
        </w:tc>
        <w:tc>
          <w:tcPr>
            <w:tcW w:w="100" w:type="dxa"/>
            <w:vAlign w:val="bottom"/>
            <w:shd w:val="clear" w:color="auto" w:fill="E0E3F1"/>
          </w:tcPr>
          <w:p>
            <w:pPr>
              <w:spacing w:after="0"/>
              <w:rPr>
                <w:sz w:val="17"/>
                <w:szCs w:val="17"/>
                <w:color w:val="auto"/>
              </w:rPr>
            </w:pPr>
          </w:p>
        </w:tc>
        <w:tc>
          <w:tcPr>
            <w:tcW w:w="13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(0.9)</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07"/>
        </w:trPr>
        <w:tc>
          <w:tcPr>
            <w:tcW w:w="8260" w:type="dxa"/>
            <w:vAlign w:val="bottom"/>
            <w:tcBorders>
              <w:bottom w:val="single" w:sz="8" w:color="00539B"/>
            </w:tcBorders>
          </w:tcPr>
          <w:p>
            <w:pPr>
              <w:ind w:left="360"/>
              <w:spacing w:after="0"/>
              <w:rPr>
                <w:sz w:val="20"/>
                <w:szCs w:val="20"/>
                <w:color w:val="auto"/>
              </w:rPr>
            </w:pPr>
            <w:r>
              <w:rPr>
                <w:rFonts w:ascii="Arial" w:cs="Arial" w:eastAsia="Arial" w:hAnsi="Arial"/>
                <w:sz w:val="14"/>
                <w:szCs w:val="14"/>
                <w:color w:val="auto"/>
              </w:rPr>
              <w:t>Benefits paid</w:t>
            </w:r>
          </w:p>
        </w:tc>
        <w:tc>
          <w:tcPr>
            <w:tcW w:w="100" w:type="dxa"/>
            <w:vAlign w:val="bottom"/>
            <w:tcBorders>
              <w:bottom w:val="single" w:sz="8" w:color="00539B"/>
            </w:tcBorders>
            <w:shd w:val="clear" w:color="auto" w:fill="E0E3F1"/>
          </w:tcPr>
          <w:p>
            <w:pPr>
              <w:spacing w:after="0"/>
              <w:rPr>
                <w:sz w:val="17"/>
                <w:szCs w:val="17"/>
                <w:color w:val="auto"/>
              </w:rPr>
            </w:pPr>
          </w:p>
        </w:tc>
        <w:tc>
          <w:tcPr>
            <w:tcW w:w="136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(6.3)</w:t>
            </w:r>
          </w:p>
        </w:tc>
        <w:tc>
          <w:tcPr>
            <w:tcW w:w="340" w:type="dxa"/>
            <w:vAlign w:val="bottom"/>
            <w:tcBorders>
              <w:bottom w:val="single" w:sz="8" w:color="00539B"/>
            </w:tcBorders>
          </w:tcPr>
          <w:p>
            <w:pPr>
              <w:spacing w:after="0"/>
              <w:rPr>
                <w:sz w:val="17"/>
                <w:szCs w:val="17"/>
                <w:color w:val="auto"/>
              </w:rPr>
            </w:pPr>
          </w:p>
        </w:tc>
        <w:tc>
          <w:tcPr>
            <w:tcW w:w="114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(7.0)</w:t>
            </w:r>
          </w:p>
        </w:tc>
      </w:tr>
      <w:tr>
        <w:trPr>
          <w:trHeight w:val="196"/>
        </w:trPr>
        <w:tc>
          <w:tcPr>
            <w:tcW w:w="8260" w:type="dxa"/>
            <w:vAlign w:val="bottom"/>
            <w:tcBorders>
              <w:bottom w:val="single" w:sz="8" w:color="00539B"/>
            </w:tcBorders>
          </w:tcPr>
          <w:p>
            <w:pPr>
              <w:ind w:left="140"/>
              <w:spacing w:after="0"/>
              <w:rPr>
                <w:sz w:val="20"/>
                <w:szCs w:val="20"/>
                <w:color w:val="auto"/>
              </w:rPr>
            </w:pPr>
            <w:r>
              <w:rPr>
                <w:rFonts w:ascii="Arial" w:cs="Arial" w:eastAsia="Arial" w:hAnsi="Arial"/>
                <w:sz w:val="14"/>
                <w:szCs w:val="14"/>
                <w:color w:val="auto"/>
              </w:rPr>
              <w:t>Benefit obligation at end of year</w:t>
            </w:r>
          </w:p>
        </w:tc>
        <w:tc>
          <w:tcPr>
            <w:tcW w:w="10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43.4</w:t>
            </w:r>
          </w:p>
        </w:tc>
        <w:tc>
          <w:tcPr>
            <w:tcW w:w="340" w:type="dxa"/>
            <w:vAlign w:val="bottom"/>
            <w:tcBorders>
              <w:bottom w:val="single" w:sz="8" w:color="00539B"/>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45.0</w:t>
            </w:r>
          </w:p>
        </w:tc>
      </w:tr>
      <w:tr>
        <w:trPr>
          <w:trHeight w:val="192"/>
        </w:trPr>
        <w:tc>
          <w:tcPr>
            <w:tcW w:w="8260" w:type="dxa"/>
            <w:vAlign w:val="bottom"/>
          </w:tcPr>
          <w:p>
            <w:pPr>
              <w:ind w:left="20"/>
              <w:spacing w:after="0"/>
              <w:rPr>
                <w:sz w:val="20"/>
                <w:szCs w:val="20"/>
                <w:color w:val="auto"/>
              </w:rPr>
            </w:pPr>
            <w:r>
              <w:rPr>
                <w:rFonts w:ascii="Arial" w:cs="Arial" w:eastAsia="Arial" w:hAnsi="Arial"/>
                <w:sz w:val="14"/>
                <w:szCs w:val="14"/>
                <w:color w:val="auto"/>
              </w:rPr>
              <w:t>Change in fair value of plan assets:</w:t>
            </w:r>
          </w:p>
        </w:tc>
        <w:tc>
          <w:tcPr>
            <w:tcW w:w="100" w:type="dxa"/>
            <w:vAlign w:val="bottom"/>
            <w:shd w:val="clear" w:color="auto" w:fill="E0E3F1"/>
          </w:tcPr>
          <w:p>
            <w:pPr>
              <w:spacing w:after="0"/>
              <w:rPr>
                <w:sz w:val="16"/>
                <w:szCs w:val="16"/>
                <w:color w:val="auto"/>
              </w:rPr>
            </w:pPr>
          </w:p>
        </w:tc>
        <w:tc>
          <w:tcPr>
            <w:tcW w:w="1360" w:type="dxa"/>
            <w:vAlign w:val="bottom"/>
            <w:shd w:val="clear" w:color="auto" w:fill="E0E3F1"/>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3"/>
        </w:trPr>
        <w:tc>
          <w:tcPr>
            <w:tcW w:w="8260" w:type="dxa"/>
            <w:vAlign w:val="bottom"/>
          </w:tcPr>
          <w:p>
            <w:pPr>
              <w:ind w:left="180"/>
              <w:spacing w:after="0"/>
              <w:rPr>
                <w:sz w:val="20"/>
                <w:szCs w:val="20"/>
                <w:color w:val="auto"/>
              </w:rPr>
            </w:pPr>
            <w:r>
              <w:rPr>
                <w:rFonts w:ascii="Arial" w:cs="Arial" w:eastAsia="Arial" w:hAnsi="Arial"/>
                <w:sz w:val="14"/>
                <w:szCs w:val="14"/>
                <w:color w:val="auto"/>
              </w:rPr>
              <w:t>Fair value of plan assets at beginning of year</w:t>
            </w:r>
          </w:p>
        </w:tc>
        <w:tc>
          <w:tcPr>
            <w:tcW w:w="100" w:type="dxa"/>
            <w:vAlign w:val="bottom"/>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13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8260" w:type="dxa"/>
            <w:vAlign w:val="bottom"/>
          </w:tcPr>
          <w:p>
            <w:pPr>
              <w:ind w:left="360"/>
              <w:spacing w:after="0"/>
              <w:rPr>
                <w:sz w:val="20"/>
                <w:szCs w:val="20"/>
                <w:color w:val="auto"/>
              </w:rPr>
            </w:pPr>
            <w:r>
              <w:rPr>
                <w:rFonts w:ascii="Arial" w:cs="Arial" w:eastAsia="Arial" w:hAnsi="Arial"/>
                <w:sz w:val="14"/>
                <w:szCs w:val="14"/>
                <w:color w:val="auto"/>
              </w:rPr>
              <w:t>Employer contributions</w:t>
            </w:r>
          </w:p>
        </w:tc>
        <w:tc>
          <w:tcPr>
            <w:tcW w:w="100" w:type="dxa"/>
            <w:vAlign w:val="bottom"/>
            <w:shd w:val="clear" w:color="auto" w:fill="E0E3F1"/>
          </w:tcPr>
          <w:p>
            <w:pPr>
              <w:spacing w:after="0"/>
              <w:rPr>
                <w:sz w:val="17"/>
                <w:szCs w:val="17"/>
                <w:color w:val="auto"/>
              </w:rPr>
            </w:pPr>
          </w:p>
        </w:tc>
        <w:tc>
          <w:tcPr>
            <w:tcW w:w="13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3.7</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203"/>
        </w:trPr>
        <w:tc>
          <w:tcPr>
            <w:tcW w:w="8260" w:type="dxa"/>
            <w:vAlign w:val="bottom"/>
          </w:tcPr>
          <w:p>
            <w:pPr>
              <w:ind w:left="360"/>
              <w:spacing w:after="0"/>
              <w:rPr>
                <w:sz w:val="20"/>
                <w:szCs w:val="20"/>
                <w:color w:val="auto"/>
              </w:rPr>
            </w:pPr>
            <w:r>
              <w:rPr>
                <w:rFonts w:ascii="Arial" w:cs="Arial" w:eastAsia="Arial" w:hAnsi="Arial"/>
                <w:sz w:val="14"/>
                <w:szCs w:val="14"/>
                <w:color w:val="auto"/>
              </w:rPr>
              <w:t>Participant contributions</w:t>
            </w:r>
          </w:p>
        </w:tc>
        <w:tc>
          <w:tcPr>
            <w:tcW w:w="100" w:type="dxa"/>
            <w:vAlign w:val="bottom"/>
            <w:shd w:val="clear" w:color="auto" w:fill="E0E3F1"/>
          </w:tcPr>
          <w:p>
            <w:pPr>
              <w:spacing w:after="0"/>
              <w:rPr>
                <w:sz w:val="17"/>
                <w:szCs w:val="17"/>
                <w:color w:val="auto"/>
              </w:rPr>
            </w:pPr>
          </w:p>
        </w:tc>
        <w:tc>
          <w:tcPr>
            <w:tcW w:w="13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2.6</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206"/>
        </w:trPr>
        <w:tc>
          <w:tcPr>
            <w:tcW w:w="8260" w:type="dxa"/>
            <w:vAlign w:val="bottom"/>
            <w:tcBorders>
              <w:bottom w:val="single" w:sz="8" w:color="00539B"/>
            </w:tcBorders>
          </w:tcPr>
          <w:p>
            <w:pPr>
              <w:ind w:left="360"/>
              <w:spacing w:after="0"/>
              <w:rPr>
                <w:sz w:val="20"/>
                <w:szCs w:val="20"/>
                <w:color w:val="auto"/>
              </w:rPr>
            </w:pPr>
            <w:r>
              <w:rPr>
                <w:rFonts w:ascii="Arial" w:cs="Arial" w:eastAsia="Arial" w:hAnsi="Arial"/>
                <w:sz w:val="14"/>
                <w:szCs w:val="14"/>
                <w:color w:val="auto"/>
              </w:rPr>
              <w:t>Benefits paid</w:t>
            </w:r>
          </w:p>
        </w:tc>
        <w:tc>
          <w:tcPr>
            <w:tcW w:w="100" w:type="dxa"/>
            <w:vAlign w:val="bottom"/>
            <w:tcBorders>
              <w:bottom w:val="single" w:sz="8" w:color="00539B"/>
            </w:tcBorders>
            <w:shd w:val="clear" w:color="auto" w:fill="E0E3F1"/>
          </w:tcPr>
          <w:p>
            <w:pPr>
              <w:spacing w:after="0"/>
              <w:rPr>
                <w:sz w:val="17"/>
                <w:szCs w:val="17"/>
                <w:color w:val="auto"/>
              </w:rPr>
            </w:pPr>
          </w:p>
        </w:tc>
        <w:tc>
          <w:tcPr>
            <w:tcW w:w="136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(6.3)</w:t>
            </w:r>
          </w:p>
        </w:tc>
        <w:tc>
          <w:tcPr>
            <w:tcW w:w="340" w:type="dxa"/>
            <w:vAlign w:val="bottom"/>
            <w:tcBorders>
              <w:bottom w:val="single" w:sz="8" w:color="00539B"/>
            </w:tcBorders>
          </w:tcPr>
          <w:p>
            <w:pPr>
              <w:spacing w:after="0"/>
              <w:rPr>
                <w:sz w:val="17"/>
                <w:szCs w:val="17"/>
                <w:color w:val="auto"/>
              </w:rPr>
            </w:pPr>
          </w:p>
        </w:tc>
        <w:tc>
          <w:tcPr>
            <w:tcW w:w="114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(7.0)</w:t>
            </w:r>
          </w:p>
        </w:tc>
      </w:tr>
      <w:tr>
        <w:trPr>
          <w:trHeight w:val="196"/>
        </w:trPr>
        <w:tc>
          <w:tcPr>
            <w:tcW w:w="8260" w:type="dxa"/>
            <w:vAlign w:val="bottom"/>
            <w:tcBorders>
              <w:bottom w:val="single" w:sz="8" w:color="00539B"/>
            </w:tcBorders>
          </w:tcPr>
          <w:p>
            <w:pPr>
              <w:ind w:left="140"/>
              <w:spacing w:after="0"/>
              <w:rPr>
                <w:sz w:val="20"/>
                <w:szCs w:val="20"/>
                <w:color w:val="auto"/>
              </w:rPr>
            </w:pPr>
            <w:r>
              <w:rPr>
                <w:rFonts w:ascii="Arial" w:cs="Arial" w:eastAsia="Arial" w:hAnsi="Arial"/>
                <w:sz w:val="14"/>
                <w:szCs w:val="14"/>
                <w:color w:val="auto"/>
              </w:rPr>
              <w:t>Fair value of plan assets at end of year</w:t>
            </w:r>
          </w:p>
        </w:tc>
        <w:tc>
          <w:tcPr>
            <w:tcW w:w="10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00539B"/>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8260" w:type="dxa"/>
            <w:vAlign w:val="bottom"/>
            <w:tcBorders>
              <w:bottom w:val="single" w:sz="8" w:color="00539B"/>
            </w:tcBorders>
          </w:tcPr>
          <w:p>
            <w:pPr>
              <w:ind w:left="140"/>
              <w:spacing w:after="0"/>
              <w:rPr>
                <w:sz w:val="20"/>
                <w:szCs w:val="20"/>
                <w:color w:val="auto"/>
              </w:rPr>
            </w:pPr>
            <w:r>
              <w:rPr>
                <w:rFonts w:ascii="Arial" w:cs="Arial" w:eastAsia="Arial" w:hAnsi="Arial"/>
                <w:sz w:val="14"/>
                <w:szCs w:val="14"/>
                <w:color w:val="auto"/>
              </w:rPr>
              <w:t>Other postretirement benefit liability</w:t>
            </w:r>
          </w:p>
        </w:tc>
        <w:tc>
          <w:tcPr>
            <w:tcW w:w="10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43.4</w:t>
            </w:r>
          </w:p>
        </w:tc>
        <w:tc>
          <w:tcPr>
            <w:tcW w:w="340" w:type="dxa"/>
            <w:vAlign w:val="bottom"/>
            <w:tcBorders>
              <w:bottom w:val="single" w:sz="8" w:color="00539B"/>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45.0</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benefit payments (net of employee contributions) for the next 10 fiscal years are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700" w:type="dxa"/>
            <w:vAlign w:val="bottom"/>
            <w:tcBorders>
              <w:top w:val="single" w:sz="8" w:color="00539B"/>
            </w:tcBorders>
            <w:vMerge w:val="restart"/>
          </w:tcPr>
          <w:p>
            <w:pPr>
              <w:ind w:left="20"/>
              <w:spacing w:after="0"/>
              <w:rPr>
                <w:sz w:val="20"/>
                <w:szCs w:val="20"/>
                <w:color w:val="auto"/>
              </w:rPr>
            </w:pPr>
            <w:r>
              <w:rPr>
                <w:rFonts w:ascii="Arial" w:cs="Arial" w:eastAsia="Arial" w:hAnsi="Arial"/>
                <w:sz w:val="14"/>
                <w:szCs w:val="14"/>
                <w:color w:val="auto"/>
              </w:rPr>
              <w:t>(millions)</w:t>
            </w:r>
          </w:p>
        </w:tc>
        <w:tc>
          <w:tcPr>
            <w:tcW w:w="4040" w:type="dxa"/>
            <w:vAlign w:val="bottom"/>
            <w:tcBorders>
              <w:top w:val="single" w:sz="8" w:color="00539B"/>
            </w:tcBorders>
          </w:tcPr>
          <w:p>
            <w:pPr>
              <w:ind w:left="3480"/>
              <w:spacing w:after="0"/>
              <w:rPr>
                <w:sz w:val="20"/>
                <w:szCs w:val="20"/>
                <w:color w:val="auto"/>
              </w:rPr>
            </w:pPr>
            <w:r>
              <w:rPr>
                <w:rFonts w:ascii="Arial" w:cs="Arial" w:eastAsia="Arial" w:hAnsi="Arial"/>
                <w:sz w:val="14"/>
                <w:szCs w:val="14"/>
                <w:color w:val="auto"/>
              </w:rPr>
              <w:t>Retiree</w:t>
            </w:r>
          </w:p>
        </w:tc>
        <w:tc>
          <w:tcPr>
            <w:tcW w:w="400" w:type="dxa"/>
            <w:vAlign w:val="bottom"/>
            <w:tcBorders>
              <w:top w:val="single" w:sz="8" w:color="00539B"/>
            </w:tcBorders>
          </w:tcPr>
          <w:p>
            <w:pPr>
              <w:spacing w:after="0"/>
              <w:rPr>
                <w:sz w:val="15"/>
                <w:szCs w:val="15"/>
                <w:color w:val="auto"/>
              </w:rPr>
            </w:pPr>
          </w:p>
        </w:tc>
        <w:tc>
          <w:tcPr>
            <w:tcW w:w="280" w:type="dxa"/>
            <w:vAlign w:val="bottom"/>
            <w:tcBorders>
              <w:top w:val="single" w:sz="8" w:color="00539B"/>
            </w:tcBorders>
          </w:tcPr>
          <w:p>
            <w:pPr>
              <w:spacing w:after="0"/>
              <w:rPr>
                <w:sz w:val="15"/>
                <w:szCs w:val="15"/>
                <w:color w:val="auto"/>
              </w:rPr>
            </w:pPr>
          </w:p>
        </w:tc>
        <w:tc>
          <w:tcPr>
            <w:tcW w:w="1220" w:type="dxa"/>
            <w:vAlign w:val="bottom"/>
            <w:tcBorders>
              <w:top w:val="single" w:sz="8" w:color="00539B"/>
            </w:tcBorders>
          </w:tcPr>
          <w:p>
            <w:pPr>
              <w:jc w:val="right"/>
              <w:ind w:right="308"/>
              <w:spacing w:after="0"/>
              <w:rPr>
                <w:sz w:val="20"/>
                <w:szCs w:val="20"/>
                <w:color w:val="auto"/>
              </w:rPr>
            </w:pPr>
            <w:r>
              <w:rPr>
                <w:rFonts w:ascii="Arial" w:cs="Arial" w:eastAsia="Arial" w:hAnsi="Arial"/>
                <w:sz w:val="14"/>
                <w:szCs w:val="14"/>
                <w:color w:val="auto"/>
              </w:rPr>
              <w:t>Retiree life</w:t>
            </w:r>
          </w:p>
        </w:tc>
        <w:tc>
          <w:tcPr>
            <w:tcW w:w="380" w:type="dxa"/>
            <w:vAlign w:val="bottom"/>
            <w:tcBorders>
              <w:top w:val="single" w:sz="8" w:color="00539B"/>
            </w:tcBorders>
          </w:tcPr>
          <w:p>
            <w:pPr>
              <w:spacing w:after="0"/>
              <w:rPr>
                <w:sz w:val="15"/>
                <w:szCs w:val="15"/>
                <w:color w:val="auto"/>
              </w:rPr>
            </w:pPr>
          </w:p>
        </w:tc>
        <w:tc>
          <w:tcPr>
            <w:tcW w:w="1180" w:type="dxa"/>
            <w:vAlign w:val="bottom"/>
            <w:tcBorders>
              <w:top w:val="single" w:sz="8" w:color="00539B"/>
            </w:tcBorders>
            <w:vMerge w:val="restart"/>
          </w:tcPr>
          <w:p>
            <w:pPr>
              <w:jc w:val="right"/>
              <w:ind w:right="54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5"/>
        </w:trPr>
        <w:tc>
          <w:tcPr>
            <w:tcW w:w="3700" w:type="dxa"/>
            <w:vAlign w:val="bottom"/>
            <w:tcBorders>
              <w:bottom w:val="single" w:sz="8" w:color="00539B"/>
            </w:tcBorders>
            <w:vMerge w:val="continue"/>
          </w:tcPr>
          <w:p>
            <w:pPr>
              <w:spacing w:after="0"/>
              <w:rPr>
                <w:sz w:val="16"/>
                <w:szCs w:val="16"/>
                <w:color w:val="auto"/>
              </w:rPr>
            </w:pPr>
          </w:p>
        </w:tc>
        <w:tc>
          <w:tcPr>
            <w:tcW w:w="4040" w:type="dxa"/>
            <w:vAlign w:val="bottom"/>
            <w:tcBorders>
              <w:bottom w:val="single" w:sz="8" w:color="00539B"/>
            </w:tcBorders>
          </w:tcPr>
          <w:p>
            <w:pPr>
              <w:ind w:left="3460"/>
              <w:spacing w:after="0"/>
              <w:rPr>
                <w:sz w:val="20"/>
                <w:szCs w:val="20"/>
                <w:color w:val="auto"/>
              </w:rPr>
            </w:pPr>
            <w:r>
              <w:rPr>
                <w:rFonts w:ascii="Arial" w:cs="Arial" w:eastAsia="Arial" w:hAnsi="Arial"/>
                <w:sz w:val="14"/>
                <w:szCs w:val="14"/>
                <w:color w:val="auto"/>
              </w:rPr>
              <w:t>medical</w:t>
            </w:r>
          </w:p>
        </w:tc>
        <w:tc>
          <w:tcPr>
            <w:tcW w:w="400" w:type="dxa"/>
            <w:vAlign w:val="bottom"/>
            <w:tcBorders>
              <w:bottom w:val="single" w:sz="8" w:color="00539B"/>
            </w:tcBorders>
          </w:tcPr>
          <w:p>
            <w:pPr>
              <w:spacing w:after="0"/>
              <w:rPr>
                <w:sz w:val="16"/>
                <w:szCs w:val="16"/>
                <w:color w:val="auto"/>
              </w:rPr>
            </w:pPr>
          </w:p>
        </w:tc>
        <w:tc>
          <w:tcPr>
            <w:tcW w:w="280" w:type="dxa"/>
            <w:vAlign w:val="bottom"/>
            <w:tcBorders>
              <w:bottom w:val="single" w:sz="8" w:color="00539B"/>
            </w:tcBorders>
          </w:tcPr>
          <w:p>
            <w:pPr>
              <w:spacing w:after="0"/>
              <w:rPr>
                <w:sz w:val="16"/>
                <w:szCs w:val="16"/>
                <w:color w:val="auto"/>
              </w:rPr>
            </w:pPr>
          </w:p>
        </w:tc>
        <w:tc>
          <w:tcPr>
            <w:tcW w:w="1220" w:type="dxa"/>
            <w:vAlign w:val="bottom"/>
            <w:tcBorders>
              <w:bottom w:val="single" w:sz="8" w:color="00539B"/>
            </w:tcBorders>
          </w:tcPr>
          <w:p>
            <w:pPr>
              <w:jc w:val="right"/>
              <w:ind w:right="348"/>
              <w:spacing w:after="0"/>
              <w:rPr>
                <w:sz w:val="20"/>
                <w:szCs w:val="20"/>
                <w:color w:val="auto"/>
              </w:rPr>
            </w:pPr>
            <w:r>
              <w:rPr>
                <w:rFonts w:ascii="Arial" w:cs="Arial" w:eastAsia="Arial" w:hAnsi="Arial"/>
                <w:sz w:val="14"/>
                <w:szCs w:val="14"/>
                <w:color w:val="auto"/>
              </w:rPr>
              <w:t>insurance</w:t>
            </w:r>
          </w:p>
        </w:tc>
        <w:tc>
          <w:tcPr>
            <w:tcW w:w="380" w:type="dxa"/>
            <w:vAlign w:val="bottom"/>
            <w:tcBorders>
              <w:bottom w:val="single" w:sz="8" w:color="00539B"/>
            </w:tcBorders>
          </w:tcPr>
          <w:p>
            <w:pPr>
              <w:spacing w:after="0"/>
              <w:rPr>
                <w:sz w:val="16"/>
                <w:szCs w:val="16"/>
                <w:color w:val="auto"/>
              </w:rPr>
            </w:pPr>
          </w:p>
        </w:tc>
        <w:tc>
          <w:tcPr>
            <w:tcW w:w="1180" w:type="dxa"/>
            <w:vAlign w:val="bottom"/>
            <w:tcBorders>
              <w:bottom w:val="single" w:sz="8" w:color="00539B"/>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700" w:type="dxa"/>
            <w:vAlign w:val="bottom"/>
          </w:tcPr>
          <w:p>
            <w:pPr>
              <w:ind w:left="20"/>
              <w:spacing w:after="0"/>
              <w:rPr>
                <w:sz w:val="20"/>
                <w:szCs w:val="20"/>
                <w:color w:val="auto"/>
              </w:rPr>
            </w:pPr>
            <w:r>
              <w:rPr>
                <w:rFonts w:ascii="Arial" w:cs="Arial" w:eastAsia="Arial" w:hAnsi="Arial"/>
                <w:sz w:val="14"/>
                <w:szCs w:val="14"/>
                <w:color w:val="auto"/>
              </w:rPr>
              <w:t>2026</w:t>
            </w:r>
          </w:p>
        </w:tc>
        <w:tc>
          <w:tcPr>
            <w:tcW w:w="4040" w:type="dxa"/>
            <w:vAlign w:val="bottom"/>
          </w:tcPr>
          <w:p>
            <w:pPr>
              <w:jc w:val="right"/>
              <w:ind w:right="928"/>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2.7</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1.4</w:t>
            </w:r>
          </w:p>
        </w:tc>
        <w:tc>
          <w:tcPr>
            <w:tcW w:w="3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03"/>
        </w:trPr>
        <w:tc>
          <w:tcPr>
            <w:tcW w:w="3700" w:type="dxa"/>
            <w:vAlign w:val="bottom"/>
          </w:tcPr>
          <w:p>
            <w:pPr>
              <w:ind w:left="20"/>
              <w:spacing w:after="0"/>
              <w:rPr>
                <w:sz w:val="20"/>
                <w:szCs w:val="20"/>
                <w:color w:val="auto"/>
              </w:rPr>
            </w:pPr>
            <w:r>
              <w:rPr>
                <w:rFonts w:ascii="Arial" w:cs="Arial" w:eastAsia="Arial" w:hAnsi="Arial"/>
                <w:sz w:val="14"/>
                <w:szCs w:val="14"/>
                <w:color w:val="auto"/>
              </w:rPr>
              <w:t>2027</w:t>
            </w:r>
          </w:p>
        </w:tc>
        <w:tc>
          <w:tcPr>
            <w:tcW w:w="40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2.8</w:t>
            </w:r>
          </w:p>
        </w:tc>
        <w:tc>
          <w:tcPr>
            <w:tcW w:w="2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02"/>
        </w:trPr>
        <w:tc>
          <w:tcPr>
            <w:tcW w:w="3700" w:type="dxa"/>
            <w:vAlign w:val="bottom"/>
          </w:tcPr>
          <w:p>
            <w:pPr>
              <w:ind w:left="20"/>
              <w:spacing w:after="0"/>
              <w:rPr>
                <w:sz w:val="20"/>
                <w:szCs w:val="20"/>
                <w:color w:val="auto"/>
              </w:rPr>
            </w:pPr>
            <w:r>
              <w:rPr>
                <w:rFonts w:ascii="Arial" w:cs="Arial" w:eastAsia="Arial" w:hAnsi="Arial"/>
                <w:sz w:val="14"/>
                <w:szCs w:val="14"/>
                <w:color w:val="auto"/>
              </w:rPr>
              <w:t>2028</w:t>
            </w:r>
          </w:p>
        </w:tc>
        <w:tc>
          <w:tcPr>
            <w:tcW w:w="40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2.7</w:t>
            </w:r>
          </w:p>
        </w:tc>
        <w:tc>
          <w:tcPr>
            <w:tcW w:w="2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03"/>
        </w:trPr>
        <w:tc>
          <w:tcPr>
            <w:tcW w:w="3700" w:type="dxa"/>
            <w:vAlign w:val="bottom"/>
          </w:tcPr>
          <w:p>
            <w:pPr>
              <w:ind w:left="20"/>
              <w:spacing w:after="0"/>
              <w:rPr>
                <w:sz w:val="20"/>
                <w:szCs w:val="20"/>
                <w:color w:val="auto"/>
              </w:rPr>
            </w:pPr>
            <w:r>
              <w:rPr>
                <w:rFonts w:ascii="Arial" w:cs="Arial" w:eastAsia="Arial" w:hAnsi="Arial"/>
                <w:sz w:val="14"/>
                <w:szCs w:val="14"/>
                <w:color w:val="auto"/>
              </w:rPr>
              <w:t>2029</w:t>
            </w:r>
          </w:p>
        </w:tc>
        <w:tc>
          <w:tcPr>
            <w:tcW w:w="40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2.7</w:t>
            </w:r>
          </w:p>
        </w:tc>
        <w:tc>
          <w:tcPr>
            <w:tcW w:w="2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03"/>
        </w:trPr>
        <w:tc>
          <w:tcPr>
            <w:tcW w:w="3700" w:type="dxa"/>
            <w:vAlign w:val="bottom"/>
          </w:tcPr>
          <w:p>
            <w:pPr>
              <w:ind w:left="20"/>
              <w:spacing w:after="0"/>
              <w:rPr>
                <w:sz w:val="20"/>
                <w:szCs w:val="20"/>
                <w:color w:val="auto"/>
              </w:rPr>
            </w:pPr>
            <w:r>
              <w:rPr>
                <w:rFonts w:ascii="Arial" w:cs="Arial" w:eastAsia="Arial" w:hAnsi="Arial"/>
                <w:sz w:val="14"/>
                <w:szCs w:val="14"/>
                <w:color w:val="auto"/>
              </w:rPr>
              <w:t>2030</w:t>
            </w:r>
          </w:p>
        </w:tc>
        <w:tc>
          <w:tcPr>
            <w:tcW w:w="40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2.7</w:t>
            </w:r>
          </w:p>
        </w:tc>
        <w:tc>
          <w:tcPr>
            <w:tcW w:w="2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18"/>
        </w:trPr>
        <w:tc>
          <w:tcPr>
            <w:tcW w:w="370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2031-2036</w:t>
            </w:r>
          </w:p>
        </w:tc>
        <w:tc>
          <w:tcPr>
            <w:tcW w:w="4040" w:type="dxa"/>
            <w:vAlign w:val="bottom"/>
            <w:tcBorders>
              <w:bottom w:val="single" w:sz="8" w:color="00539B"/>
            </w:tcBorders>
          </w:tcPr>
          <w:p>
            <w:pPr>
              <w:spacing w:after="0"/>
              <w:rPr>
                <w:sz w:val="18"/>
                <w:szCs w:val="18"/>
                <w:color w:val="auto"/>
              </w:rPr>
            </w:pPr>
          </w:p>
        </w:tc>
        <w:tc>
          <w:tcPr>
            <w:tcW w:w="40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12.7</w:t>
            </w:r>
          </w:p>
        </w:tc>
        <w:tc>
          <w:tcPr>
            <w:tcW w:w="280" w:type="dxa"/>
            <w:vAlign w:val="bottom"/>
            <w:tcBorders>
              <w:bottom w:val="single" w:sz="8" w:color="00539B"/>
            </w:tcBorders>
          </w:tcPr>
          <w:p>
            <w:pPr>
              <w:spacing w:after="0"/>
              <w:rPr>
                <w:sz w:val="18"/>
                <w:szCs w:val="18"/>
                <w:color w:val="auto"/>
              </w:rPr>
            </w:pPr>
          </w:p>
        </w:tc>
        <w:tc>
          <w:tcPr>
            <w:tcW w:w="122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5.4</w:t>
            </w:r>
          </w:p>
        </w:tc>
        <w:tc>
          <w:tcPr>
            <w:tcW w:w="380" w:type="dxa"/>
            <w:vAlign w:val="bottom"/>
            <w:tcBorders>
              <w:bottom w:val="single" w:sz="8" w:color="00539B"/>
            </w:tcBorders>
          </w:tcPr>
          <w:p>
            <w:pPr>
              <w:spacing w:after="0"/>
              <w:rPr>
                <w:sz w:val="18"/>
                <w:szCs w:val="18"/>
                <w:color w:val="auto"/>
              </w:rPr>
            </w:pPr>
          </w:p>
        </w:tc>
        <w:tc>
          <w:tcPr>
            <w:tcW w:w="118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assumed discount rate in determining the benefit obligation was 5.1% and 5.2% for 2025 and 2024, respectively.</w:t>
      </w:r>
    </w:p>
    <w:p>
      <w:pPr>
        <w:spacing w:after="0" w:line="171"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color w:val="auto"/>
        </w:rPr>
        <w:t>For 2025, the assumed annual rate of increase in the cost of covered health care benefits is 13.8% (7.6% last year). It is assumed to decrease gradually to 4.5% in the year 2034 (4.5% in 2034 last year) and remain at that level thereafter.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539B"/>
        </w:rPr>
        <w:t>11. STOCK-BASED COMPENSATION</w:t>
      </w:r>
    </w:p>
    <w:p>
      <w:pPr>
        <w:spacing w:after="0" w:line="10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have four types of stock-based compensation awards: restricted stock units (RSUs), stock options, and company stock awarded as part of our long-term performance plan (LTPP) and price-vested stock options. Total stock-based compensation expense for 2025, 2024, and 2023 was $46.2 million, $47.4 million and $63.4 million,</w:t>
      </w:r>
    </w:p>
    <w:p>
      <w:pPr>
        <w:sectPr>
          <w:pgSz w:w="11900" w:h="16838" w:orient="portrait"/>
          <w:cols w:equalWidth="0" w:num="1">
            <w:col w:w="11200"/>
          </w:cols>
          <w:pgMar w:left="320" w:top="1052" w:right="37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52" w:right="379"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18"/>
          <w:szCs w:val="18"/>
          <w:color w:val="auto"/>
        </w:rPr>
        <w:t>respectively. Total unrecognized stock-based compensation expense related to our RSUs and stock options at November 30, 2025 was</w:t>
      </w:r>
    </w:p>
    <w:p>
      <w:pPr>
        <w:spacing w:after="0" w:line="2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$26.9 million and the weighted-average period over which this will be recognized is 1.8 years. Total unrecognized stock-based compensation expense related to our LTPP is variable in nature and is dependent on the Company's execution against established performance metrics under performance cycles related to this plan. All stock-based compensation expense related to our price-vested stock options was fully recognized as of November 30, 2023. As of November 30, 2025, we have 4.6 million shares of common stock remaining available for future issuance under our stock-based compensation programs.</w:t>
      </w:r>
    </w:p>
    <w:p>
      <w:pPr>
        <w:spacing w:after="0" w:line="129"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The following summarizes the key terms, a summary of activity, and the methods of valuation for each of our stock-based compensation awards.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539B"/>
        </w:rPr>
        <w:t>RSUs</w:t>
      </w:r>
    </w:p>
    <w:p>
      <w:pPr>
        <w:spacing w:after="0" w:line="2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RSUs are valued at the market price of the underlying stock, discounted by foregone dividends, on the date of grant. Substantially all of the RSUs granted vest over a three-year term or, if earlier, upon the retirement eligibility date of the holder.</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RSU activity for the years ended November 30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160" w:type="dxa"/>
            <w:vAlign w:val="bottom"/>
            <w:tcBorders>
              <w:top w:val="single" w:sz="8" w:color="00539B"/>
              <w:bottom w:val="single" w:sz="8" w:color="00539B"/>
            </w:tcBorders>
          </w:tcPr>
          <w:p>
            <w:pPr>
              <w:ind w:left="20"/>
              <w:spacing w:after="0"/>
              <w:rPr>
                <w:sz w:val="20"/>
                <w:szCs w:val="20"/>
                <w:color w:val="auto"/>
              </w:rPr>
            </w:pPr>
            <w:r>
              <w:rPr>
                <w:rFonts w:ascii="Arial" w:cs="Arial" w:eastAsia="Arial" w:hAnsi="Arial"/>
                <w:sz w:val="14"/>
                <w:szCs w:val="14"/>
                <w:color w:val="auto"/>
              </w:rPr>
              <w:t>(shares in thousands)</w:t>
            </w:r>
          </w:p>
        </w:tc>
        <w:tc>
          <w:tcPr>
            <w:tcW w:w="820" w:type="dxa"/>
            <w:vAlign w:val="bottom"/>
            <w:tcBorders>
              <w:top w:val="single" w:sz="8" w:color="00539B"/>
              <w:bottom w:val="single" w:sz="8" w:color="00539B"/>
            </w:tcBorders>
            <w:shd w:val="clear" w:color="auto" w:fill="E0E3F1"/>
          </w:tcPr>
          <w:p>
            <w:pPr>
              <w:spacing w:after="0"/>
              <w:rPr>
                <w:sz w:val="19"/>
                <w:szCs w:val="19"/>
                <w:color w:val="auto"/>
              </w:rPr>
            </w:pPr>
          </w:p>
        </w:tc>
        <w:tc>
          <w:tcPr>
            <w:tcW w:w="520" w:type="dxa"/>
            <w:vAlign w:val="bottom"/>
            <w:tcBorders>
              <w:top w:val="single" w:sz="8" w:color="00539B"/>
              <w:bottom w:val="single" w:sz="8" w:color="00539B"/>
            </w:tcBorders>
            <w:gridSpan w:val="2"/>
            <w:shd w:val="clear" w:color="auto" w:fill="E0E3F1"/>
          </w:tcPr>
          <w:p>
            <w:pPr>
              <w:jc w:val="right"/>
              <w:spacing w:after="0"/>
              <w:rPr>
                <w:sz w:val="20"/>
                <w:szCs w:val="20"/>
                <w:color w:val="auto"/>
              </w:rPr>
            </w:pPr>
            <w:r>
              <w:rPr>
                <w:rFonts w:ascii="Arial" w:cs="Arial" w:eastAsia="Arial" w:hAnsi="Arial"/>
                <w:sz w:val="14"/>
                <w:szCs w:val="14"/>
                <w:color w:val="auto"/>
              </w:rPr>
              <w:t>2025</w:t>
            </w:r>
          </w:p>
        </w:tc>
        <w:tc>
          <w:tcPr>
            <w:tcW w:w="1020" w:type="dxa"/>
            <w:vAlign w:val="bottom"/>
            <w:tcBorders>
              <w:top w:val="single" w:sz="8" w:color="00539B"/>
              <w:bottom w:val="single" w:sz="8" w:color="00539B"/>
            </w:tcBorders>
            <w:shd w:val="clear" w:color="auto" w:fill="E0E3F1"/>
          </w:tcPr>
          <w:p>
            <w:pPr>
              <w:spacing w:after="0"/>
              <w:rPr>
                <w:sz w:val="19"/>
                <w:szCs w:val="19"/>
                <w:color w:val="auto"/>
              </w:rPr>
            </w:pPr>
          </w:p>
        </w:tc>
        <w:tc>
          <w:tcPr>
            <w:tcW w:w="1380" w:type="dxa"/>
            <w:vAlign w:val="bottom"/>
            <w:tcBorders>
              <w:top w:val="single" w:sz="8" w:color="00539B"/>
              <w:bottom w:val="single" w:sz="8" w:color="00539B"/>
            </w:tcBorders>
            <w:gridSpan w:val="2"/>
          </w:tcPr>
          <w:p>
            <w:pPr>
              <w:jc w:val="right"/>
              <w:spacing w:after="0"/>
              <w:rPr>
                <w:sz w:val="20"/>
                <w:szCs w:val="20"/>
                <w:color w:val="auto"/>
              </w:rPr>
            </w:pPr>
            <w:r>
              <w:rPr>
                <w:rFonts w:ascii="Arial" w:cs="Arial" w:eastAsia="Arial" w:hAnsi="Arial"/>
                <w:sz w:val="14"/>
                <w:szCs w:val="14"/>
                <w:color w:val="auto"/>
              </w:rPr>
              <w:t>2024</w:t>
            </w:r>
          </w:p>
        </w:tc>
        <w:tc>
          <w:tcPr>
            <w:tcW w:w="1120" w:type="dxa"/>
            <w:vAlign w:val="bottom"/>
            <w:tcBorders>
              <w:top w:val="single" w:sz="8" w:color="00539B"/>
              <w:bottom w:val="single" w:sz="8" w:color="00539B"/>
            </w:tcBorders>
          </w:tcPr>
          <w:p>
            <w:pPr>
              <w:spacing w:after="0"/>
              <w:rPr>
                <w:sz w:val="19"/>
                <w:szCs w:val="19"/>
                <w:color w:val="auto"/>
              </w:rPr>
            </w:pPr>
          </w:p>
        </w:tc>
        <w:tc>
          <w:tcPr>
            <w:tcW w:w="1240" w:type="dxa"/>
            <w:vAlign w:val="bottom"/>
            <w:tcBorders>
              <w:top w:val="single" w:sz="8" w:color="00539B"/>
              <w:bottom w:val="single" w:sz="8" w:color="00539B"/>
            </w:tcBorders>
            <w:gridSpan w:val="2"/>
          </w:tcPr>
          <w:p>
            <w:pPr>
              <w:jc w:val="right"/>
              <w:spacing w:after="0"/>
              <w:rPr>
                <w:sz w:val="20"/>
                <w:szCs w:val="20"/>
                <w:color w:val="auto"/>
              </w:rPr>
            </w:pPr>
            <w:r>
              <w:rPr>
                <w:rFonts w:ascii="Arial" w:cs="Arial" w:eastAsia="Arial" w:hAnsi="Arial"/>
                <w:sz w:val="14"/>
                <w:szCs w:val="14"/>
                <w:color w:val="auto"/>
              </w:rPr>
              <w:t>2023</w:t>
            </w:r>
          </w:p>
        </w:tc>
        <w:tc>
          <w:tcPr>
            <w:tcW w:w="980" w:type="dxa"/>
            <w:vAlign w:val="bottom"/>
            <w:tcBorders>
              <w:top w:val="single" w:sz="8" w:color="00539B"/>
              <w:bottom w:val="single" w:sz="8" w:color="00539B"/>
            </w:tcBorders>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4160" w:type="dxa"/>
            <w:vAlign w:val="bottom"/>
          </w:tcPr>
          <w:p>
            <w:pPr>
              <w:spacing w:after="0"/>
              <w:rPr>
                <w:sz w:val="12"/>
                <w:szCs w:val="12"/>
                <w:color w:val="auto"/>
              </w:rPr>
            </w:pPr>
          </w:p>
        </w:tc>
        <w:tc>
          <w:tcPr>
            <w:tcW w:w="820" w:type="dxa"/>
            <w:vAlign w:val="bottom"/>
            <w:shd w:val="clear" w:color="auto" w:fill="E0E3F1"/>
          </w:tcPr>
          <w:p>
            <w:pPr>
              <w:spacing w:after="0"/>
              <w:rPr>
                <w:sz w:val="12"/>
                <w:szCs w:val="12"/>
                <w:color w:val="auto"/>
              </w:rPr>
            </w:pPr>
          </w:p>
        </w:tc>
        <w:tc>
          <w:tcPr>
            <w:tcW w:w="350" w:type="dxa"/>
            <w:vAlign w:val="bottom"/>
            <w:shd w:val="clear" w:color="auto" w:fill="E0E3F1"/>
          </w:tcPr>
          <w:p>
            <w:pPr>
              <w:spacing w:after="0"/>
              <w:rPr>
                <w:sz w:val="12"/>
                <w:szCs w:val="12"/>
                <w:color w:val="auto"/>
              </w:rPr>
            </w:pPr>
          </w:p>
        </w:tc>
        <w:tc>
          <w:tcPr>
            <w:tcW w:w="170" w:type="dxa"/>
            <w:vAlign w:val="bottom"/>
            <w:shd w:val="clear" w:color="auto" w:fill="E0E3F1"/>
          </w:tcPr>
          <w:p>
            <w:pPr>
              <w:spacing w:after="0"/>
              <w:rPr>
                <w:sz w:val="12"/>
                <w:szCs w:val="12"/>
                <w:color w:val="auto"/>
              </w:rPr>
            </w:pPr>
          </w:p>
        </w:tc>
        <w:tc>
          <w:tcPr>
            <w:tcW w:w="1020" w:type="dxa"/>
            <w:vAlign w:val="bottom"/>
            <w:shd w:val="clear" w:color="auto" w:fill="E0E3F1"/>
          </w:tcPr>
          <w:p>
            <w:pPr>
              <w:jc w:val="center"/>
              <w:ind w:right="248"/>
              <w:spacing w:after="0" w:line="146" w:lineRule="exact"/>
              <w:rPr>
                <w:sz w:val="20"/>
                <w:szCs w:val="20"/>
                <w:color w:val="auto"/>
              </w:rPr>
            </w:pPr>
            <w:r>
              <w:rPr>
                <w:rFonts w:ascii="Arial" w:cs="Arial" w:eastAsia="Arial" w:hAnsi="Arial"/>
                <w:sz w:val="14"/>
                <w:szCs w:val="14"/>
                <w:color w:val="auto"/>
              </w:rPr>
              <w:t>Weighted-</w:t>
            </w: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268"/>
              <w:spacing w:after="0" w:line="146" w:lineRule="exact"/>
              <w:rPr>
                <w:sz w:val="20"/>
                <w:szCs w:val="20"/>
                <w:color w:val="auto"/>
              </w:rPr>
            </w:pPr>
            <w:r>
              <w:rPr>
                <w:rFonts w:ascii="Arial" w:cs="Arial" w:eastAsia="Arial" w:hAnsi="Arial"/>
                <w:sz w:val="14"/>
                <w:szCs w:val="14"/>
                <w:color w:val="auto"/>
              </w:rPr>
              <w:t>Weighted-</w:t>
            </w: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center"/>
              <w:ind w:right="128"/>
              <w:spacing w:after="0" w:line="146" w:lineRule="exact"/>
              <w:rPr>
                <w:sz w:val="20"/>
                <w:szCs w:val="20"/>
                <w:color w:val="auto"/>
              </w:rPr>
            </w:pPr>
            <w:r>
              <w:rPr>
                <w:rFonts w:ascii="Arial" w:cs="Arial" w:eastAsia="Arial" w:hAnsi="Arial"/>
                <w:sz w:val="14"/>
                <w:szCs w:val="14"/>
                <w:color w:val="auto"/>
              </w:rPr>
              <w:t>Weighted-</w:t>
            </w:r>
          </w:p>
        </w:tc>
        <w:tc>
          <w:tcPr>
            <w:tcW w:w="0" w:type="dxa"/>
            <w:vAlign w:val="bottom"/>
          </w:tcPr>
          <w:p>
            <w:pPr>
              <w:spacing w:after="0"/>
              <w:rPr>
                <w:sz w:val="1"/>
                <w:szCs w:val="1"/>
                <w:color w:val="auto"/>
              </w:rPr>
            </w:pPr>
          </w:p>
        </w:tc>
      </w:tr>
      <w:tr>
        <w:trPr>
          <w:trHeight w:val="139"/>
        </w:trPr>
        <w:tc>
          <w:tcPr>
            <w:tcW w:w="4160" w:type="dxa"/>
            <w:vAlign w:val="bottom"/>
          </w:tcPr>
          <w:p>
            <w:pPr>
              <w:spacing w:after="0"/>
              <w:rPr>
                <w:sz w:val="12"/>
                <w:szCs w:val="12"/>
                <w:color w:val="auto"/>
              </w:rPr>
            </w:pPr>
          </w:p>
        </w:tc>
        <w:tc>
          <w:tcPr>
            <w:tcW w:w="820" w:type="dxa"/>
            <w:vAlign w:val="bottom"/>
            <w:vMerge w:val="restart"/>
            <w:shd w:val="clear" w:color="auto" w:fill="E0E3F1"/>
          </w:tcPr>
          <w:p>
            <w:pPr>
              <w:ind w:left="360"/>
              <w:spacing w:after="0"/>
              <w:rPr>
                <w:sz w:val="20"/>
                <w:szCs w:val="20"/>
                <w:color w:val="auto"/>
              </w:rPr>
            </w:pPr>
            <w:r>
              <w:rPr>
                <w:rFonts w:ascii="Arial" w:cs="Arial" w:eastAsia="Arial" w:hAnsi="Arial"/>
                <w:sz w:val="14"/>
                <w:szCs w:val="14"/>
                <w:color w:val="auto"/>
                <w:w w:val="99"/>
              </w:rPr>
              <w:t>Shares</w:t>
            </w:r>
          </w:p>
        </w:tc>
        <w:tc>
          <w:tcPr>
            <w:tcW w:w="350" w:type="dxa"/>
            <w:vAlign w:val="bottom"/>
            <w:shd w:val="clear" w:color="auto" w:fill="E0E3F1"/>
          </w:tcPr>
          <w:p>
            <w:pPr>
              <w:spacing w:after="0"/>
              <w:rPr>
                <w:sz w:val="12"/>
                <w:szCs w:val="12"/>
                <w:color w:val="auto"/>
              </w:rPr>
            </w:pPr>
          </w:p>
        </w:tc>
        <w:tc>
          <w:tcPr>
            <w:tcW w:w="170" w:type="dxa"/>
            <w:vAlign w:val="bottom"/>
            <w:shd w:val="clear" w:color="auto" w:fill="E0E3F1"/>
          </w:tcPr>
          <w:p>
            <w:pPr>
              <w:spacing w:after="0"/>
              <w:rPr>
                <w:sz w:val="12"/>
                <w:szCs w:val="12"/>
                <w:color w:val="auto"/>
              </w:rPr>
            </w:pPr>
          </w:p>
        </w:tc>
        <w:tc>
          <w:tcPr>
            <w:tcW w:w="1020" w:type="dxa"/>
            <w:vAlign w:val="bottom"/>
            <w:shd w:val="clear" w:color="auto" w:fill="E0E3F1"/>
          </w:tcPr>
          <w:p>
            <w:pPr>
              <w:jc w:val="center"/>
              <w:ind w:right="268"/>
              <w:spacing w:after="0" w:line="139" w:lineRule="exact"/>
              <w:rPr>
                <w:sz w:val="20"/>
                <w:szCs w:val="20"/>
                <w:color w:val="auto"/>
              </w:rPr>
            </w:pPr>
            <w:r>
              <w:rPr>
                <w:rFonts w:ascii="Arial" w:cs="Arial" w:eastAsia="Arial" w:hAnsi="Arial"/>
                <w:sz w:val="14"/>
                <w:szCs w:val="14"/>
                <w:color w:val="auto"/>
              </w:rPr>
              <w:t>average</w:t>
            </w:r>
          </w:p>
        </w:tc>
        <w:tc>
          <w:tcPr>
            <w:tcW w:w="1160" w:type="dxa"/>
            <w:vAlign w:val="bottom"/>
            <w:vMerge w:val="restart"/>
          </w:tcPr>
          <w:p>
            <w:pPr>
              <w:jc w:val="right"/>
              <w:ind w:right="268"/>
              <w:spacing w:after="0"/>
              <w:rPr>
                <w:sz w:val="20"/>
                <w:szCs w:val="20"/>
                <w:color w:val="auto"/>
              </w:rPr>
            </w:pPr>
            <w:r>
              <w:rPr>
                <w:rFonts w:ascii="Arial" w:cs="Arial" w:eastAsia="Arial" w:hAnsi="Arial"/>
                <w:sz w:val="14"/>
                <w:szCs w:val="14"/>
                <w:color w:val="auto"/>
              </w:rPr>
              <w:t>Shares</w:t>
            </w:r>
          </w:p>
        </w:tc>
        <w:tc>
          <w:tcPr>
            <w:tcW w:w="220" w:type="dxa"/>
            <w:vAlign w:val="bottom"/>
          </w:tcPr>
          <w:p>
            <w:pPr>
              <w:spacing w:after="0"/>
              <w:rPr>
                <w:sz w:val="12"/>
                <w:szCs w:val="12"/>
                <w:color w:val="auto"/>
              </w:rPr>
            </w:pPr>
          </w:p>
        </w:tc>
        <w:tc>
          <w:tcPr>
            <w:tcW w:w="1120" w:type="dxa"/>
            <w:vAlign w:val="bottom"/>
          </w:tcPr>
          <w:p>
            <w:pPr>
              <w:jc w:val="center"/>
              <w:ind w:right="288"/>
              <w:spacing w:after="0" w:line="139" w:lineRule="exact"/>
              <w:rPr>
                <w:sz w:val="20"/>
                <w:szCs w:val="20"/>
                <w:color w:val="auto"/>
              </w:rPr>
            </w:pPr>
            <w:r>
              <w:rPr>
                <w:rFonts w:ascii="Arial" w:cs="Arial" w:eastAsia="Arial" w:hAnsi="Arial"/>
                <w:sz w:val="14"/>
                <w:szCs w:val="14"/>
                <w:color w:val="auto"/>
              </w:rPr>
              <w:t>average</w:t>
            </w:r>
          </w:p>
        </w:tc>
        <w:tc>
          <w:tcPr>
            <w:tcW w:w="1020" w:type="dxa"/>
            <w:vAlign w:val="bottom"/>
            <w:vMerge w:val="restart"/>
          </w:tcPr>
          <w:p>
            <w:pPr>
              <w:jc w:val="right"/>
              <w:ind w:right="268"/>
              <w:spacing w:after="0"/>
              <w:rPr>
                <w:sz w:val="20"/>
                <w:szCs w:val="20"/>
                <w:color w:val="auto"/>
              </w:rPr>
            </w:pPr>
            <w:r>
              <w:rPr>
                <w:rFonts w:ascii="Arial" w:cs="Arial" w:eastAsia="Arial" w:hAnsi="Arial"/>
                <w:sz w:val="14"/>
                <w:szCs w:val="14"/>
                <w:color w:val="auto"/>
              </w:rPr>
              <w:t>Shares</w:t>
            </w:r>
          </w:p>
        </w:tc>
        <w:tc>
          <w:tcPr>
            <w:tcW w:w="220" w:type="dxa"/>
            <w:vAlign w:val="bottom"/>
          </w:tcPr>
          <w:p>
            <w:pPr>
              <w:spacing w:after="0"/>
              <w:rPr>
                <w:sz w:val="12"/>
                <w:szCs w:val="12"/>
                <w:color w:val="auto"/>
              </w:rPr>
            </w:pPr>
          </w:p>
        </w:tc>
        <w:tc>
          <w:tcPr>
            <w:tcW w:w="980" w:type="dxa"/>
            <w:vAlign w:val="bottom"/>
          </w:tcPr>
          <w:p>
            <w:pPr>
              <w:jc w:val="center"/>
              <w:ind w:right="148"/>
              <w:spacing w:after="0" w:line="139" w:lineRule="exact"/>
              <w:rPr>
                <w:sz w:val="20"/>
                <w:szCs w:val="20"/>
                <w:color w:val="auto"/>
              </w:rPr>
            </w:pPr>
            <w:r>
              <w:rPr>
                <w:rFonts w:ascii="Arial" w:cs="Arial" w:eastAsia="Arial" w:hAnsi="Arial"/>
                <w:sz w:val="14"/>
                <w:szCs w:val="14"/>
                <w:color w:val="auto"/>
              </w:rPr>
              <w:t>average</w:t>
            </w:r>
          </w:p>
        </w:tc>
        <w:tc>
          <w:tcPr>
            <w:tcW w:w="0" w:type="dxa"/>
            <w:vAlign w:val="bottom"/>
          </w:tcPr>
          <w:p>
            <w:pPr>
              <w:spacing w:after="0"/>
              <w:rPr>
                <w:sz w:val="1"/>
                <w:szCs w:val="1"/>
                <w:color w:val="auto"/>
              </w:rPr>
            </w:pPr>
          </w:p>
        </w:tc>
      </w:tr>
      <w:tr>
        <w:trPr>
          <w:trHeight w:val="194"/>
        </w:trPr>
        <w:tc>
          <w:tcPr>
            <w:tcW w:w="4160" w:type="dxa"/>
            <w:vAlign w:val="bottom"/>
            <w:tcBorders>
              <w:bottom w:val="single" w:sz="8" w:color="00539B"/>
            </w:tcBorders>
          </w:tcPr>
          <w:p>
            <w:pPr>
              <w:spacing w:after="0"/>
              <w:rPr>
                <w:sz w:val="16"/>
                <w:szCs w:val="16"/>
                <w:color w:val="auto"/>
              </w:rPr>
            </w:pPr>
          </w:p>
        </w:tc>
        <w:tc>
          <w:tcPr>
            <w:tcW w:w="820" w:type="dxa"/>
            <w:vAlign w:val="bottom"/>
            <w:tcBorders>
              <w:bottom w:val="single" w:sz="8" w:color="00539B"/>
            </w:tcBorders>
            <w:vMerge w:val="continue"/>
            <w:shd w:val="clear" w:color="auto" w:fill="E0E3F1"/>
          </w:tcPr>
          <w:p>
            <w:pPr>
              <w:spacing w:after="0"/>
              <w:rPr>
                <w:sz w:val="16"/>
                <w:szCs w:val="16"/>
                <w:color w:val="auto"/>
              </w:rPr>
            </w:pPr>
          </w:p>
        </w:tc>
        <w:tc>
          <w:tcPr>
            <w:tcW w:w="350" w:type="dxa"/>
            <w:vAlign w:val="bottom"/>
            <w:tcBorders>
              <w:bottom w:val="single" w:sz="8" w:color="00539B"/>
            </w:tcBorders>
            <w:shd w:val="clear" w:color="auto" w:fill="E0E3F1"/>
          </w:tcPr>
          <w:p>
            <w:pPr>
              <w:spacing w:after="0"/>
              <w:rPr>
                <w:sz w:val="16"/>
                <w:szCs w:val="16"/>
                <w:color w:val="auto"/>
              </w:rPr>
            </w:pPr>
          </w:p>
        </w:tc>
        <w:tc>
          <w:tcPr>
            <w:tcW w:w="170" w:type="dxa"/>
            <w:vAlign w:val="bottom"/>
            <w:tcBorders>
              <w:bottom w:val="single" w:sz="8" w:color="00539B"/>
            </w:tcBorders>
            <w:shd w:val="clear" w:color="auto" w:fill="E0E3F1"/>
          </w:tcPr>
          <w:p>
            <w:pPr>
              <w:spacing w:after="0"/>
              <w:rPr>
                <w:sz w:val="16"/>
                <w:szCs w:val="16"/>
                <w:color w:val="auto"/>
              </w:rPr>
            </w:pPr>
          </w:p>
        </w:tc>
        <w:tc>
          <w:tcPr>
            <w:tcW w:w="1020" w:type="dxa"/>
            <w:vAlign w:val="bottom"/>
            <w:tcBorders>
              <w:bottom w:val="single" w:sz="8" w:color="00539B"/>
            </w:tcBorders>
            <w:shd w:val="clear" w:color="auto" w:fill="E0E3F1"/>
          </w:tcPr>
          <w:p>
            <w:pPr>
              <w:jc w:val="center"/>
              <w:ind w:right="248"/>
              <w:spacing w:after="0"/>
              <w:rPr>
                <w:sz w:val="20"/>
                <w:szCs w:val="20"/>
                <w:color w:val="auto"/>
              </w:rPr>
            </w:pPr>
            <w:r>
              <w:rPr>
                <w:rFonts w:ascii="Arial" w:cs="Arial" w:eastAsia="Arial" w:hAnsi="Arial"/>
                <w:sz w:val="14"/>
                <w:szCs w:val="14"/>
                <w:color w:val="auto"/>
                <w:w w:val="98"/>
              </w:rPr>
              <w:t>price</w:t>
            </w:r>
          </w:p>
        </w:tc>
        <w:tc>
          <w:tcPr>
            <w:tcW w:w="1160" w:type="dxa"/>
            <w:vAlign w:val="bottom"/>
            <w:tcBorders>
              <w:bottom w:val="single" w:sz="8" w:color="00539B"/>
            </w:tcBorders>
            <w:vMerge w:val="continue"/>
          </w:tcPr>
          <w:p>
            <w:pPr>
              <w:spacing w:after="0"/>
              <w:rPr>
                <w:sz w:val="16"/>
                <w:szCs w:val="16"/>
                <w:color w:val="auto"/>
              </w:rPr>
            </w:pPr>
          </w:p>
        </w:tc>
        <w:tc>
          <w:tcPr>
            <w:tcW w:w="220" w:type="dxa"/>
            <w:vAlign w:val="bottom"/>
            <w:tcBorders>
              <w:bottom w:val="single" w:sz="8" w:color="00539B"/>
            </w:tcBorders>
          </w:tcPr>
          <w:p>
            <w:pPr>
              <w:spacing w:after="0"/>
              <w:rPr>
                <w:sz w:val="16"/>
                <w:szCs w:val="16"/>
                <w:color w:val="auto"/>
              </w:rPr>
            </w:pPr>
          </w:p>
        </w:tc>
        <w:tc>
          <w:tcPr>
            <w:tcW w:w="1120" w:type="dxa"/>
            <w:vAlign w:val="bottom"/>
            <w:tcBorders>
              <w:bottom w:val="single" w:sz="8" w:color="00539B"/>
            </w:tcBorders>
          </w:tcPr>
          <w:p>
            <w:pPr>
              <w:jc w:val="center"/>
              <w:ind w:right="288"/>
              <w:spacing w:after="0"/>
              <w:rPr>
                <w:sz w:val="20"/>
                <w:szCs w:val="20"/>
                <w:color w:val="auto"/>
              </w:rPr>
            </w:pPr>
            <w:r>
              <w:rPr>
                <w:rFonts w:ascii="Arial" w:cs="Arial" w:eastAsia="Arial" w:hAnsi="Arial"/>
                <w:sz w:val="14"/>
                <w:szCs w:val="14"/>
                <w:color w:val="auto"/>
              </w:rPr>
              <w:t>price</w:t>
            </w:r>
          </w:p>
        </w:tc>
        <w:tc>
          <w:tcPr>
            <w:tcW w:w="1020" w:type="dxa"/>
            <w:vAlign w:val="bottom"/>
            <w:tcBorders>
              <w:bottom w:val="single" w:sz="8" w:color="00539B"/>
            </w:tcBorders>
            <w:vMerge w:val="continue"/>
          </w:tcPr>
          <w:p>
            <w:pPr>
              <w:spacing w:after="0"/>
              <w:rPr>
                <w:sz w:val="16"/>
                <w:szCs w:val="16"/>
                <w:color w:val="auto"/>
              </w:rPr>
            </w:pPr>
          </w:p>
        </w:tc>
        <w:tc>
          <w:tcPr>
            <w:tcW w:w="220" w:type="dxa"/>
            <w:vAlign w:val="bottom"/>
            <w:tcBorders>
              <w:bottom w:val="single" w:sz="8" w:color="00539B"/>
            </w:tcBorders>
          </w:tcPr>
          <w:p>
            <w:pPr>
              <w:spacing w:after="0"/>
              <w:rPr>
                <w:sz w:val="16"/>
                <w:szCs w:val="16"/>
                <w:color w:val="auto"/>
              </w:rPr>
            </w:pPr>
          </w:p>
        </w:tc>
        <w:tc>
          <w:tcPr>
            <w:tcW w:w="980" w:type="dxa"/>
            <w:vAlign w:val="bottom"/>
            <w:tcBorders>
              <w:bottom w:val="single" w:sz="8" w:color="00539B"/>
            </w:tcBorders>
          </w:tcPr>
          <w:p>
            <w:pPr>
              <w:jc w:val="center"/>
              <w:ind w:right="128"/>
              <w:spacing w:after="0"/>
              <w:rPr>
                <w:sz w:val="20"/>
                <w:szCs w:val="20"/>
                <w:color w:val="auto"/>
              </w:rPr>
            </w:pPr>
            <w:r>
              <w:rPr>
                <w:rFonts w:ascii="Arial" w:cs="Arial" w:eastAsia="Arial" w:hAnsi="Arial"/>
                <w:sz w:val="14"/>
                <w:szCs w:val="14"/>
                <w:color w:val="auto"/>
                <w:w w:val="98"/>
              </w:rPr>
              <w:t>price</w:t>
            </w:r>
          </w:p>
        </w:tc>
        <w:tc>
          <w:tcPr>
            <w:tcW w:w="0" w:type="dxa"/>
            <w:vAlign w:val="bottom"/>
          </w:tcPr>
          <w:p>
            <w:pPr>
              <w:spacing w:after="0"/>
              <w:rPr>
                <w:sz w:val="1"/>
                <w:szCs w:val="1"/>
                <w:color w:val="auto"/>
              </w:rPr>
            </w:pPr>
          </w:p>
        </w:tc>
      </w:tr>
      <w:tr>
        <w:trPr>
          <w:trHeight w:val="192"/>
        </w:trPr>
        <w:tc>
          <w:tcPr>
            <w:tcW w:w="4160" w:type="dxa"/>
            <w:vAlign w:val="bottom"/>
          </w:tcPr>
          <w:p>
            <w:pPr>
              <w:ind w:left="20"/>
              <w:spacing w:after="0"/>
              <w:rPr>
                <w:sz w:val="20"/>
                <w:szCs w:val="20"/>
                <w:color w:val="auto"/>
              </w:rPr>
            </w:pPr>
            <w:r>
              <w:rPr>
                <w:rFonts w:ascii="Arial" w:cs="Arial" w:eastAsia="Arial" w:hAnsi="Arial"/>
                <w:sz w:val="14"/>
                <w:szCs w:val="14"/>
                <w:color w:val="auto"/>
              </w:rPr>
              <w:t>Beginning of year</w:t>
            </w:r>
          </w:p>
        </w:tc>
        <w:tc>
          <w:tcPr>
            <w:tcW w:w="820" w:type="dxa"/>
            <w:vAlign w:val="bottom"/>
            <w:shd w:val="clear" w:color="auto" w:fill="E0E3F1"/>
          </w:tcPr>
          <w:p>
            <w:pPr>
              <w:spacing w:after="0"/>
              <w:rPr>
                <w:sz w:val="16"/>
                <w:szCs w:val="16"/>
                <w:color w:val="auto"/>
              </w:rPr>
            </w:pPr>
          </w:p>
        </w:tc>
        <w:tc>
          <w:tcPr>
            <w:tcW w:w="350" w:type="dxa"/>
            <w:vAlign w:val="bottom"/>
            <w:shd w:val="clear" w:color="auto" w:fill="E0E3F1"/>
          </w:tcPr>
          <w:p>
            <w:pPr>
              <w:jc w:val="right"/>
              <w:spacing w:after="0"/>
              <w:rPr>
                <w:sz w:val="20"/>
                <w:szCs w:val="20"/>
                <w:color w:val="auto"/>
              </w:rPr>
            </w:pPr>
            <w:r>
              <w:rPr>
                <w:rFonts w:ascii="Arial" w:cs="Arial" w:eastAsia="Arial" w:hAnsi="Arial"/>
                <w:sz w:val="14"/>
                <w:szCs w:val="14"/>
                <w:color w:val="auto"/>
              </w:rPr>
              <w:t>533</w:t>
            </w:r>
          </w:p>
        </w:tc>
        <w:tc>
          <w:tcPr>
            <w:tcW w:w="170" w:type="dxa"/>
            <w:vAlign w:val="bottom"/>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E0E3F1"/>
          </w:tcPr>
          <w:p>
            <w:pPr>
              <w:jc w:val="right"/>
              <w:ind w:right="8"/>
              <w:spacing w:after="0"/>
              <w:rPr>
                <w:sz w:val="20"/>
                <w:szCs w:val="20"/>
                <w:color w:val="auto"/>
              </w:rPr>
            </w:pPr>
            <w:r>
              <w:rPr>
                <w:rFonts w:ascii="Arial" w:cs="Arial" w:eastAsia="Arial" w:hAnsi="Arial"/>
                <w:sz w:val="14"/>
                <w:szCs w:val="14"/>
                <w:color w:val="auto"/>
              </w:rPr>
              <w:t>73.68</w:t>
            </w:r>
          </w:p>
        </w:tc>
        <w:tc>
          <w:tcPr>
            <w:tcW w:w="1160" w:type="dxa"/>
            <w:vAlign w:val="bottom"/>
          </w:tcPr>
          <w:p>
            <w:pPr>
              <w:jc w:val="right"/>
              <w:spacing w:after="0"/>
              <w:rPr>
                <w:sz w:val="20"/>
                <w:szCs w:val="20"/>
                <w:color w:val="auto"/>
              </w:rPr>
            </w:pPr>
            <w:r>
              <w:rPr>
                <w:rFonts w:ascii="Arial" w:cs="Arial" w:eastAsia="Arial" w:hAnsi="Arial"/>
                <w:sz w:val="14"/>
                <w:szCs w:val="14"/>
                <w:color w:val="auto"/>
              </w:rPr>
              <w:t>494</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76.94</w:t>
            </w:r>
          </w:p>
        </w:tc>
        <w:tc>
          <w:tcPr>
            <w:tcW w:w="1020" w:type="dxa"/>
            <w:vAlign w:val="bottom"/>
          </w:tcPr>
          <w:p>
            <w:pPr>
              <w:jc w:val="right"/>
              <w:spacing w:after="0"/>
              <w:rPr>
                <w:sz w:val="20"/>
                <w:szCs w:val="20"/>
                <w:color w:val="auto"/>
              </w:rPr>
            </w:pPr>
            <w:r>
              <w:rPr>
                <w:rFonts w:ascii="Arial" w:cs="Arial" w:eastAsia="Arial" w:hAnsi="Arial"/>
                <w:sz w:val="14"/>
                <w:szCs w:val="14"/>
                <w:color w:val="auto"/>
              </w:rPr>
              <w:t>480</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77.62</w:t>
            </w:r>
          </w:p>
        </w:tc>
        <w:tc>
          <w:tcPr>
            <w:tcW w:w="0" w:type="dxa"/>
            <w:vAlign w:val="bottom"/>
          </w:tcPr>
          <w:p>
            <w:pPr>
              <w:spacing w:after="0"/>
              <w:rPr>
                <w:sz w:val="1"/>
                <w:szCs w:val="1"/>
                <w:color w:val="auto"/>
              </w:rPr>
            </w:pPr>
          </w:p>
        </w:tc>
      </w:tr>
      <w:tr>
        <w:trPr>
          <w:trHeight w:val="203"/>
        </w:trPr>
        <w:tc>
          <w:tcPr>
            <w:tcW w:w="4160" w:type="dxa"/>
            <w:vAlign w:val="bottom"/>
          </w:tcPr>
          <w:p>
            <w:pPr>
              <w:ind w:left="20"/>
              <w:spacing w:after="0"/>
              <w:rPr>
                <w:sz w:val="20"/>
                <w:szCs w:val="20"/>
                <w:color w:val="auto"/>
              </w:rPr>
            </w:pPr>
            <w:r>
              <w:rPr>
                <w:rFonts w:ascii="Arial" w:cs="Arial" w:eastAsia="Arial" w:hAnsi="Arial"/>
                <w:sz w:val="14"/>
                <w:szCs w:val="14"/>
                <w:color w:val="auto"/>
              </w:rPr>
              <w:t>Granted</w:t>
            </w:r>
          </w:p>
        </w:tc>
        <w:tc>
          <w:tcPr>
            <w:tcW w:w="820" w:type="dxa"/>
            <w:vAlign w:val="bottom"/>
            <w:shd w:val="clear" w:color="auto" w:fill="E0E3F1"/>
          </w:tcPr>
          <w:p>
            <w:pPr>
              <w:spacing w:after="0"/>
              <w:rPr>
                <w:sz w:val="17"/>
                <w:szCs w:val="17"/>
                <w:color w:val="auto"/>
              </w:rPr>
            </w:pPr>
          </w:p>
        </w:tc>
        <w:tc>
          <w:tcPr>
            <w:tcW w:w="350" w:type="dxa"/>
            <w:vAlign w:val="bottom"/>
            <w:shd w:val="clear" w:color="auto" w:fill="E0E3F1"/>
          </w:tcPr>
          <w:p>
            <w:pPr>
              <w:jc w:val="right"/>
              <w:spacing w:after="0"/>
              <w:rPr>
                <w:sz w:val="20"/>
                <w:szCs w:val="20"/>
                <w:color w:val="auto"/>
              </w:rPr>
            </w:pPr>
            <w:r>
              <w:rPr>
                <w:rFonts w:ascii="Arial" w:cs="Arial" w:eastAsia="Arial" w:hAnsi="Arial"/>
                <w:sz w:val="14"/>
                <w:szCs w:val="14"/>
                <w:color w:val="auto"/>
              </w:rPr>
              <w:t>543</w:t>
            </w:r>
          </w:p>
        </w:tc>
        <w:tc>
          <w:tcPr>
            <w:tcW w:w="170" w:type="dxa"/>
            <w:vAlign w:val="bottom"/>
            <w:shd w:val="clear" w:color="auto" w:fill="E0E3F1"/>
          </w:tcPr>
          <w:p>
            <w:pPr>
              <w:spacing w:after="0"/>
              <w:rPr>
                <w:sz w:val="17"/>
                <w:szCs w:val="17"/>
                <w:color w:val="auto"/>
              </w:rPr>
            </w:pPr>
          </w:p>
        </w:tc>
        <w:tc>
          <w:tcPr>
            <w:tcW w:w="1020" w:type="dxa"/>
            <w:vAlign w:val="bottom"/>
            <w:shd w:val="clear" w:color="auto" w:fill="E0E3F1"/>
          </w:tcPr>
          <w:p>
            <w:pPr>
              <w:jc w:val="right"/>
              <w:ind w:right="8"/>
              <w:spacing w:after="0"/>
              <w:rPr>
                <w:sz w:val="20"/>
                <w:szCs w:val="20"/>
                <w:color w:val="auto"/>
              </w:rPr>
            </w:pPr>
            <w:r>
              <w:rPr>
                <w:rFonts w:ascii="Arial" w:cs="Arial" w:eastAsia="Arial" w:hAnsi="Arial"/>
                <w:sz w:val="14"/>
                <w:szCs w:val="14"/>
                <w:color w:val="auto"/>
              </w:rPr>
              <w:t>74.56</w:t>
            </w:r>
          </w:p>
        </w:tc>
        <w:tc>
          <w:tcPr>
            <w:tcW w:w="1160" w:type="dxa"/>
            <w:vAlign w:val="bottom"/>
          </w:tcPr>
          <w:p>
            <w:pPr>
              <w:jc w:val="right"/>
              <w:spacing w:after="0"/>
              <w:rPr>
                <w:sz w:val="20"/>
                <w:szCs w:val="20"/>
                <w:color w:val="auto"/>
              </w:rPr>
            </w:pPr>
            <w:r>
              <w:rPr>
                <w:rFonts w:ascii="Arial" w:cs="Arial" w:eastAsia="Arial" w:hAnsi="Arial"/>
                <w:sz w:val="14"/>
                <w:szCs w:val="14"/>
                <w:color w:val="auto"/>
              </w:rPr>
              <w:t>282</w:t>
            </w:r>
          </w:p>
        </w:tc>
        <w:tc>
          <w:tcPr>
            <w:tcW w:w="220" w:type="dxa"/>
            <w:vAlign w:val="bottom"/>
          </w:tcPr>
          <w:p>
            <w:pPr>
              <w:spacing w:after="0"/>
              <w:rPr>
                <w:sz w:val="17"/>
                <w:szCs w:val="17"/>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72.77</w:t>
            </w:r>
          </w:p>
        </w:tc>
        <w:tc>
          <w:tcPr>
            <w:tcW w:w="1020" w:type="dxa"/>
            <w:vAlign w:val="bottom"/>
          </w:tcPr>
          <w:p>
            <w:pPr>
              <w:jc w:val="right"/>
              <w:spacing w:after="0"/>
              <w:rPr>
                <w:sz w:val="20"/>
                <w:szCs w:val="20"/>
                <w:color w:val="auto"/>
              </w:rPr>
            </w:pPr>
            <w:r>
              <w:rPr>
                <w:rFonts w:ascii="Arial" w:cs="Arial" w:eastAsia="Arial" w:hAnsi="Arial"/>
                <w:sz w:val="14"/>
                <w:szCs w:val="14"/>
                <w:color w:val="auto"/>
              </w:rPr>
              <w:t>264</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77.53</w:t>
            </w:r>
          </w:p>
        </w:tc>
        <w:tc>
          <w:tcPr>
            <w:tcW w:w="0" w:type="dxa"/>
            <w:vAlign w:val="bottom"/>
          </w:tcPr>
          <w:p>
            <w:pPr>
              <w:spacing w:after="0"/>
              <w:rPr>
                <w:sz w:val="1"/>
                <w:szCs w:val="1"/>
                <w:color w:val="auto"/>
              </w:rPr>
            </w:pPr>
          </w:p>
        </w:tc>
      </w:tr>
      <w:tr>
        <w:trPr>
          <w:trHeight w:val="203"/>
        </w:trPr>
        <w:tc>
          <w:tcPr>
            <w:tcW w:w="4160" w:type="dxa"/>
            <w:vAlign w:val="bottom"/>
          </w:tcPr>
          <w:p>
            <w:pPr>
              <w:ind w:left="20"/>
              <w:spacing w:after="0"/>
              <w:rPr>
                <w:sz w:val="20"/>
                <w:szCs w:val="20"/>
                <w:color w:val="auto"/>
              </w:rPr>
            </w:pPr>
            <w:r>
              <w:rPr>
                <w:rFonts w:ascii="Arial" w:cs="Arial" w:eastAsia="Arial" w:hAnsi="Arial"/>
                <w:sz w:val="14"/>
                <w:szCs w:val="14"/>
                <w:color w:val="auto"/>
              </w:rPr>
              <w:t>Vested</w:t>
            </w:r>
          </w:p>
        </w:tc>
        <w:tc>
          <w:tcPr>
            <w:tcW w:w="820" w:type="dxa"/>
            <w:vAlign w:val="bottom"/>
            <w:shd w:val="clear" w:color="auto" w:fill="E0E3F1"/>
          </w:tcPr>
          <w:p>
            <w:pPr>
              <w:spacing w:after="0"/>
              <w:rPr>
                <w:sz w:val="17"/>
                <w:szCs w:val="17"/>
                <w:color w:val="auto"/>
              </w:rPr>
            </w:pPr>
          </w:p>
        </w:tc>
        <w:tc>
          <w:tcPr>
            <w:tcW w:w="350" w:type="dxa"/>
            <w:vAlign w:val="bottom"/>
            <w:shd w:val="clear" w:color="auto" w:fill="E0E3F1"/>
          </w:tcPr>
          <w:p>
            <w:pPr>
              <w:jc w:val="right"/>
              <w:spacing w:after="0"/>
              <w:rPr>
                <w:sz w:val="20"/>
                <w:szCs w:val="20"/>
                <w:color w:val="auto"/>
              </w:rPr>
            </w:pPr>
            <w:r>
              <w:rPr>
                <w:rFonts w:ascii="Arial" w:cs="Arial" w:eastAsia="Arial" w:hAnsi="Arial"/>
                <w:sz w:val="14"/>
                <w:szCs w:val="14"/>
                <w:color w:val="auto"/>
                <w:w w:val="97"/>
              </w:rPr>
              <w:t>(250)</w:t>
            </w:r>
          </w:p>
        </w:tc>
        <w:tc>
          <w:tcPr>
            <w:tcW w:w="170" w:type="dxa"/>
            <w:vAlign w:val="bottom"/>
            <w:shd w:val="clear" w:color="auto" w:fill="E0E3F1"/>
          </w:tcPr>
          <w:p>
            <w:pPr>
              <w:spacing w:after="0"/>
              <w:rPr>
                <w:sz w:val="17"/>
                <w:szCs w:val="17"/>
                <w:color w:val="auto"/>
              </w:rPr>
            </w:pPr>
          </w:p>
        </w:tc>
        <w:tc>
          <w:tcPr>
            <w:tcW w:w="1020" w:type="dxa"/>
            <w:vAlign w:val="bottom"/>
            <w:shd w:val="clear" w:color="auto" w:fill="E0E3F1"/>
          </w:tcPr>
          <w:p>
            <w:pPr>
              <w:jc w:val="right"/>
              <w:ind w:right="8"/>
              <w:spacing w:after="0"/>
              <w:rPr>
                <w:sz w:val="20"/>
                <w:szCs w:val="20"/>
                <w:color w:val="auto"/>
              </w:rPr>
            </w:pPr>
            <w:r>
              <w:rPr>
                <w:rFonts w:ascii="Arial" w:cs="Arial" w:eastAsia="Arial" w:hAnsi="Arial"/>
                <w:sz w:val="14"/>
                <w:szCs w:val="14"/>
                <w:color w:val="auto"/>
              </w:rPr>
              <w:t>77.11</w:t>
            </w:r>
          </w:p>
        </w:tc>
        <w:tc>
          <w:tcPr>
            <w:tcW w:w="1160" w:type="dxa"/>
            <w:vAlign w:val="bottom"/>
          </w:tcPr>
          <w:p>
            <w:pPr>
              <w:jc w:val="right"/>
              <w:spacing w:after="0"/>
              <w:rPr>
                <w:sz w:val="20"/>
                <w:szCs w:val="20"/>
                <w:color w:val="auto"/>
              </w:rPr>
            </w:pPr>
            <w:r>
              <w:rPr>
                <w:rFonts w:ascii="Arial" w:cs="Arial" w:eastAsia="Arial" w:hAnsi="Arial"/>
                <w:sz w:val="14"/>
                <w:szCs w:val="14"/>
                <w:color w:val="auto"/>
              </w:rPr>
              <w:t>(214)</w:t>
            </w:r>
          </w:p>
        </w:tc>
        <w:tc>
          <w:tcPr>
            <w:tcW w:w="220" w:type="dxa"/>
            <w:vAlign w:val="bottom"/>
          </w:tcPr>
          <w:p>
            <w:pPr>
              <w:spacing w:after="0"/>
              <w:rPr>
                <w:sz w:val="17"/>
                <w:szCs w:val="17"/>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79.13</w:t>
            </w:r>
          </w:p>
        </w:tc>
        <w:tc>
          <w:tcPr>
            <w:tcW w:w="1020" w:type="dxa"/>
            <w:vAlign w:val="bottom"/>
          </w:tcPr>
          <w:p>
            <w:pPr>
              <w:jc w:val="right"/>
              <w:spacing w:after="0"/>
              <w:rPr>
                <w:sz w:val="20"/>
                <w:szCs w:val="20"/>
                <w:color w:val="auto"/>
              </w:rPr>
            </w:pPr>
            <w:r>
              <w:rPr>
                <w:rFonts w:ascii="Arial" w:cs="Arial" w:eastAsia="Arial" w:hAnsi="Arial"/>
                <w:sz w:val="14"/>
                <w:szCs w:val="14"/>
                <w:color w:val="auto"/>
              </w:rPr>
              <w:t>(225)</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78.16</w:t>
            </w:r>
          </w:p>
        </w:tc>
        <w:tc>
          <w:tcPr>
            <w:tcW w:w="0" w:type="dxa"/>
            <w:vAlign w:val="bottom"/>
          </w:tcPr>
          <w:p>
            <w:pPr>
              <w:spacing w:after="0"/>
              <w:rPr>
                <w:sz w:val="1"/>
                <w:szCs w:val="1"/>
                <w:color w:val="auto"/>
              </w:rPr>
            </w:pPr>
          </w:p>
        </w:tc>
      </w:tr>
      <w:tr>
        <w:trPr>
          <w:trHeight w:val="207"/>
        </w:trPr>
        <w:tc>
          <w:tcPr>
            <w:tcW w:w="416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Forfeited</w:t>
            </w:r>
          </w:p>
        </w:tc>
        <w:tc>
          <w:tcPr>
            <w:tcW w:w="820" w:type="dxa"/>
            <w:vAlign w:val="bottom"/>
            <w:tcBorders>
              <w:bottom w:val="single" w:sz="8" w:color="00539B"/>
            </w:tcBorders>
            <w:shd w:val="clear" w:color="auto" w:fill="E0E3F1"/>
          </w:tcPr>
          <w:p>
            <w:pPr>
              <w:spacing w:after="0"/>
              <w:rPr>
                <w:sz w:val="17"/>
                <w:szCs w:val="17"/>
                <w:color w:val="auto"/>
              </w:rPr>
            </w:pPr>
          </w:p>
        </w:tc>
        <w:tc>
          <w:tcPr>
            <w:tcW w:w="35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(55)</w:t>
            </w:r>
          </w:p>
        </w:tc>
        <w:tc>
          <w:tcPr>
            <w:tcW w:w="170" w:type="dxa"/>
            <w:vAlign w:val="bottom"/>
            <w:tcBorders>
              <w:bottom w:val="single" w:sz="8" w:color="00539B"/>
            </w:tcBorders>
            <w:shd w:val="clear" w:color="auto" w:fill="E0E3F1"/>
          </w:tcPr>
          <w:p>
            <w:pPr>
              <w:spacing w:after="0"/>
              <w:rPr>
                <w:sz w:val="17"/>
                <w:szCs w:val="17"/>
                <w:color w:val="auto"/>
              </w:rPr>
            </w:pPr>
          </w:p>
        </w:tc>
        <w:tc>
          <w:tcPr>
            <w:tcW w:w="1020" w:type="dxa"/>
            <w:vAlign w:val="bottom"/>
            <w:tcBorders>
              <w:bottom w:val="single" w:sz="8" w:color="00539B"/>
            </w:tcBorders>
            <w:shd w:val="clear" w:color="auto" w:fill="E0E3F1"/>
          </w:tcPr>
          <w:p>
            <w:pPr>
              <w:jc w:val="right"/>
              <w:ind w:right="8"/>
              <w:spacing w:after="0"/>
              <w:rPr>
                <w:sz w:val="20"/>
                <w:szCs w:val="20"/>
                <w:color w:val="auto"/>
              </w:rPr>
            </w:pPr>
            <w:r>
              <w:rPr>
                <w:rFonts w:ascii="Arial" w:cs="Arial" w:eastAsia="Arial" w:hAnsi="Arial"/>
                <w:sz w:val="14"/>
                <w:szCs w:val="14"/>
                <w:color w:val="auto"/>
              </w:rPr>
              <w:t>74.63</w:t>
            </w:r>
          </w:p>
        </w:tc>
        <w:tc>
          <w:tcPr>
            <w:tcW w:w="116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(29)</w:t>
            </w:r>
          </w:p>
        </w:tc>
        <w:tc>
          <w:tcPr>
            <w:tcW w:w="220" w:type="dxa"/>
            <w:vAlign w:val="bottom"/>
            <w:tcBorders>
              <w:bottom w:val="single" w:sz="8" w:color="00539B"/>
            </w:tcBorders>
          </w:tcPr>
          <w:p>
            <w:pPr>
              <w:spacing w:after="0"/>
              <w:rPr>
                <w:sz w:val="17"/>
                <w:szCs w:val="17"/>
                <w:color w:val="auto"/>
              </w:rPr>
            </w:pPr>
          </w:p>
        </w:tc>
        <w:tc>
          <w:tcPr>
            <w:tcW w:w="1120" w:type="dxa"/>
            <w:vAlign w:val="bottom"/>
            <w:tcBorders>
              <w:bottom w:val="single" w:sz="8" w:color="00539B"/>
            </w:tcBorders>
          </w:tcPr>
          <w:p>
            <w:pPr>
              <w:jc w:val="right"/>
              <w:ind w:right="128"/>
              <w:spacing w:after="0"/>
              <w:rPr>
                <w:sz w:val="20"/>
                <w:szCs w:val="20"/>
                <w:color w:val="auto"/>
              </w:rPr>
            </w:pPr>
            <w:r>
              <w:rPr>
                <w:rFonts w:ascii="Arial" w:cs="Arial" w:eastAsia="Arial" w:hAnsi="Arial"/>
                <w:sz w:val="14"/>
                <w:szCs w:val="14"/>
                <w:color w:val="auto"/>
              </w:rPr>
              <w:t>79.73</w:t>
            </w:r>
          </w:p>
        </w:tc>
        <w:tc>
          <w:tcPr>
            <w:tcW w:w="102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(25)</w:t>
            </w:r>
          </w:p>
        </w:tc>
        <w:tc>
          <w:tcPr>
            <w:tcW w:w="220" w:type="dxa"/>
            <w:vAlign w:val="bottom"/>
            <w:tcBorders>
              <w:bottom w:val="single" w:sz="8" w:color="00539B"/>
            </w:tcBorders>
          </w:tcPr>
          <w:p>
            <w:pPr>
              <w:spacing w:after="0"/>
              <w:rPr>
                <w:sz w:val="17"/>
                <w:szCs w:val="17"/>
                <w:color w:val="auto"/>
              </w:rPr>
            </w:pPr>
          </w:p>
        </w:tc>
        <w:tc>
          <w:tcPr>
            <w:tcW w:w="98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85.21</w:t>
            </w:r>
          </w:p>
        </w:tc>
        <w:tc>
          <w:tcPr>
            <w:tcW w:w="0" w:type="dxa"/>
            <w:vAlign w:val="bottom"/>
          </w:tcPr>
          <w:p>
            <w:pPr>
              <w:spacing w:after="0"/>
              <w:rPr>
                <w:sz w:val="1"/>
                <w:szCs w:val="1"/>
                <w:color w:val="auto"/>
              </w:rPr>
            </w:pPr>
          </w:p>
        </w:tc>
      </w:tr>
      <w:tr>
        <w:trPr>
          <w:trHeight w:val="207"/>
        </w:trPr>
        <w:tc>
          <w:tcPr>
            <w:tcW w:w="416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Outstanding—end of year</w:t>
            </w:r>
          </w:p>
        </w:tc>
        <w:tc>
          <w:tcPr>
            <w:tcW w:w="820" w:type="dxa"/>
            <w:vAlign w:val="bottom"/>
            <w:tcBorders>
              <w:bottom w:val="single" w:sz="8" w:color="00539B"/>
            </w:tcBorders>
            <w:shd w:val="clear" w:color="auto" w:fill="E0E3F1"/>
          </w:tcPr>
          <w:p>
            <w:pPr>
              <w:spacing w:after="0"/>
              <w:rPr>
                <w:sz w:val="18"/>
                <w:szCs w:val="18"/>
                <w:color w:val="auto"/>
              </w:rPr>
            </w:pPr>
          </w:p>
        </w:tc>
        <w:tc>
          <w:tcPr>
            <w:tcW w:w="35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771</w:t>
            </w:r>
          </w:p>
        </w:tc>
        <w:tc>
          <w:tcPr>
            <w:tcW w:w="17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00539B"/>
            </w:tcBorders>
            <w:shd w:val="clear" w:color="auto" w:fill="E0E3F1"/>
          </w:tcPr>
          <w:p>
            <w:pPr>
              <w:jc w:val="right"/>
              <w:ind w:right="8"/>
              <w:spacing w:after="0"/>
              <w:rPr>
                <w:sz w:val="20"/>
                <w:szCs w:val="20"/>
                <w:color w:val="auto"/>
              </w:rPr>
            </w:pPr>
            <w:r>
              <w:rPr>
                <w:rFonts w:ascii="Arial" w:cs="Arial" w:eastAsia="Arial" w:hAnsi="Arial"/>
                <w:sz w:val="14"/>
                <w:szCs w:val="14"/>
                <w:color w:val="auto"/>
              </w:rPr>
              <w:t>73.11</w:t>
            </w:r>
          </w:p>
        </w:tc>
        <w:tc>
          <w:tcPr>
            <w:tcW w:w="116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533</w:t>
            </w:r>
          </w:p>
        </w:tc>
        <w:tc>
          <w:tcPr>
            <w:tcW w:w="220" w:type="dxa"/>
            <w:vAlign w:val="bottom"/>
            <w:tcBorders>
              <w:bottom w:val="single" w:sz="8" w:color="00539B"/>
            </w:tcBorders>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00539B"/>
            </w:tcBorders>
          </w:tcPr>
          <w:p>
            <w:pPr>
              <w:jc w:val="right"/>
              <w:ind w:right="128"/>
              <w:spacing w:after="0"/>
              <w:rPr>
                <w:sz w:val="20"/>
                <w:szCs w:val="20"/>
                <w:color w:val="auto"/>
              </w:rPr>
            </w:pPr>
            <w:r>
              <w:rPr>
                <w:rFonts w:ascii="Arial" w:cs="Arial" w:eastAsia="Arial" w:hAnsi="Arial"/>
                <w:sz w:val="14"/>
                <w:szCs w:val="14"/>
                <w:color w:val="auto"/>
              </w:rPr>
              <w:t>73.68</w:t>
            </w:r>
          </w:p>
        </w:tc>
        <w:tc>
          <w:tcPr>
            <w:tcW w:w="102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494</w:t>
            </w:r>
          </w:p>
        </w:tc>
        <w:tc>
          <w:tcPr>
            <w:tcW w:w="220" w:type="dxa"/>
            <w:vAlign w:val="bottom"/>
            <w:tcBorders>
              <w:bottom w:val="single" w:sz="8" w:color="00539B"/>
            </w:tcBorders>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76.94</w:t>
            </w: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00539B"/>
        </w:rPr>
        <w:t>Stock Options (Other than Price-Vested Stock Options)</w:t>
      </w:r>
    </w:p>
    <w:p>
      <w:pPr>
        <w:spacing w:after="0" w:line="117"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Stock options are granted with an exercise price equal to the market price of the stock on the date of grant. Substantially all of the options, with the exception of price-vested options detailed below, vest ratably over a three-year period or, if earlier, upon the retirement-eligibility dates of the holders and are exercisable over a 10-year period. Upon exercise of the option, shares are issued from our authorized and unissued shares.</w:t>
      </w:r>
    </w:p>
    <w:p>
      <w:pPr>
        <w:spacing w:after="0" w:line="12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fair value of the options is estimated with a lattice option pricing model which uses the assumptions in the following table. We believe the lattice model provides an appropriate estimate of fair value of our options as it allows for a range of possible outcomes over an option term and can be adjusted for changes in certain assumptions over time. Expected volatilities are based primarily on the historical performance of our stock. We also use historical data to estimate the timing and amount of option exercises and forfeitures within the valuation model. The expected term of the options is an output of the option pricing model and estimates the period of time that options are expected to remain unexercised. The risk-free interest rate is based on the U.S. Treasury yield curve in effect at the time of grant. Compensation expense is calculated based on the fair value of the options on the date of grant.</w:t>
      </w:r>
    </w:p>
    <w:p>
      <w:pPr>
        <w:spacing w:after="0" w:line="1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per share weighted-average fair value for all options granted was $17.63 and $19.35 in 2024 and 2023, respectively. No stock option awards were granted during 2025. These fair values were computed using the following range of assumptions for the years ended</w:t>
      </w:r>
    </w:p>
    <w:tbl>
      <w:tblPr>
        <w:tblLayout w:type="fixed"/>
        <w:tblInd w:w="0" w:type="dxa"/>
        <w:tblCellMar>
          <w:top w:w="0" w:type="dxa"/>
          <w:left w:w="0" w:type="dxa"/>
          <w:bottom w:w="0" w:type="dxa"/>
          <w:right w:w="0" w:type="dxa"/>
        </w:tblCellMar>
      </w:tblPr>
      <w:tr>
        <w:trPr>
          <w:trHeight w:val="206"/>
        </w:trPr>
        <w:tc>
          <w:tcPr>
            <w:tcW w:w="1140" w:type="dxa"/>
            <w:vAlign w:val="bottom"/>
          </w:tcPr>
          <w:p>
            <w:pPr>
              <w:spacing w:after="0"/>
              <w:rPr>
                <w:sz w:val="17"/>
                <w:szCs w:val="17"/>
                <w:color w:val="auto"/>
              </w:rPr>
            </w:pPr>
          </w:p>
        </w:tc>
        <w:tc>
          <w:tcPr>
            <w:tcW w:w="4240" w:type="dxa"/>
            <w:vAlign w:val="bottom"/>
            <w:tcBorders>
              <w:top w:val="single" w:sz="8" w:color="00539B"/>
              <w:bottom w:val="single" w:sz="8" w:color="00539B"/>
            </w:tcBorders>
          </w:tcPr>
          <w:p>
            <w:pPr>
              <w:spacing w:after="0"/>
              <w:rPr>
                <w:sz w:val="17"/>
                <w:szCs w:val="17"/>
                <w:color w:val="auto"/>
              </w:rPr>
            </w:pPr>
          </w:p>
        </w:tc>
        <w:tc>
          <w:tcPr>
            <w:tcW w:w="4100" w:type="dxa"/>
            <w:vAlign w:val="bottom"/>
            <w:tcBorders>
              <w:top w:val="single" w:sz="8" w:color="00539B"/>
              <w:bottom w:val="single" w:sz="8" w:color="00539B"/>
            </w:tcBorders>
          </w:tcPr>
          <w:p>
            <w:pPr>
              <w:jc w:val="right"/>
              <w:ind w:right="928"/>
              <w:spacing w:after="0"/>
              <w:rPr>
                <w:sz w:val="20"/>
                <w:szCs w:val="20"/>
                <w:color w:val="auto"/>
              </w:rPr>
            </w:pPr>
            <w:r>
              <w:rPr>
                <w:rFonts w:ascii="Arial" w:cs="Arial" w:eastAsia="Arial" w:hAnsi="Arial"/>
                <w:sz w:val="14"/>
                <w:szCs w:val="14"/>
                <w:color w:val="auto"/>
              </w:rPr>
              <w:t>2024</w:t>
            </w:r>
          </w:p>
        </w:tc>
        <w:tc>
          <w:tcPr>
            <w:tcW w:w="1340" w:type="dxa"/>
            <w:vAlign w:val="bottom"/>
            <w:tcBorders>
              <w:top w:val="single" w:sz="8" w:color="00539B"/>
              <w:bottom w:val="single" w:sz="8" w:color="00539B"/>
            </w:tcBorders>
          </w:tcPr>
          <w:p>
            <w:pPr>
              <w:jc w:val="right"/>
              <w:ind w:right="608"/>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192"/>
        </w:trPr>
        <w:tc>
          <w:tcPr>
            <w:tcW w:w="1140" w:type="dxa"/>
            <w:vAlign w:val="bottom"/>
          </w:tcPr>
          <w:p>
            <w:pPr>
              <w:spacing w:after="0"/>
              <w:rPr>
                <w:sz w:val="16"/>
                <w:szCs w:val="16"/>
                <w:color w:val="auto"/>
              </w:rPr>
            </w:pPr>
          </w:p>
        </w:tc>
        <w:tc>
          <w:tcPr>
            <w:tcW w:w="4240" w:type="dxa"/>
            <w:vAlign w:val="bottom"/>
          </w:tcPr>
          <w:p>
            <w:pPr>
              <w:ind w:left="20"/>
              <w:spacing w:after="0"/>
              <w:rPr>
                <w:sz w:val="20"/>
                <w:szCs w:val="20"/>
                <w:color w:val="auto"/>
              </w:rPr>
            </w:pPr>
            <w:r>
              <w:rPr>
                <w:rFonts w:ascii="Arial" w:cs="Arial" w:eastAsia="Arial" w:hAnsi="Arial"/>
                <w:sz w:val="14"/>
                <w:szCs w:val="14"/>
                <w:color w:val="auto"/>
              </w:rPr>
              <w:t>Risk-free interest rates</w:t>
            </w:r>
          </w:p>
        </w:tc>
        <w:tc>
          <w:tcPr>
            <w:tcW w:w="4100" w:type="dxa"/>
            <w:vAlign w:val="bottom"/>
          </w:tcPr>
          <w:p>
            <w:pPr>
              <w:jc w:val="right"/>
              <w:ind w:right="268"/>
              <w:spacing w:after="0"/>
              <w:rPr>
                <w:sz w:val="20"/>
                <w:szCs w:val="20"/>
                <w:color w:val="auto"/>
              </w:rPr>
            </w:pPr>
            <w:r>
              <w:rPr>
                <w:rFonts w:ascii="Arial" w:cs="Arial" w:eastAsia="Arial" w:hAnsi="Arial"/>
                <w:sz w:val="14"/>
                <w:szCs w:val="14"/>
                <w:color w:val="auto"/>
              </w:rPr>
              <w:t>4.1% - 5.5%</w:t>
            </w:r>
          </w:p>
        </w:tc>
        <w:tc>
          <w:tcPr>
            <w:tcW w:w="1340" w:type="dxa"/>
            <w:vAlign w:val="bottom"/>
          </w:tcPr>
          <w:p>
            <w:pPr>
              <w:jc w:val="right"/>
              <w:spacing w:after="0"/>
              <w:rPr>
                <w:sz w:val="20"/>
                <w:szCs w:val="20"/>
                <w:color w:val="auto"/>
              </w:rPr>
            </w:pPr>
            <w:r>
              <w:rPr>
                <w:rFonts w:ascii="Arial" w:cs="Arial" w:eastAsia="Arial" w:hAnsi="Arial"/>
                <w:sz w:val="14"/>
                <w:szCs w:val="14"/>
                <w:color w:val="auto"/>
              </w:rPr>
              <w:t>3.5% - 4.9%</w:t>
            </w: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240" w:type="dxa"/>
            <w:vAlign w:val="bottom"/>
          </w:tcPr>
          <w:p>
            <w:pPr>
              <w:ind w:left="20"/>
              <w:spacing w:after="0"/>
              <w:rPr>
                <w:sz w:val="20"/>
                <w:szCs w:val="20"/>
                <w:color w:val="auto"/>
              </w:rPr>
            </w:pPr>
            <w:r>
              <w:rPr>
                <w:rFonts w:ascii="Arial" w:cs="Arial" w:eastAsia="Arial" w:hAnsi="Arial"/>
                <w:sz w:val="14"/>
                <w:szCs w:val="14"/>
                <w:color w:val="auto"/>
              </w:rPr>
              <w:t>Dividend yield</w:t>
            </w:r>
          </w:p>
        </w:tc>
        <w:tc>
          <w:tcPr>
            <w:tcW w:w="4100" w:type="dxa"/>
            <w:vAlign w:val="bottom"/>
          </w:tcPr>
          <w:p>
            <w:pPr>
              <w:jc w:val="right"/>
              <w:ind w:right="268"/>
              <w:spacing w:after="0"/>
              <w:rPr>
                <w:sz w:val="20"/>
                <w:szCs w:val="20"/>
                <w:color w:val="auto"/>
              </w:rPr>
            </w:pPr>
            <w:r>
              <w:rPr>
                <w:rFonts w:ascii="Arial" w:cs="Arial" w:eastAsia="Arial" w:hAnsi="Arial"/>
                <w:sz w:val="14"/>
                <w:szCs w:val="14"/>
                <w:color w:val="auto"/>
              </w:rPr>
              <w:t>2.3 %</w:t>
            </w:r>
          </w:p>
        </w:tc>
        <w:tc>
          <w:tcPr>
            <w:tcW w:w="1340" w:type="dxa"/>
            <w:vAlign w:val="bottom"/>
          </w:tcPr>
          <w:p>
            <w:pPr>
              <w:jc w:val="right"/>
              <w:spacing w:after="0"/>
              <w:rPr>
                <w:sz w:val="20"/>
                <w:szCs w:val="20"/>
                <w:color w:val="auto"/>
              </w:rPr>
            </w:pPr>
            <w:r>
              <w:rPr>
                <w:rFonts w:ascii="Arial" w:cs="Arial" w:eastAsia="Arial" w:hAnsi="Arial"/>
                <w:sz w:val="14"/>
                <w:szCs w:val="14"/>
                <w:color w:val="auto"/>
              </w:rPr>
              <w:t>1.9 %</w:t>
            </w: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240" w:type="dxa"/>
            <w:vAlign w:val="bottom"/>
          </w:tcPr>
          <w:p>
            <w:pPr>
              <w:ind w:left="20"/>
              <w:spacing w:after="0"/>
              <w:rPr>
                <w:sz w:val="20"/>
                <w:szCs w:val="20"/>
                <w:color w:val="auto"/>
              </w:rPr>
            </w:pPr>
            <w:r>
              <w:rPr>
                <w:rFonts w:ascii="Arial" w:cs="Arial" w:eastAsia="Arial" w:hAnsi="Arial"/>
                <w:sz w:val="14"/>
                <w:szCs w:val="14"/>
                <w:color w:val="auto"/>
              </w:rPr>
              <w:t>Expected volatility</w:t>
            </w:r>
          </w:p>
        </w:tc>
        <w:tc>
          <w:tcPr>
            <w:tcW w:w="4100" w:type="dxa"/>
            <w:vAlign w:val="bottom"/>
          </w:tcPr>
          <w:p>
            <w:pPr>
              <w:jc w:val="right"/>
              <w:ind w:right="268"/>
              <w:spacing w:after="0"/>
              <w:rPr>
                <w:sz w:val="20"/>
                <w:szCs w:val="20"/>
                <w:color w:val="auto"/>
              </w:rPr>
            </w:pPr>
            <w:r>
              <w:rPr>
                <w:rFonts w:ascii="Arial" w:cs="Arial" w:eastAsia="Arial" w:hAnsi="Arial"/>
                <w:sz w:val="14"/>
                <w:szCs w:val="14"/>
                <w:color w:val="auto"/>
              </w:rPr>
              <w:t>22.8 %</w:t>
            </w:r>
          </w:p>
        </w:tc>
        <w:tc>
          <w:tcPr>
            <w:tcW w:w="1340" w:type="dxa"/>
            <w:vAlign w:val="bottom"/>
          </w:tcPr>
          <w:p>
            <w:pPr>
              <w:jc w:val="right"/>
              <w:spacing w:after="0"/>
              <w:rPr>
                <w:sz w:val="20"/>
                <w:szCs w:val="20"/>
                <w:color w:val="auto"/>
              </w:rPr>
            </w:pPr>
            <w:r>
              <w:rPr>
                <w:rFonts w:ascii="Arial" w:cs="Arial" w:eastAsia="Arial" w:hAnsi="Arial"/>
                <w:sz w:val="14"/>
                <w:szCs w:val="14"/>
                <w:color w:val="auto"/>
              </w:rPr>
              <w:t>21.8 %</w:t>
            </w:r>
          </w:p>
        </w:tc>
        <w:tc>
          <w:tcPr>
            <w:tcW w:w="0" w:type="dxa"/>
            <w:vAlign w:val="bottom"/>
          </w:tcPr>
          <w:p>
            <w:pPr>
              <w:spacing w:after="0"/>
              <w:rPr>
                <w:sz w:val="1"/>
                <w:szCs w:val="1"/>
                <w:color w:val="auto"/>
              </w:rPr>
            </w:pPr>
          </w:p>
        </w:tc>
      </w:tr>
      <w:tr>
        <w:trPr>
          <w:trHeight w:val="218"/>
        </w:trPr>
        <w:tc>
          <w:tcPr>
            <w:tcW w:w="1140" w:type="dxa"/>
            <w:vAlign w:val="bottom"/>
            <w:vMerge w:val="restart"/>
          </w:tcPr>
          <w:p>
            <w:pPr>
              <w:spacing w:after="0"/>
              <w:rPr>
                <w:sz w:val="20"/>
                <w:szCs w:val="20"/>
                <w:color w:val="auto"/>
              </w:rPr>
            </w:pPr>
            <w:r>
              <w:rPr>
                <w:rFonts w:ascii="Arial" w:cs="Arial" w:eastAsia="Arial" w:hAnsi="Arial"/>
                <w:sz w:val="18"/>
                <w:szCs w:val="18"/>
                <w:color w:val="auto"/>
                <w:w w:val="99"/>
              </w:rPr>
              <w:t>November 30:</w:t>
            </w:r>
          </w:p>
        </w:tc>
        <w:tc>
          <w:tcPr>
            <w:tcW w:w="424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Expected lives</w:t>
            </w:r>
          </w:p>
        </w:tc>
        <w:tc>
          <w:tcPr>
            <w:tcW w:w="4100" w:type="dxa"/>
            <w:vAlign w:val="bottom"/>
            <w:tcBorders>
              <w:bottom w:val="single" w:sz="8" w:color="00539B"/>
            </w:tcBorders>
          </w:tcPr>
          <w:p>
            <w:pPr>
              <w:jc w:val="right"/>
              <w:ind w:right="268"/>
              <w:spacing w:after="0"/>
              <w:rPr>
                <w:sz w:val="20"/>
                <w:szCs w:val="20"/>
                <w:color w:val="auto"/>
              </w:rPr>
            </w:pPr>
            <w:r>
              <w:rPr>
                <w:rFonts w:ascii="Arial" w:cs="Arial" w:eastAsia="Arial" w:hAnsi="Arial"/>
                <w:sz w:val="14"/>
                <w:szCs w:val="14"/>
                <w:color w:val="auto"/>
              </w:rPr>
              <w:t>7.1 years</w:t>
            </w:r>
          </w:p>
        </w:tc>
        <w:tc>
          <w:tcPr>
            <w:tcW w:w="134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7.3 years</w:t>
            </w:r>
          </w:p>
        </w:tc>
        <w:tc>
          <w:tcPr>
            <w:tcW w:w="0" w:type="dxa"/>
            <w:vAlign w:val="bottom"/>
          </w:tcPr>
          <w:p>
            <w:pPr>
              <w:spacing w:after="0"/>
              <w:rPr>
                <w:sz w:val="1"/>
                <w:szCs w:val="1"/>
                <w:color w:val="auto"/>
              </w:rPr>
            </w:pPr>
          </w:p>
        </w:tc>
      </w:tr>
      <w:tr>
        <w:trPr>
          <w:trHeight w:val="112"/>
        </w:trPr>
        <w:tc>
          <w:tcPr>
            <w:tcW w:w="1140" w:type="dxa"/>
            <w:vAlign w:val="bottom"/>
            <w:vMerge w:val="continue"/>
          </w:tcPr>
          <w:p>
            <w:pPr>
              <w:spacing w:after="0"/>
              <w:rPr>
                <w:sz w:val="9"/>
                <w:szCs w:val="9"/>
                <w:color w:val="auto"/>
              </w:rPr>
            </w:pPr>
          </w:p>
        </w:tc>
        <w:tc>
          <w:tcPr>
            <w:tcW w:w="4240" w:type="dxa"/>
            <w:vAlign w:val="bottom"/>
          </w:tcPr>
          <w:p>
            <w:pPr>
              <w:spacing w:after="0"/>
              <w:rPr>
                <w:sz w:val="9"/>
                <w:szCs w:val="9"/>
                <w:color w:val="auto"/>
              </w:rPr>
            </w:pPr>
          </w:p>
        </w:tc>
        <w:tc>
          <w:tcPr>
            <w:tcW w:w="41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Under our stock option plans, we may issue shares on a net basis at the request of the option holder. This occurs by netting the option cost in shares from the shares exercised.</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t>A summary of our stock option activity for the years ended November 30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180" w:type="dxa"/>
            <w:vAlign w:val="bottom"/>
            <w:tcBorders>
              <w:top w:val="single" w:sz="8" w:color="00539B"/>
              <w:bottom w:val="single" w:sz="8" w:color="00539B"/>
            </w:tcBorders>
          </w:tcPr>
          <w:p>
            <w:pPr>
              <w:ind w:left="20"/>
              <w:spacing w:after="0"/>
              <w:rPr>
                <w:sz w:val="20"/>
                <w:szCs w:val="20"/>
                <w:color w:val="auto"/>
              </w:rPr>
            </w:pPr>
            <w:r>
              <w:rPr>
                <w:rFonts w:ascii="Arial" w:cs="Arial" w:eastAsia="Arial" w:hAnsi="Arial"/>
                <w:sz w:val="14"/>
                <w:szCs w:val="14"/>
                <w:color w:val="auto"/>
              </w:rPr>
              <w:t>(shares in millions)</w:t>
            </w:r>
          </w:p>
        </w:tc>
        <w:tc>
          <w:tcPr>
            <w:tcW w:w="840" w:type="dxa"/>
            <w:vAlign w:val="bottom"/>
            <w:tcBorders>
              <w:top w:val="single" w:sz="8" w:color="00539B"/>
              <w:bottom w:val="single" w:sz="8" w:color="00539B"/>
            </w:tcBorders>
            <w:shd w:val="clear" w:color="auto" w:fill="E0E3F1"/>
          </w:tcPr>
          <w:p>
            <w:pPr>
              <w:spacing w:after="0"/>
              <w:rPr>
                <w:sz w:val="19"/>
                <w:szCs w:val="19"/>
                <w:color w:val="auto"/>
              </w:rPr>
            </w:pPr>
          </w:p>
        </w:tc>
        <w:tc>
          <w:tcPr>
            <w:tcW w:w="500" w:type="dxa"/>
            <w:vAlign w:val="bottom"/>
            <w:tcBorders>
              <w:top w:val="single" w:sz="8" w:color="00539B"/>
              <w:bottom w:val="single" w:sz="8" w:color="00539B"/>
            </w:tcBorders>
            <w:gridSpan w:val="2"/>
            <w:shd w:val="clear" w:color="auto" w:fill="E0E3F1"/>
          </w:tcPr>
          <w:p>
            <w:pPr>
              <w:jc w:val="right"/>
              <w:spacing w:after="0"/>
              <w:rPr>
                <w:sz w:val="20"/>
                <w:szCs w:val="20"/>
                <w:color w:val="auto"/>
              </w:rPr>
            </w:pPr>
            <w:r>
              <w:rPr>
                <w:rFonts w:ascii="Arial" w:cs="Arial" w:eastAsia="Arial" w:hAnsi="Arial"/>
                <w:sz w:val="14"/>
                <w:szCs w:val="14"/>
                <w:color w:val="auto"/>
              </w:rPr>
              <w:t>2025</w:t>
            </w:r>
          </w:p>
        </w:tc>
        <w:tc>
          <w:tcPr>
            <w:tcW w:w="1000" w:type="dxa"/>
            <w:vAlign w:val="bottom"/>
            <w:tcBorders>
              <w:top w:val="single" w:sz="8" w:color="00539B"/>
              <w:bottom w:val="single" w:sz="8" w:color="00539B"/>
            </w:tcBorders>
            <w:shd w:val="clear" w:color="auto" w:fill="E0E3F1"/>
          </w:tcPr>
          <w:p>
            <w:pPr>
              <w:spacing w:after="0"/>
              <w:rPr>
                <w:sz w:val="19"/>
                <w:szCs w:val="19"/>
                <w:color w:val="auto"/>
              </w:rPr>
            </w:pPr>
          </w:p>
        </w:tc>
        <w:tc>
          <w:tcPr>
            <w:tcW w:w="1400" w:type="dxa"/>
            <w:vAlign w:val="bottom"/>
            <w:tcBorders>
              <w:top w:val="single" w:sz="8" w:color="00539B"/>
              <w:bottom w:val="single" w:sz="8" w:color="00539B"/>
            </w:tcBorders>
            <w:gridSpan w:val="2"/>
          </w:tcPr>
          <w:p>
            <w:pPr>
              <w:jc w:val="right"/>
              <w:spacing w:after="0"/>
              <w:rPr>
                <w:sz w:val="20"/>
                <w:szCs w:val="20"/>
                <w:color w:val="auto"/>
              </w:rPr>
            </w:pPr>
            <w:r>
              <w:rPr>
                <w:rFonts w:ascii="Arial" w:cs="Arial" w:eastAsia="Arial" w:hAnsi="Arial"/>
                <w:sz w:val="14"/>
                <w:szCs w:val="14"/>
                <w:color w:val="auto"/>
              </w:rPr>
              <w:t>2024</w:t>
            </w:r>
          </w:p>
        </w:tc>
        <w:tc>
          <w:tcPr>
            <w:tcW w:w="1100" w:type="dxa"/>
            <w:vAlign w:val="bottom"/>
            <w:tcBorders>
              <w:top w:val="single" w:sz="8" w:color="00539B"/>
              <w:bottom w:val="single" w:sz="8" w:color="00539B"/>
            </w:tcBorders>
          </w:tcPr>
          <w:p>
            <w:pPr>
              <w:spacing w:after="0"/>
              <w:rPr>
                <w:sz w:val="19"/>
                <w:szCs w:val="19"/>
                <w:color w:val="auto"/>
              </w:rPr>
            </w:pPr>
          </w:p>
        </w:tc>
        <w:tc>
          <w:tcPr>
            <w:tcW w:w="700" w:type="dxa"/>
            <w:vAlign w:val="bottom"/>
            <w:tcBorders>
              <w:top w:val="single" w:sz="8" w:color="00539B"/>
              <w:bottom w:val="single" w:sz="8" w:color="00539B"/>
            </w:tcBorders>
          </w:tcPr>
          <w:p>
            <w:pPr>
              <w:spacing w:after="0"/>
              <w:rPr>
                <w:sz w:val="19"/>
                <w:szCs w:val="19"/>
                <w:color w:val="auto"/>
              </w:rPr>
            </w:pPr>
          </w:p>
        </w:tc>
        <w:tc>
          <w:tcPr>
            <w:tcW w:w="540" w:type="dxa"/>
            <w:vAlign w:val="bottom"/>
            <w:tcBorders>
              <w:top w:val="single" w:sz="8" w:color="00539B"/>
              <w:bottom w:val="single" w:sz="8" w:color="00539B"/>
            </w:tcBorders>
            <w:gridSpan w:val="2"/>
          </w:tcPr>
          <w:p>
            <w:pPr>
              <w:jc w:val="right"/>
              <w:spacing w:after="0"/>
              <w:rPr>
                <w:sz w:val="20"/>
                <w:szCs w:val="20"/>
                <w:color w:val="auto"/>
              </w:rPr>
            </w:pPr>
            <w:r>
              <w:rPr>
                <w:rFonts w:ascii="Arial" w:cs="Arial" w:eastAsia="Arial" w:hAnsi="Arial"/>
                <w:sz w:val="14"/>
                <w:szCs w:val="14"/>
                <w:color w:val="auto"/>
              </w:rPr>
              <w:t>2023</w:t>
            </w:r>
          </w:p>
        </w:tc>
        <w:tc>
          <w:tcPr>
            <w:tcW w:w="980" w:type="dxa"/>
            <w:vAlign w:val="bottom"/>
            <w:tcBorders>
              <w:top w:val="single" w:sz="8" w:color="00539B"/>
              <w:bottom w:val="single" w:sz="8" w:color="00539B"/>
            </w:tcBorders>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4180" w:type="dxa"/>
            <w:vAlign w:val="bottom"/>
          </w:tcPr>
          <w:p>
            <w:pPr>
              <w:spacing w:after="0"/>
              <w:rPr>
                <w:sz w:val="13"/>
                <w:szCs w:val="13"/>
                <w:color w:val="auto"/>
              </w:rPr>
            </w:pPr>
          </w:p>
        </w:tc>
        <w:tc>
          <w:tcPr>
            <w:tcW w:w="840" w:type="dxa"/>
            <w:vAlign w:val="bottom"/>
            <w:shd w:val="clear" w:color="auto" w:fill="E0E3F1"/>
          </w:tcPr>
          <w:p>
            <w:pPr>
              <w:spacing w:after="0"/>
              <w:rPr>
                <w:sz w:val="13"/>
                <w:szCs w:val="13"/>
                <w:color w:val="auto"/>
              </w:rPr>
            </w:pPr>
          </w:p>
        </w:tc>
        <w:tc>
          <w:tcPr>
            <w:tcW w:w="320" w:type="dxa"/>
            <w:vAlign w:val="bottom"/>
            <w:shd w:val="clear" w:color="auto" w:fill="E0E3F1"/>
          </w:tcPr>
          <w:p>
            <w:pPr>
              <w:spacing w:after="0"/>
              <w:rPr>
                <w:sz w:val="13"/>
                <w:szCs w:val="13"/>
                <w:color w:val="auto"/>
              </w:rPr>
            </w:pPr>
          </w:p>
        </w:tc>
        <w:tc>
          <w:tcPr>
            <w:tcW w:w="180" w:type="dxa"/>
            <w:vAlign w:val="bottom"/>
            <w:shd w:val="clear" w:color="auto" w:fill="E0E3F1"/>
          </w:tcPr>
          <w:p>
            <w:pPr>
              <w:spacing w:after="0"/>
              <w:rPr>
                <w:sz w:val="13"/>
                <w:szCs w:val="13"/>
                <w:color w:val="auto"/>
              </w:rPr>
            </w:pPr>
          </w:p>
        </w:tc>
        <w:tc>
          <w:tcPr>
            <w:tcW w:w="1000" w:type="dxa"/>
            <w:vAlign w:val="bottom"/>
            <w:shd w:val="clear" w:color="auto" w:fill="E0E3F1"/>
          </w:tcPr>
          <w:p>
            <w:pPr>
              <w:jc w:val="center"/>
              <w:ind w:right="248"/>
              <w:spacing w:after="0" w:line="151" w:lineRule="exact"/>
              <w:rPr>
                <w:sz w:val="20"/>
                <w:szCs w:val="20"/>
                <w:color w:val="auto"/>
              </w:rPr>
            </w:pPr>
            <w:r>
              <w:rPr>
                <w:rFonts w:ascii="Arial" w:cs="Arial" w:eastAsia="Arial" w:hAnsi="Arial"/>
                <w:sz w:val="14"/>
                <w:szCs w:val="14"/>
                <w:color w:val="auto"/>
              </w:rPr>
              <w:t>Weighted-</w:t>
            </w: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center"/>
              <w:ind w:right="288"/>
              <w:spacing w:after="0" w:line="151" w:lineRule="exact"/>
              <w:rPr>
                <w:sz w:val="20"/>
                <w:szCs w:val="20"/>
                <w:color w:val="auto"/>
              </w:rPr>
            </w:pPr>
            <w:r>
              <w:rPr>
                <w:rFonts w:ascii="Arial" w:cs="Arial" w:eastAsia="Arial" w:hAnsi="Arial"/>
                <w:sz w:val="14"/>
                <w:szCs w:val="14"/>
                <w:color w:val="auto"/>
              </w:rPr>
              <w:t>Weighted-</w:t>
            </w: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center"/>
              <w:ind w:right="128"/>
              <w:spacing w:after="0" w:line="151" w:lineRule="exact"/>
              <w:rPr>
                <w:sz w:val="20"/>
                <w:szCs w:val="20"/>
                <w:color w:val="auto"/>
              </w:rPr>
            </w:pPr>
            <w:r>
              <w:rPr>
                <w:rFonts w:ascii="Arial" w:cs="Arial" w:eastAsia="Arial" w:hAnsi="Arial"/>
                <w:sz w:val="14"/>
                <w:szCs w:val="14"/>
                <w:color w:val="auto"/>
              </w:rPr>
              <w:t>Weighted-</w:t>
            </w:r>
          </w:p>
        </w:tc>
        <w:tc>
          <w:tcPr>
            <w:tcW w:w="0" w:type="dxa"/>
            <w:vAlign w:val="bottom"/>
          </w:tcPr>
          <w:p>
            <w:pPr>
              <w:spacing w:after="0"/>
              <w:rPr>
                <w:sz w:val="1"/>
                <w:szCs w:val="1"/>
                <w:color w:val="auto"/>
              </w:rPr>
            </w:pPr>
          </w:p>
        </w:tc>
      </w:tr>
      <w:tr>
        <w:trPr>
          <w:trHeight w:val="144"/>
        </w:trPr>
        <w:tc>
          <w:tcPr>
            <w:tcW w:w="4180" w:type="dxa"/>
            <w:vAlign w:val="bottom"/>
          </w:tcPr>
          <w:p>
            <w:pPr>
              <w:spacing w:after="0"/>
              <w:rPr>
                <w:sz w:val="12"/>
                <w:szCs w:val="12"/>
                <w:color w:val="auto"/>
              </w:rPr>
            </w:pPr>
          </w:p>
        </w:tc>
        <w:tc>
          <w:tcPr>
            <w:tcW w:w="840" w:type="dxa"/>
            <w:vAlign w:val="bottom"/>
            <w:shd w:val="clear" w:color="auto" w:fill="E0E3F1"/>
          </w:tcPr>
          <w:p>
            <w:pPr>
              <w:spacing w:after="0"/>
              <w:rPr>
                <w:sz w:val="12"/>
                <w:szCs w:val="12"/>
                <w:color w:val="auto"/>
              </w:rPr>
            </w:pPr>
          </w:p>
        </w:tc>
        <w:tc>
          <w:tcPr>
            <w:tcW w:w="320" w:type="dxa"/>
            <w:vAlign w:val="bottom"/>
            <w:shd w:val="clear" w:color="auto" w:fill="E0E3F1"/>
          </w:tcPr>
          <w:p>
            <w:pPr>
              <w:spacing w:after="0"/>
              <w:rPr>
                <w:sz w:val="12"/>
                <w:szCs w:val="12"/>
                <w:color w:val="auto"/>
              </w:rPr>
            </w:pPr>
          </w:p>
        </w:tc>
        <w:tc>
          <w:tcPr>
            <w:tcW w:w="180" w:type="dxa"/>
            <w:vAlign w:val="bottom"/>
            <w:shd w:val="clear" w:color="auto" w:fill="E0E3F1"/>
          </w:tcPr>
          <w:p>
            <w:pPr>
              <w:spacing w:after="0"/>
              <w:rPr>
                <w:sz w:val="12"/>
                <w:szCs w:val="12"/>
                <w:color w:val="auto"/>
              </w:rPr>
            </w:pPr>
          </w:p>
        </w:tc>
        <w:tc>
          <w:tcPr>
            <w:tcW w:w="1000" w:type="dxa"/>
            <w:vAlign w:val="bottom"/>
            <w:shd w:val="clear" w:color="auto" w:fill="E0E3F1"/>
          </w:tcPr>
          <w:p>
            <w:pPr>
              <w:jc w:val="center"/>
              <w:ind w:right="248"/>
              <w:spacing w:after="0" w:line="145" w:lineRule="exact"/>
              <w:rPr>
                <w:sz w:val="20"/>
                <w:szCs w:val="20"/>
                <w:color w:val="auto"/>
              </w:rPr>
            </w:pPr>
            <w:r>
              <w:rPr>
                <w:rFonts w:ascii="Arial" w:cs="Arial" w:eastAsia="Arial" w:hAnsi="Arial"/>
                <w:sz w:val="14"/>
                <w:szCs w:val="14"/>
                <w:color w:val="auto"/>
              </w:rPr>
              <w:t>average</w:t>
            </w: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268"/>
              <w:spacing w:after="0" w:line="145" w:lineRule="exact"/>
              <w:rPr>
                <w:sz w:val="20"/>
                <w:szCs w:val="20"/>
                <w:color w:val="auto"/>
              </w:rPr>
            </w:pPr>
            <w:r>
              <w:rPr>
                <w:rFonts w:ascii="Arial" w:cs="Arial" w:eastAsia="Arial" w:hAnsi="Arial"/>
                <w:sz w:val="14"/>
                <w:szCs w:val="14"/>
                <w:color w:val="auto"/>
              </w:rPr>
              <w:t>average</w:t>
            </w: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center"/>
              <w:ind w:right="148"/>
              <w:spacing w:after="0" w:line="145" w:lineRule="exact"/>
              <w:rPr>
                <w:sz w:val="20"/>
                <w:szCs w:val="20"/>
                <w:color w:val="auto"/>
              </w:rPr>
            </w:pPr>
            <w:r>
              <w:rPr>
                <w:rFonts w:ascii="Arial" w:cs="Arial" w:eastAsia="Arial" w:hAnsi="Arial"/>
                <w:sz w:val="14"/>
                <w:szCs w:val="14"/>
                <w:color w:val="auto"/>
              </w:rPr>
              <w:t>average</w:t>
            </w:r>
          </w:p>
        </w:tc>
        <w:tc>
          <w:tcPr>
            <w:tcW w:w="0" w:type="dxa"/>
            <w:vAlign w:val="bottom"/>
          </w:tcPr>
          <w:p>
            <w:pPr>
              <w:spacing w:after="0"/>
              <w:rPr>
                <w:sz w:val="1"/>
                <w:szCs w:val="1"/>
                <w:color w:val="auto"/>
              </w:rPr>
            </w:pPr>
          </w:p>
        </w:tc>
      </w:tr>
      <w:tr>
        <w:trPr>
          <w:trHeight w:val="139"/>
        </w:trPr>
        <w:tc>
          <w:tcPr>
            <w:tcW w:w="4180" w:type="dxa"/>
            <w:vAlign w:val="bottom"/>
          </w:tcPr>
          <w:p>
            <w:pPr>
              <w:spacing w:after="0"/>
              <w:rPr>
                <w:sz w:val="12"/>
                <w:szCs w:val="12"/>
                <w:color w:val="auto"/>
              </w:rPr>
            </w:pPr>
          </w:p>
        </w:tc>
        <w:tc>
          <w:tcPr>
            <w:tcW w:w="840" w:type="dxa"/>
            <w:vAlign w:val="bottom"/>
            <w:vMerge w:val="restart"/>
            <w:shd w:val="clear" w:color="auto" w:fill="E0E3F1"/>
          </w:tcPr>
          <w:p>
            <w:pPr>
              <w:ind w:left="360"/>
              <w:spacing w:after="0"/>
              <w:rPr>
                <w:sz w:val="20"/>
                <w:szCs w:val="20"/>
                <w:color w:val="auto"/>
              </w:rPr>
            </w:pPr>
            <w:r>
              <w:rPr>
                <w:rFonts w:ascii="Arial" w:cs="Arial" w:eastAsia="Arial" w:hAnsi="Arial"/>
                <w:sz w:val="14"/>
                <w:szCs w:val="14"/>
                <w:color w:val="auto"/>
              </w:rPr>
              <w:t>Shares</w:t>
            </w:r>
          </w:p>
        </w:tc>
        <w:tc>
          <w:tcPr>
            <w:tcW w:w="320" w:type="dxa"/>
            <w:vAlign w:val="bottom"/>
            <w:shd w:val="clear" w:color="auto" w:fill="E0E3F1"/>
          </w:tcPr>
          <w:p>
            <w:pPr>
              <w:spacing w:after="0"/>
              <w:rPr>
                <w:sz w:val="12"/>
                <w:szCs w:val="12"/>
                <w:color w:val="auto"/>
              </w:rPr>
            </w:pPr>
          </w:p>
        </w:tc>
        <w:tc>
          <w:tcPr>
            <w:tcW w:w="180" w:type="dxa"/>
            <w:vAlign w:val="bottom"/>
            <w:shd w:val="clear" w:color="auto" w:fill="E0E3F1"/>
          </w:tcPr>
          <w:p>
            <w:pPr>
              <w:spacing w:after="0"/>
              <w:rPr>
                <w:sz w:val="12"/>
                <w:szCs w:val="12"/>
                <w:color w:val="auto"/>
              </w:rPr>
            </w:pPr>
          </w:p>
        </w:tc>
        <w:tc>
          <w:tcPr>
            <w:tcW w:w="1000" w:type="dxa"/>
            <w:vAlign w:val="bottom"/>
            <w:shd w:val="clear" w:color="auto" w:fill="E0E3F1"/>
          </w:tcPr>
          <w:p>
            <w:pPr>
              <w:jc w:val="center"/>
              <w:ind w:right="248"/>
              <w:spacing w:after="0" w:line="139" w:lineRule="exact"/>
              <w:rPr>
                <w:sz w:val="20"/>
                <w:szCs w:val="20"/>
                <w:color w:val="auto"/>
              </w:rPr>
            </w:pPr>
            <w:r>
              <w:rPr>
                <w:rFonts w:ascii="Arial" w:cs="Arial" w:eastAsia="Arial" w:hAnsi="Arial"/>
                <w:sz w:val="14"/>
                <w:szCs w:val="14"/>
                <w:color w:val="auto"/>
                <w:w w:val="99"/>
              </w:rPr>
              <w:t>exercise</w:t>
            </w:r>
          </w:p>
        </w:tc>
        <w:tc>
          <w:tcPr>
            <w:tcW w:w="1180" w:type="dxa"/>
            <w:vAlign w:val="bottom"/>
            <w:vMerge w:val="restart"/>
          </w:tcPr>
          <w:p>
            <w:pPr>
              <w:ind w:left="360"/>
              <w:spacing w:after="0"/>
              <w:rPr>
                <w:sz w:val="20"/>
                <w:szCs w:val="20"/>
                <w:color w:val="auto"/>
              </w:rPr>
            </w:pPr>
            <w:r>
              <w:rPr>
                <w:rFonts w:ascii="Arial" w:cs="Arial" w:eastAsia="Arial" w:hAnsi="Arial"/>
                <w:sz w:val="14"/>
                <w:szCs w:val="14"/>
                <w:color w:val="auto"/>
              </w:rPr>
              <w:t>Shares</w:t>
            </w:r>
          </w:p>
        </w:tc>
        <w:tc>
          <w:tcPr>
            <w:tcW w:w="220" w:type="dxa"/>
            <w:vAlign w:val="bottom"/>
          </w:tcPr>
          <w:p>
            <w:pPr>
              <w:spacing w:after="0"/>
              <w:rPr>
                <w:sz w:val="12"/>
                <w:szCs w:val="12"/>
                <w:color w:val="auto"/>
              </w:rPr>
            </w:pPr>
          </w:p>
        </w:tc>
        <w:tc>
          <w:tcPr>
            <w:tcW w:w="1100" w:type="dxa"/>
            <w:vAlign w:val="bottom"/>
          </w:tcPr>
          <w:p>
            <w:pPr>
              <w:jc w:val="center"/>
              <w:ind w:right="288"/>
              <w:spacing w:after="0" w:line="139" w:lineRule="exact"/>
              <w:rPr>
                <w:sz w:val="20"/>
                <w:szCs w:val="20"/>
                <w:color w:val="auto"/>
              </w:rPr>
            </w:pPr>
            <w:r>
              <w:rPr>
                <w:rFonts w:ascii="Arial" w:cs="Arial" w:eastAsia="Arial" w:hAnsi="Arial"/>
                <w:sz w:val="14"/>
                <w:szCs w:val="14"/>
                <w:color w:val="auto"/>
              </w:rPr>
              <w:t>exercise</w:t>
            </w:r>
          </w:p>
        </w:tc>
        <w:tc>
          <w:tcPr>
            <w:tcW w:w="700" w:type="dxa"/>
            <w:vAlign w:val="bottom"/>
            <w:vMerge w:val="restart"/>
          </w:tcPr>
          <w:p>
            <w:pPr>
              <w:ind w:left="220"/>
              <w:spacing w:after="0"/>
              <w:rPr>
                <w:sz w:val="20"/>
                <w:szCs w:val="20"/>
                <w:color w:val="auto"/>
              </w:rPr>
            </w:pPr>
            <w:r>
              <w:rPr>
                <w:rFonts w:ascii="Arial" w:cs="Arial" w:eastAsia="Arial" w:hAnsi="Arial"/>
                <w:sz w:val="14"/>
                <w:szCs w:val="14"/>
                <w:color w:val="auto"/>
              </w:rPr>
              <w:t>Shares</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center"/>
              <w:ind w:right="128"/>
              <w:spacing w:after="0" w:line="139" w:lineRule="exact"/>
              <w:rPr>
                <w:sz w:val="20"/>
                <w:szCs w:val="20"/>
                <w:color w:val="auto"/>
              </w:rPr>
            </w:pPr>
            <w:r>
              <w:rPr>
                <w:rFonts w:ascii="Arial" w:cs="Arial" w:eastAsia="Arial" w:hAnsi="Arial"/>
                <w:sz w:val="14"/>
                <w:szCs w:val="14"/>
                <w:color w:val="auto"/>
              </w:rPr>
              <w:t>exercise</w:t>
            </w:r>
          </w:p>
        </w:tc>
        <w:tc>
          <w:tcPr>
            <w:tcW w:w="0" w:type="dxa"/>
            <w:vAlign w:val="bottom"/>
          </w:tcPr>
          <w:p>
            <w:pPr>
              <w:spacing w:after="0"/>
              <w:rPr>
                <w:sz w:val="1"/>
                <w:szCs w:val="1"/>
                <w:color w:val="auto"/>
              </w:rPr>
            </w:pPr>
          </w:p>
        </w:tc>
      </w:tr>
      <w:tr>
        <w:trPr>
          <w:trHeight w:val="194"/>
        </w:trPr>
        <w:tc>
          <w:tcPr>
            <w:tcW w:w="4180" w:type="dxa"/>
            <w:vAlign w:val="bottom"/>
            <w:tcBorders>
              <w:bottom w:val="single" w:sz="8" w:color="00539B"/>
            </w:tcBorders>
          </w:tcPr>
          <w:p>
            <w:pPr>
              <w:spacing w:after="0"/>
              <w:rPr>
                <w:sz w:val="16"/>
                <w:szCs w:val="16"/>
                <w:color w:val="auto"/>
              </w:rPr>
            </w:pPr>
          </w:p>
        </w:tc>
        <w:tc>
          <w:tcPr>
            <w:tcW w:w="840" w:type="dxa"/>
            <w:vAlign w:val="bottom"/>
            <w:tcBorders>
              <w:bottom w:val="single" w:sz="8" w:color="00539B"/>
            </w:tcBorders>
            <w:vMerge w:val="continue"/>
            <w:shd w:val="clear" w:color="auto" w:fill="E0E3F1"/>
          </w:tcPr>
          <w:p>
            <w:pPr>
              <w:spacing w:after="0"/>
              <w:rPr>
                <w:sz w:val="16"/>
                <w:szCs w:val="16"/>
                <w:color w:val="auto"/>
              </w:rPr>
            </w:pPr>
          </w:p>
        </w:tc>
        <w:tc>
          <w:tcPr>
            <w:tcW w:w="320" w:type="dxa"/>
            <w:vAlign w:val="bottom"/>
            <w:tcBorders>
              <w:bottom w:val="single" w:sz="8" w:color="00539B"/>
            </w:tcBorders>
            <w:shd w:val="clear" w:color="auto" w:fill="E0E3F1"/>
          </w:tcPr>
          <w:p>
            <w:pPr>
              <w:spacing w:after="0"/>
              <w:rPr>
                <w:sz w:val="16"/>
                <w:szCs w:val="16"/>
                <w:color w:val="auto"/>
              </w:rPr>
            </w:pPr>
          </w:p>
        </w:tc>
        <w:tc>
          <w:tcPr>
            <w:tcW w:w="180" w:type="dxa"/>
            <w:vAlign w:val="bottom"/>
            <w:tcBorders>
              <w:bottom w:val="single" w:sz="8" w:color="00539B"/>
            </w:tcBorders>
            <w:shd w:val="clear" w:color="auto" w:fill="E0E3F1"/>
          </w:tcPr>
          <w:p>
            <w:pPr>
              <w:spacing w:after="0"/>
              <w:rPr>
                <w:sz w:val="16"/>
                <w:szCs w:val="16"/>
                <w:color w:val="auto"/>
              </w:rPr>
            </w:pPr>
          </w:p>
        </w:tc>
        <w:tc>
          <w:tcPr>
            <w:tcW w:w="1000" w:type="dxa"/>
            <w:vAlign w:val="bottom"/>
            <w:tcBorders>
              <w:bottom w:val="single" w:sz="8" w:color="00539B"/>
            </w:tcBorders>
            <w:shd w:val="clear" w:color="auto" w:fill="E0E3F1"/>
          </w:tcPr>
          <w:p>
            <w:pPr>
              <w:jc w:val="center"/>
              <w:ind w:right="248"/>
              <w:spacing w:after="0"/>
              <w:rPr>
                <w:sz w:val="20"/>
                <w:szCs w:val="20"/>
                <w:color w:val="auto"/>
              </w:rPr>
            </w:pPr>
            <w:r>
              <w:rPr>
                <w:rFonts w:ascii="Arial" w:cs="Arial" w:eastAsia="Arial" w:hAnsi="Arial"/>
                <w:sz w:val="14"/>
                <w:szCs w:val="14"/>
                <w:color w:val="auto"/>
              </w:rPr>
              <w:t>price</w:t>
            </w:r>
          </w:p>
        </w:tc>
        <w:tc>
          <w:tcPr>
            <w:tcW w:w="1180" w:type="dxa"/>
            <w:vAlign w:val="bottom"/>
            <w:tcBorders>
              <w:bottom w:val="single" w:sz="8" w:color="00539B"/>
            </w:tcBorders>
            <w:vMerge w:val="continue"/>
          </w:tcPr>
          <w:p>
            <w:pPr>
              <w:spacing w:after="0"/>
              <w:rPr>
                <w:sz w:val="16"/>
                <w:szCs w:val="16"/>
                <w:color w:val="auto"/>
              </w:rPr>
            </w:pPr>
          </w:p>
        </w:tc>
        <w:tc>
          <w:tcPr>
            <w:tcW w:w="220" w:type="dxa"/>
            <w:vAlign w:val="bottom"/>
            <w:tcBorders>
              <w:bottom w:val="single" w:sz="8" w:color="00539B"/>
            </w:tcBorders>
          </w:tcPr>
          <w:p>
            <w:pPr>
              <w:spacing w:after="0"/>
              <w:rPr>
                <w:sz w:val="16"/>
                <w:szCs w:val="16"/>
                <w:color w:val="auto"/>
              </w:rPr>
            </w:pPr>
          </w:p>
        </w:tc>
        <w:tc>
          <w:tcPr>
            <w:tcW w:w="1100" w:type="dxa"/>
            <w:vAlign w:val="bottom"/>
            <w:tcBorders>
              <w:bottom w:val="single" w:sz="8" w:color="00539B"/>
            </w:tcBorders>
          </w:tcPr>
          <w:p>
            <w:pPr>
              <w:jc w:val="center"/>
              <w:ind w:right="288"/>
              <w:spacing w:after="0"/>
              <w:rPr>
                <w:sz w:val="20"/>
                <w:szCs w:val="20"/>
                <w:color w:val="auto"/>
              </w:rPr>
            </w:pPr>
            <w:r>
              <w:rPr>
                <w:rFonts w:ascii="Arial" w:cs="Arial" w:eastAsia="Arial" w:hAnsi="Arial"/>
                <w:sz w:val="14"/>
                <w:szCs w:val="14"/>
                <w:color w:val="auto"/>
                <w:w w:val="98"/>
              </w:rPr>
              <w:t>price</w:t>
            </w:r>
          </w:p>
        </w:tc>
        <w:tc>
          <w:tcPr>
            <w:tcW w:w="700" w:type="dxa"/>
            <w:vAlign w:val="bottom"/>
            <w:tcBorders>
              <w:bottom w:val="single" w:sz="8" w:color="00539B"/>
            </w:tcBorders>
            <w:vMerge w:val="continue"/>
          </w:tcPr>
          <w:p>
            <w:pPr>
              <w:spacing w:after="0"/>
              <w:rPr>
                <w:sz w:val="16"/>
                <w:szCs w:val="16"/>
                <w:color w:val="auto"/>
              </w:rPr>
            </w:pPr>
          </w:p>
        </w:tc>
        <w:tc>
          <w:tcPr>
            <w:tcW w:w="320" w:type="dxa"/>
            <w:vAlign w:val="bottom"/>
            <w:tcBorders>
              <w:bottom w:val="single" w:sz="8" w:color="00539B"/>
            </w:tcBorders>
          </w:tcPr>
          <w:p>
            <w:pPr>
              <w:spacing w:after="0"/>
              <w:rPr>
                <w:sz w:val="16"/>
                <w:szCs w:val="16"/>
                <w:color w:val="auto"/>
              </w:rPr>
            </w:pPr>
          </w:p>
        </w:tc>
        <w:tc>
          <w:tcPr>
            <w:tcW w:w="220" w:type="dxa"/>
            <w:vAlign w:val="bottom"/>
            <w:tcBorders>
              <w:bottom w:val="single" w:sz="8" w:color="00539B"/>
            </w:tcBorders>
          </w:tcPr>
          <w:p>
            <w:pPr>
              <w:spacing w:after="0"/>
              <w:rPr>
                <w:sz w:val="16"/>
                <w:szCs w:val="16"/>
                <w:color w:val="auto"/>
              </w:rPr>
            </w:pPr>
          </w:p>
        </w:tc>
        <w:tc>
          <w:tcPr>
            <w:tcW w:w="980" w:type="dxa"/>
            <w:vAlign w:val="bottom"/>
            <w:tcBorders>
              <w:bottom w:val="single" w:sz="8" w:color="00539B"/>
            </w:tcBorders>
          </w:tcPr>
          <w:p>
            <w:pPr>
              <w:jc w:val="center"/>
              <w:ind w:right="128"/>
              <w:spacing w:after="0"/>
              <w:rPr>
                <w:sz w:val="20"/>
                <w:szCs w:val="20"/>
                <w:color w:val="auto"/>
              </w:rPr>
            </w:pPr>
            <w:r>
              <w:rPr>
                <w:rFonts w:ascii="Arial" w:cs="Arial" w:eastAsia="Arial" w:hAnsi="Arial"/>
                <w:sz w:val="14"/>
                <w:szCs w:val="14"/>
                <w:color w:val="auto"/>
                <w:w w:val="98"/>
              </w:rPr>
              <w:t>price</w:t>
            </w:r>
          </w:p>
        </w:tc>
        <w:tc>
          <w:tcPr>
            <w:tcW w:w="0" w:type="dxa"/>
            <w:vAlign w:val="bottom"/>
          </w:tcPr>
          <w:p>
            <w:pPr>
              <w:spacing w:after="0"/>
              <w:rPr>
                <w:sz w:val="1"/>
                <w:szCs w:val="1"/>
                <w:color w:val="auto"/>
              </w:rPr>
            </w:pPr>
          </w:p>
        </w:tc>
      </w:tr>
      <w:tr>
        <w:trPr>
          <w:trHeight w:val="192"/>
        </w:trPr>
        <w:tc>
          <w:tcPr>
            <w:tcW w:w="4180" w:type="dxa"/>
            <w:vAlign w:val="bottom"/>
          </w:tcPr>
          <w:p>
            <w:pPr>
              <w:ind w:left="20"/>
              <w:spacing w:after="0"/>
              <w:rPr>
                <w:sz w:val="20"/>
                <w:szCs w:val="20"/>
                <w:color w:val="auto"/>
              </w:rPr>
            </w:pPr>
            <w:r>
              <w:rPr>
                <w:rFonts w:ascii="Arial" w:cs="Arial" w:eastAsia="Arial" w:hAnsi="Arial"/>
                <w:sz w:val="14"/>
                <w:szCs w:val="14"/>
                <w:color w:val="auto"/>
              </w:rPr>
              <w:t>Beginning of year</w:t>
            </w:r>
          </w:p>
        </w:tc>
        <w:tc>
          <w:tcPr>
            <w:tcW w:w="840" w:type="dxa"/>
            <w:vAlign w:val="bottom"/>
            <w:shd w:val="clear" w:color="auto" w:fill="E0E3F1"/>
          </w:tcPr>
          <w:p>
            <w:pPr>
              <w:spacing w:after="0"/>
              <w:rPr>
                <w:sz w:val="16"/>
                <w:szCs w:val="16"/>
                <w:color w:val="auto"/>
              </w:rPr>
            </w:pPr>
          </w:p>
        </w:tc>
        <w:tc>
          <w:tcPr>
            <w:tcW w:w="320" w:type="dxa"/>
            <w:vAlign w:val="bottom"/>
            <w:shd w:val="clear" w:color="auto" w:fill="E0E3F1"/>
          </w:tcPr>
          <w:p>
            <w:pPr>
              <w:jc w:val="right"/>
              <w:spacing w:after="0"/>
              <w:rPr>
                <w:sz w:val="20"/>
                <w:szCs w:val="20"/>
                <w:color w:val="auto"/>
              </w:rPr>
            </w:pPr>
            <w:r>
              <w:rPr>
                <w:rFonts w:ascii="Arial" w:cs="Arial" w:eastAsia="Arial" w:hAnsi="Arial"/>
                <w:sz w:val="14"/>
                <w:szCs w:val="14"/>
                <w:color w:val="auto"/>
              </w:rPr>
              <w:t>6.1</w:t>
            </w:r>
          </w:p>
        </w:tc>
        <w:tc>
          <w:tcPr>
            <w:tcW w:w="180" w:type="dxa"/>
            <w:vAlign w:val="bottom"/>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E0E3F1"/>
          </w:tcPr>
          <w:p>
            <w:pPr>
              <w:jc w:val="right"/>
              <w:spacing w:after="0"/>
              <w:rPr>
                <w:sz w:val="20"/>
                <w:szCs w:val="20"/>
                <w:color w:val="auto"/>
              </w:rPr>
            </w:pPr>
            <w:r>
              <w:rPr>
                <w:rFonts w:ascii="Arial" w:cs="Arial" w:eastAsia="Arial" w:hAnsi="Arial"/>
                <w:sz w:val="14"/>
                <w:szCs w:val="14"/>
                <w:color w:val="auto"/>
              </w:rPr>
              <w:t>72.25</w:t>
            </w:r>
          </w:p>
        </w:tc>
        <w:tc>
          <w:tcPr>
            <w:tcW w:w="1180" w:type="dxa"/>
            <w:vAlign w:val="bottom"/>
          </w:tcPr>
          <w:p>
            <w:pPr>
              <w:jc w:val="center"/>
              <w:ind w:left="788"/>
              <w:spacing w:after="0"/>
              <w:rPr>
                <w:sz w:val="20"/>
                <w:szCs w:val="20"/>
                <w:color w:val="auto"/>
              </w:rPr>
            </w:pPr>
            <w:r>
              <w:rPr>
                <w:rFonts w:ascii="Arial" w:cs="Arial" w:eastAsia="Arial" w:hAnsi="Arial"/>
                <w:sz w:val="14"/>
                <w:szCs w:val="14"/>
                <w:color w:val="auto"/>
              </w:rPr>
              <w:t>5.3</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70.43</w:t>
            </w:r>
          </w:p>
        </w:tc>
        <w:tc>
          <w:tcPr>
            <w:tcW w:w="700" w:type="dxa"/>
            <w:vAlign w:val="bottom"/>
          </w:tcPr>
          <w:p>
            <w:pPr>
              <w:spacing w:after="0"/>
              <w:rPr>
                <w:sz w:val="16"/>
                <w:szCs w:val="16"/>
                <w:color w:val="auto"/>
              </w:rPr>
            </w:pPr>
          </w:p>
        </w:tc>
        <w:tc>
          <w:tcPr>
            <w:tcW w:w="320" w:type="dxa"/>
            <w:vAlign w:val="bottom"/>
          </w:tcPr>
          <w:p>
            <w:pPr>
              <w:jc w:val="center"/>
              <w:spacing w:after="0"/>
              <w:rPr>
                <w:sz w:val="20"/>
                <w:szCs w:val="20"/>
                <w:color w:val="auto"/>
              </w:rPr>
            </w:pPr>
            <w:r>
              <w:rPr>
                <w:rFonts w:ascii="Arial" w:cs="Arial" w:eastAsia="Arial" w:hAnsi="Arial"/>
                <w:sz w:val="14"/>
                <w:szCs w:val="14"/>
                <w:color w:val="auto"/>
              </w:rPr>
              <w:t>4.8</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67.08</w:t>
            </w:r>
          </w:p>
        </w:tc>
        <w:tc>
          <w:tcPr>
            <w:tcW w:w="0" w:type="dxa"/>
            <w:vAlign w:val="bottom"/>
          </w:tcPr>
          <w:p>
            <w:pPr>
              <w:spacing w:after="0"/>
              <w:rPr>
                <w:sz w:val="1"/>
                <w:szCs w:val="1"/>
                <w:color w:val="auto"/>
              </w:rPr>
            </w:pPr>
          </w:p>
        </w:tc>
      </w:tr>
      <w:tr>
        <w:trPr>
          <w:trHeight w:val="203"/>
        </w:trPr>
        <w:tc>
          <w:tcPr>
            <w:tcW w:w="4180" w:type="dxa"/>
            <w:vAlign w:val="bottom"/>
          </w:tcPr>
          <w:p>
            <w:pPr>
              <w:ind w:left="20"/>
              <w:spacing w:after="0"/>
              <w:rPr>
                <w:sz w:val="20"/>
                <w:szCs w:val="20"/>
                <w:color w:val="auto"/>
              </w:rPr>
            </w:pPr>
            <w:r>
              <w:rPr>
                <w:rFonts w:ascii="Arial" w:cs="Arial" w:eastAsia="Arial" w:hAnsi="Arial"/>
                <w:sz w:val="14"/>
                <w:szCs w:val="14"/>
                <w:color w:val="auto"/>
              </w:rPr>
              <w:t>Granted</w:t>
            </w:r>
          </w:p>
        </w:tc>
        <w:tc>
          <w:tcPr>
            <w:tcW w:w="840" w:type="dxa"/>
            <w:vAlign w:val="bottom"/>
            <w:shd w:val="clear" w:color="auto" w:fill="E0E3F1"/>
          </w:tcPr>
          <w:p>
            <w:pPr>
              <w:spacing w:after="0"/>
              <w:rPr>
                <w:sz w:val="17"/>
                <w:szCs w:val="17"/>
                <w:color w:val="auto"/>
              </w:rPr>
            </w:pPr>
          </w:p>
        </w:tc>
        <w:tc>
          <w:tcPr>
            <w:tcW w:w="320" w:type="dxa"/>
            <w:vAlign w:val="bottom"/>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E0E3F1"/>
          </w:tcPr>
          <w:p>
            <w:pPr>
              <w:spacing w:after="0"/>
              <w:rPr>
                <w:sz w:val="17"/>
                <w:szCs w:val="17"/>
                <w:color w:val="auto"/>
              </w:rPr>
            </w:pPr>
          </w:p>
        </w:tc>
        <w:tc>
          <w:tcPr>
            <w:tcW w:w="1000" w:type="dxa"/>
            <w:vAlign w:val="bottom"/>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center"/>
              <w:ind w:left="788"/>
              <w:spacing w:after="0"/>
              <w:rPr>
                <w:sz w:val="20"/>
                <w:szCs w:val="20"/>
                <w:color w:val="auto"/>
              </w:rPr>
            </w:pPr>
            <w:r>
              <w:rPr>
                <w:rFonts w:ascii="Arial" w:cs="Arial" w:eastAsia="Arial" w:hAnsi="Arial"/>
                <w:sz w:val="14"/>
                <w:szCs w:val="14"/>
                <w:color w:val="auto"/>
              </w:rPr>
              <w:t>1.2</w:t>
            </w:r>
          </w:p>
        </w:tc>
        <w:tc>
          <w:tcPr>
            <w:tcW w:w="220" w:type="dxa"/>
            <w:vAlign w:val="bottom"/>
          </w:tcPr>
          <w:p>
            <w:pPr>
              <w:spacing w:after="0"/>
              <w:rPr>
                <w:sz w:val="17"/>
                <w:szCs w:val="17"/>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72.88</w:t>
            </w:r>
          </w:p>
        </w:tc>
        <w:tc>
          <w:tcPr>
            <w:tcW w:w="700" w:type="dxa"/>
            <w:vAlign w:val="bottom"/>
          </w:tcPr>
          <w:p>
            <w:pPr>
              <w:spacing w:after="0"/>
              <w:rPr>
                <w:sz w:val="17"/>
                <w:szCs w:val="17"/>
                <w:color w:val="auto"/>
              </w:rPr>
            </w:pPr>
          </w:p>
        </w:tc>
        <w:tc>
          <w:tcPr>
            <w:tcW w:w="320" w:type="dxa"/>
            <w:vAlign w:val="bottom"/>
          </w:tcPr>
          <w:p>
            <w:pPr>
              <w:jc w:val="center"/>
              <w:spacing w:after="0"/>
              <w:rPr>
                <w:sz w:val="20"/>
                <w:szCs w:val="20"/>
                <w:color w:val="auto"/>
              </w:rPr>
            </w:pPr>
            <w:r>
              <w:rPr>
                <w:rFonts w:ascii="Arial" w:cs="Arial" w:eastAsia="Arial" w:hAnsi="Arial"/>
                <w:sz w:val="14"/>
                <w:szCs w:val="14"/>
                <w:color w:val="auto"/>
              </w:rPr>
              <w:t>0.9</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81.79</w:t>
            </w:r>
          </w:p>
        </w:tc>
        <w:tc>
          <w:tcPr>
            <w:tcW w:w="0" w:type="dxa"/>
            <w:vAlign w:val="bottom"/>
          </w:tcPr>
          <w:p>
            <w:pPr>
              <w:spacing w:after="0"/>
              <w:rPr>
                <w:sz w:val="1"/>
                <w:szCs w:val="1"/>
                <w:color w:val="auto"/>
              </w:rPr>
            </w:pPr>
          </w:p>
        </w:tc>
      </w:tr>
      <w:tr>
        <w:trPr>
          <w:trHeight w:val="203"/>
        </w:trPr>
        <w:tc>
          <w:tcPr>
            <w:tcW w:w="4180" w:type="dxa"/>
            <w:vAlign w:val="bottom"/>
          </w:tcPr>
          <w:p>
            <w:pPr>
              <w:ind w:left="20"/>
              <w:spacing w:after="0"/>
              <w:rPr>
                <w:sz w:val="20"/>
                <w:szCs w:val="20"/>
                <w:color w:val="auto"/>
              </w:rPr>
            </w:pPr>
            <w:r>
              <w:rPr>
                <w:rFonts w:ascii="Arial" w:cs="Arial" w:eastAsia="Arial" w:hAnsi="Arial"/>
                <w:sz w:val="14"/>
                <w:szCs w:val="14"/>
                <w:color w:val="auto"/>
              </w:rPr>
              <w:t>Exercised</w:t>
            </w:r>
          </w:p>
        </w:tc>
        <w:tc>
          <w:tcPr>
            <w:tcW w:w="840" w:type="dxa"/>
            <w:vAlign w:val="bottom"/>
            <w:shd w:val="clear" w:color="auto" w:fill="E0E3F1"/>
          </w:tcPr>
          <w:p>
            <w:pPr>
              <w:spacing w:after="0"/>
              <w:rPr>
                <w:sz w:val="17"/>
                <w:szCs w:val="17"/>
                <w:color w:val="auto"/>
              </w:rPr>
            </w:pPr>
          </w:p>
        </w:tc>
        <w:tc>
          <w:tcPr>
            <w:tcW w:w="320" w:type="dxa"/>
            <w:vAlign w:val="bottom"/>
            <w:shd w:val="clear" w:color="auto" w:fill="E0E3F1"/>
          </w:tcPr>
          <w:p>
            <w:pPr>
              <w:jc w:val="right"/>
              <w:spacing w:after="0"/>
              <w:rPr>
                <w:sz w:val="20"/>
                <w:szCs w:val="20"/>
                <w:color w:val="auto"/>
              </w:rPr>
            </w:pPr>
            <w:r>
              <w:rPr>
                <w:rFonts w:ascii="Arial" w:cs="Arial" w:eastAsia="Arial" w:hAnsi="Arial"/>
                <w:sz w:val="14"/>
                <w:szCs w:val="14"/>
                <w:color w:val="auto"/>
                <w:w w:val="97"/>
              </w:rPr>
              <w:t>(0.4)</w:t>
            </w:r>
          </w:p>
        </w:tc>
        <w:tc>
          <w:tcPr>
            <w:tcW w:w="180" w:type="dxa"/>
            <w:vAlign w:val="bottom"/>
            <w:shd w:val="clear" w:color="auto" w:fill="E0E3F1"/>
          </w:tcPr>
          <w:p>
            <w:pPr>
              <w:spacing w:after="0"/>
              <w:rPr>
                <w:sz w:val="17"/>
                <w:szCs w:val="17"/>
                <w:color w:val="auto"/>
              </w:rPr>
            </w:pPr>
          </w:p>
        </w:tc>
        <w:tc>
          <w:tcPr>
            <w:tcW w:w="1000" w:type="dxa"/>
            <w:vAlign w:val="bottom"/>
            <w:shd w:val="clear" w:color="auto" w:fill="E0E3F1"/>
          </w:tcPr>
          <w:p>
            <w:pPr>
              <w:jc w:val="right"/>
              <w:spacing w:after="0"/>
              <w:rPr>
                <w:sz w:val="20"/>
                <w:szCs w:val="20"/>
                <w:color w:val="auto"/>
              </w:rPr>
            </w:pPr>
            <w:r>
              <w:rPr>
                <w:rFonts w:ascii="Arial" w:cs="Arial" w:eastAsia="Arial" w:hAnsi="Arial"/>
                <w:sz w:val="14"/>
                <w:szCs w:val="14"/>
                <w:color w:val="auto"/>
              </w:rPr>
              <w:t>50.28</w:t>
            </w:r>
          </w:p>
        </w:tc>
        <w:tc>
          <w:tcPr>
            <w:tcW w:w="1180" w:type="dxa"/>
            <w:vAlign w:val="bottom"/>
          </w:tcPr>
          <w:p>
            <w:pPr>
              <w:jc w:val="center"/>
              <w:ind w:left="768"/>
              <w:spacing w:after="0"/>
              <w:rPr>
                <w:sz w:val="20"/>
                <w:szCs w:val="20"/>
                <w:color w:val="auto"/>
              </w:rPr>
            </w:pPr>
            <w:r>
              <w:rPr>
                <w:rFonts w:ascii="Arial" w:cs="Arial" w:eastAsia="Arial" w:hAnsi="Arial"/>
                <w:sz w:val="14"/>
                <w:szCs w:val="14"/>
                <w:color w:val="auto"/>
              </w:rPr>
              <w:t>(0.3)</w:t>
            </w:r>
          </w:p>
        </w:tc>
        <w:tc>
          <w:tcPr>
            <w:tcW w:w="220" w:type="dxa"/>
            <w:vAlign w:val="bottom"/>
          </w:tcPr>
          <w:p>
            <w:pPr>
              <w:spacing w:after="0"/>
              <w:rPr>
                <w:sz w:val="17"/>
                <w:szCs w:val="17"/>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45.69</w:t>
            </w:r>
          </w:p>
        </w:tc>
        <w:tc>
          <w:tcPr>
            <w:tcW w:w="700" w:type="dxa"/>
            <w:vAlign w:val="bottom"/>
          </w:tcPr>
          <w:p>
            <w:pPr>
              <w:spacing w:after="0"/>
              <w:rPr>
                <w:sz w:val="17"/>
                <w:szCs w:val="17"/>
                <w:color w:val="auto"/>
              </w:rPr>
            </w:pPr>
          </w:p>
        </w:tc>
        <w:tc>
          <w:tcPr>
            <w:tcW w:w="320" w:type="dxa"/>
            <w:vAlign w:val="bottom"/>
          </w:tcPr>
          <w:p>
            <w:pPr>
              <w:jc w:val="center"/>
              <w:spacing w:after="0"/>
              <w:rPr>
                <w:sz w:val="20"/>
                <w:szCs w:val="20"/>
                <w:color w:val="auto"/>
              </w:rPr>
            </w:pPr>
            <w:r>
              <w:rPr>
                <w:rFonts w:ascii="Arial" w:cs="Arial" w:eastAsia="Arial" w:hAnsi="Arial"/>
                <w:sz w:val="14"/>
                <w:szCs w:val="14"/>
                <w:color w:val="auto"/>
              </w:rPr>
              <w:t>(0.3)</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47.86</w:t>
            </w:r>
          </w:p>
        </w:tc>
        <w:tc>
          <w:tcPr>
            <w:tcW w:w="0" w:type="dxa"/>
            <w:vAlign w:val="bottom"/>
          </w:tcPr>
          <w:p>
            <w:pPr>
              <w:spacing w:after="0"/>
              <w:rPr>
                <w:sz w:val="1"/>
                <w:szCs w:val="1"/>
                <w:color w:val="auto"/>
              </w:rPr>
            </w:pPr>
          </w:p>
        </w:tc>
      </w:tr>
      <w:tr>
        <w:trPr>
          <w:trHeight w:val="207"/>
        </w:trPr>
        <w:tc>
          <w:tcPr>
            <w:tcW w:w="418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Forfeited</w:t>
            </w:r>
          </w:p>
        </w:tc>
        <w:tc>
          <w:tcPr>
            <w:tcW w:w="840" w:type="dxa"/>
            <w:vAlign w:val="bottom"/>
            <w:tcBorders>
              <w:bottom w:val="single" w:sz="8" w:color="00539B"/>
            </w:tcBorders>
            <w:shd w:val="clear" w:color="auto" w:fill="E0E3F1"/>
          </w:tcPr>
          <w:p>
            <w:pPr>
              <w:spacing w:after="0"/>
              <w:rPr>
                <w:sz w:val="17"/>
                <w:szCs w:val="17"/>
                <w:color w:val="auto"/>
              </w:rPr>
            </w:pPr>
          </w:p>
        </w:tc>
        <w:tc>
          <w:tcPr>
            <w:tcW w:w="32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w w:val="97"/>
              </w:rPr>
              <w:t>(0.2)</w:t>
            </w:r>
          </w:p>
        </w:tc>
        <w:tc>
          <w:tcPr>
            <w:tcW w:w="180" w:type="dxa"/>
            <w:vAlign w:val="bottom"/>
            <w:tcBorders>
              <w:bottom w:val="single" w:sz="8" w:color="00539B"/>
            </w:tcBorders>
            <w:shd w:val="clear" w:color="auto" w:fill="E0E3F1"/>
          </w:tcPr>
          <w:p>
            <w:pPr>
              <w:spacing w:after="0"/>
              <w:rPr>
                <w:sz w:val="17"/>
                <w:szCs w:val="17"/>
                <w:color w:val="auto"/>
              </w:rPr>
            </w:pPr>
          </w:p>
        </w:tc>
        <w:tc>
          <w:tcPr>
            <w:tcW w:w="100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72.11</w:t>
            </w:r>
          </w:p>
        </w:tc>
        <w:tc>
          <w:tcPr>
            <w:tcW w:w="1180" w:type="dxa"/>
            <w:vAlign w:val="bottom"/>
            <w:tcBorders>
              <w:bottom w:val="single" w:sz="8" w:color="00539B"/>
            </w:tcBorders>
          </w:tcPr>
          <w:p>
            <w:pPr>
              <w:jc w:val="center"/>
              <w:ind w:left="768"/>
              <w:spacing w:after="0"/>
              <w:rPr>
                <w:sz w:val="20"/>
                <w:szCs w:val="20"/>
                <w:color w:val="auto"/>
              </w:rPr>
            </w:pPr>
            <w:r>
              <w:rPr>
                <w:rFonts w:ascii="Arial" w:cs="Arial" w:eastAsia="Arial" w:hAnsi="Arial"/>
                <w:sz w:val="14"/>
                <w:szCs w:val="14"/>
                <w:color w:val="auto"/>
              </w:rPr>
              <w:t>(0.1)</w:t>
            </w:r>
          </w:p>
        </w:tc>
        <w:tc>
          <w:tcPr>
            <w:tcW w:w="220" w:type="dxa"/>
            <w:vAlign w:val="bottom"/>
            <w:tcBorders>
              <w:bottom w:val="single" w:sz="8" w:color="00539B"/>
            </w:tcBorders>
          </w:tcPr>
          <w:p>
            <w:pPr>
              <w:spacing w:after="0"/>
              <w:rPr>
                <w:sz w:val="17"/>
                <w:szCs w:val="17"/>
                <w:color w:val="auto"/>
              </w:rPr>
            </w:pPr>
          </w:p>
        </w:tc>
        <w:tc>
          <w:tcPr>
            <w:tcW w:w="1100" w:type="dxa"/>
            <w:vAlign w:val="bottom"/>
            <w:tcBorders>
              <w:bottom w:val="single" w:sz="8" w:color="00539B"/>
            </w:tcBorders>
          </w:tcPr>
          <w:p>
            <w:pPr>
              <w:jc w:val="right"/>
              <w:ind w:right="128"/>
              <w:spacing w:after="0"/>
              <w:rPr>
                <w:sz w:val="20"/>
                <w:szCs w:val="20"/>
                <w:color w:val="auto"/>
              </w:rPr>
            </w:pPr>
            <w:r>
              <w:rPr>
                <w:rFonts w:ascii="Arial" w:cs="Arial" w:eastAsia="Arial" w:hAnsi="Arial"/>
                <w:sz w:val="14"/>
                <w:szCs w:val="14"/>
                <w:color w:val="auto"/>
              </w:rPr>
              <w:t>84.00</w:t>
            </w:r>
          </w:p>
        </w:tc>
        <w:tc>
          <w:tcPr>
            <w:tcW w:w="700" w:type="dxa"/>
            <w:vAlign w:val="bottom"/>
            <w:tcBorders>
              <w:bottom w:val="single" w:sz="8" w:color="00539B"/>
            </w:tcBorders>
          </w:tcPr>
          <w:p>
            <w:pPr>
              <w:spacing w:after="0"/>
              <w:rPr>
                <w:sz w:val="17"/>
                <w:szCs w:val="17"/>
                <w:color w:val="auto"/>
              </w:rPr>
            </w:pPr>
          </w:p>
        </w:tc>
        <w:tc>
          <w:tcPr>
            <w:tcW w:w="320" w:type="dxa"/>
            <w:vAlign w:val="bottom"/>
            <w:tcBorders>
              <w:bottom w:val="single" w:sz="8" w:color="00539B"/>
            </w:tcBorders>
          </w:tcPr>
          <w:p>
            <w:pPr>
              <w:jc w:val="center"/>
              <w:spacing w:after="0"/>
              <w:rPr>
                <w:sz w:val="20"/>
                <w:szCs w:val="20"/>
                <w:color w:val="auto"/>
              </w:rPr>
            </w:pPr>
            <w:r>
              <w:rPr>
                <w:rFonts w:ascii="Arial" w:cs="Arial" w:eastAsia="Arial" w:hAnsi="Arial"/>
                <w:sz w:val="14"/>
                <w:szCs w:val="14"/>
                <w:color w:val="auto"/>
              </w:rPr>
              <w:t>(0.1)</w:t>
            </w:r>
          </w:p>
        </w:tc>
        <w:tc>
          <w:tcPr>
            <w:tcW w:w="220" w:type="dxa"/>
            <w:vAlign w:val="bottom"/>
            <w:tcBorders>
              <w:bottom w:val="single" w:sz="8" w:color="00539B"/>
            </w:tcBorders>
          </w:tcPr>
          <w:p>
            <w:pPr>
              <w:spacing w:after="0"/>
              <w:rPr>
                <w:sz w:val="17"/>
                <w:szCs w:val="17"/>
                <w:color w:val="auto"/>
              </w:rPr>
            </w:pPr>
          </w:p>
        </w:tc>
        <w:tc>
          <w:tcPr>
            <w:tcW w:w="98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87.11</w:t>
            </w:r>
          </w:p>
        </w:tc>
        <w:tc>
          <w:tcPr>
            <w:tcW w:w="0" w:type="dxa"/>
            <w:vAlign w:val="bottom"/>
          </w:tcPr>
          <w:p>
            <w:pPr>
              <w:spacing w:after="0"/>
              <w:rPr>
                <w:sz w:val="1"/>
                <w:szCs w:val="1"/>
                <w:color w:val="auto"/>
              </w:rPr>
            </w:pPr>
          </w:p>
        </w:tc>
      </w:tr>
      <w:tr>
        <w:trPr>
          <w:trHeight w:val="196"/>
        </w:trPr>
        <w:tc>
          <w:tcPr>
            <w:tcW w:w="418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Outstanding—end of year</w:t>
            </w:r>
          </w:p>
        </w:tc>
        <w:tc>
          <w:tcPr>
            <w:tcW w:w="840" w:type="dxa"/>
            <w:vAlign w:val="bottom"/>
            <w:tcBorders>
              <w:bottom w:val="single" w:sz="8" w:color="00539B"/>
            </w:tcBorders>
            <w:shd w:val="clear" w:color="auto" w:fill="E0E3F1"/>
          </w:tcPr>
          <w:p>
            <w:pPr>
              <w:spacing w:after="0"/>
              <w:rPr>
                <w:sz w:val="17"/>
                <w:szCs w:val="17"/>
                <w:color w:val="auto"/>
              </w:rPr>
            </w:pPr>
          </w:p>
        </w:tc>
        <w:tc>
          <w:tcPr>
            <w:tcW w:w="32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5.5</w:t>
            </w:r>
          </w:p>
        </w:tc>
        <w:tc>
          <w:tcPr>
            <w:tcW w:w="180" w:type="dxa"/>
            <w:vAlign w:val="bottom"/>
            <w:tcBorders>
              <w:bottom w:val="single" w:sz="8" w:color="00539B"/>
            </w:tcBorders>
            <w:shd w:val="clear" w:color="auto" w:fill="E0E3F1"/>
          </w:tcPr>
          <w:p>
            <w:pPr>
              <w:spacing w:after="0"/>
              <w:rPr>
                <w:sz w:val="17"/>
                <w:szCs w:val="17"/>
                <w:color w:val="auto"/>
              </w:rPr>
            </w:pPr>
          </w:p>
        </w:tc>
        <w:tc>
          <w:tcPr>
            <w:tcW w:w="100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73.92</w:t>
            </w:r>
          </w:p>
        </w:tc>
        <w:tc>
          <w:tcPr>
            <w:tcW w:w="1180" w:type="dxa"/>
            <w:vAlign w:val="bottom"/>
            <w:tcBorders>
              <w:bottom w:val="single" w:sz="8" w:color="00539B"/>
            </w:tcBorders>
          </w:tcPr>
          <w:p>
            <w:pPr>
              <w:jc w:val="center"/>
              <w:ind w:left="788"/>
              <w:spacing w:after="0"/>
              <w:rPr>
                <w:sz w:val="20"/>
                <w:szCs w:val="20"/>
                <w:color w:val="auto"/>
              </w:rPr>
            </w:pPr>
            <w:r>
              <w:rPr>
                <w:rFonts w:ascii="Arial" w:cs="Arial" w:eastAsia="Arial" w:hAnsi="Arial"/>
                <w:sz w:val="14"/>
                <w:szCs w:val="14"/>
                <w:color w:val="auto"/>
              </w:rPr>
              <w:t>6.1</w:t>
            </w:r>
          </w:p>
        </w:tc>
        <w:tc>
          <w:tcPr>
            <w:tcW w:w="220" w:type="dxa"/>
            <w:vAlign w:val="bottom"/>
            <w:tcBorders>
              <w:bottom w:val="single" w:sz="8" w:color="00539B"/>
            </w:tcBorders>
          </w:tcPr>
          <w:p>
            <w:pPr>
              <w:spacing w:after="0"/>
              <w:rPr>
                <w:sz w:val="17"/>
                <w:szCs w:val="17"/>
                <w:color w:val="auto"/>
              </w:rPr>
            </w:pPr>
          </w:p>
        </w:tc>
        <w:tc>
          <w:tcPr>
            <w:tcW w:w="1100" w:type="dxa"/>
            <w:vAlign w:val="bottom"/>
            <w:tcBorders>
              <w:bottom w:val="single" w:sz="8" w:color="00539B"/>
            </w:tcBorders>
          </w:tcPr>
          <w:p>
            <w:pPr>
              <w:jc w:val="right"/>
              <w:ind w:right="128"/>
              <w:spacing w:after="0"/>
              <w:rPr>
                <w:sz w:val="20"/>
                <w:szCs w:val="20"/>
                <w:color w:val="auto"/>
              </w:rPr>
            </w:pPr>
            <w:r>
              <w:rPr>
                <w:rFonts w:ascii="Arial" w:cs="Arial" w:eastAsia="Arial" w:hAnsi="Arial"/>
                <w:sz w:val="14"/>
                <w:szCs w:val="14"/>
                <w:color w:val="auto"/>
              </w:rPr>
              <w:t>72.25</w:t>
            </w:r>
          </w:p>
        </w:tc>
        <w:tc>
          <w:tcPr>
            <w:tcW w:w="700" w:type="dxa"/>
            <w:vAlign w:val="bottom"/>
            <w:tcBorders>
              <w:bottom w:val="single" w:sz="8" w:color="00539B"/>
            </w:tcBorders>
          </w:tcPr>
          <w:p>
            <w:pPr>
              <w:spacing w:after="0"/>
              <w:rPr>
                <w:sz w:val="17"/>
                <w:szCs w:val="17"/>
                <w:color w:val="auto"/>
              </w:rPr>
            </w:pPr>
          </w:p>
        </w:tc>
        <w:tc>
          <w:tcPr>
            <w:tcW w:w="320" w:type="dxa"/>
            <w:vAlign w:val="bottom"/>
            <w:tcBorders>
              <w:bottom w:val="single" w:sz="8" w:color="00539B"/>
            </w:tcBorders>
          </w:tcPr>
          <w:p>
            <w:pPr>
              <w:jc w:val="center"/>
              <w:spacing w:after="0"/>
              <w:rPr>
                <w:sz w:val="20"/>
                <w:szCs w:val="20"/>
                <w:color w:val="auto"/>
              </w:rPr>
            </w:pPr>
            <w:r>
              <w:rPr>
                <w:rFonts w:ascii="Arial" w:cs="Arial" w:eastAsia="Arial" w:hAnsi="Arial"/>
                <w:sz w:val="14"/>
                <w:szCs w:val="14"/>
                <w:color w:val="auto"/>
              </w:rPr>
              <w:t>5.3</w:t>
            </w:r>
          </w:p>
        </w:tc>
        <w:tc>
          <w:tcPr>
            <w:tcW w:w="220" w:type="dxa"/>
            <w:vAlign w:val="bottom"/>
            <w:tcBorders>
              <w:bottom w:val="single" w:sz="8" w:color="00539B"/>
            </w:tcBorders>
          </w:tcPr>
          <w:p>
            <w:pPr>
              <w:spacing w:after="0"/>
              <w:rPr>
                <w:sz w:val="17"/>
                <w:szCs w:val="17"/>
                <w:color w:val="auto"/>
              </w:rPr>
            </w:pPr>
          </w:p>
        </w:tc>
        <w:tc>
          <w:tcPr>
            <w:tcW w:w="98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70.43</w:t>
            </w:r>
          </w:p>
        </w:tc>
        <w:tc>
          <w:tcPr>
            <w:tcW w:w="0" w:type="dxa"/>
            <w:vAlign w:val="bottom"/>
          </w:tcPr>
          <w:p>
            <w:pPr>
              <w:spacing w:after="0"/>
              <w:rPr>
                <w:sz w:val="1"/>
                <w:szCs w:val="1"/>
                <w:color w:val="auto"/>
              </w:rPr>
            </w:pPr>
          </w:p>
        </w:tc>
      </w:tr>
      <w:tr>
        <w:trPr>
          <w:trHeight w:val="207"/>
        </w:trPr>
        <w:tc>
          <w:tcPr>
            <w:tcW w:w="418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Exercisable—end of year</w:t>
            </w:r>
          </w:p>
        </w:tc>
        <w:tc>
          <w:tcPr>
            <w:tcW w:w="840" w:type="dxa"/>
            <w:vAlign w:val="bottom"/>
            <w:tcBorders>
              <w:bottom w:val="single" w:sz="8" w:color="00539B"/>
            </w:tcBorders>
            <w:shd w:val="clear" w:color="auto" w:fill="E0E3F1"/>
          </w:tcPr>
          <w:p>
            <w:pPr>
              <w:spacing w:after="0"/>
              <w:rPr>
                <w:sz w:val="18"/>
                <w:szCs w:val="18"/>
                <w:color w:val="auto"/>
              </w:rPr>
            </w:pPr>
          </w:p>
        </w:tc>
        <w:tc>
          <w:tcPr>
            <w:tcW w:w="32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4.7</w:t>
            </w:r>
          </w:p>
        </w:tc>
        <w:tc>
          <w:tcPr>
            <w:tcW w:w="18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73.54</w:t>
            </w:r>
          </w:p>
        </w:tc>
        <w:tc>
          <w:tcPr>
            <w:tcW w:w="1180" w:type="dxa"/>
            <w:vAlign w:val="bottom"/>
            <w:tcBorders>
              <w:bottom w:val="single" w:sz="8" w:color="00539B"/>
            </w:tcBorders>
          </w:tcPr>
          <w:p>
            <w:pPr>
              <w:jc w:val="center"/>
              <w:ind w:left="788"/>
              <w:spacing w:after="0"/>
              <w:rPr>
                <w:sz w:val="20"/>
                <w:szCs w:val="20"/>
                <w:color w:val="auto"/>
              </w:rPr>
            </w:pPr>
            <w:r>
              <w:rPr>
                <w:rFonts w:ascii="Arial" w:cs="Arial" w:eastAsia="Arial" w:hAnsi="Arial"/>
                <w:sz w:val="14"/>
                <w:szCs w:val="14"/>
                <w:color w:val="auto"/>
              </w:rPr>
              <w:t>4.4</w:t>
            </w:r>
          </w:p>
        </w:tc>
        <w:tc>
          <w:tcPr>
            <w:tcW w:w="220" w:type="dxa"/>
            <w:vAlign w:val="bottom"/>
            <w:tcBorders>
              <w:bottom w:val="single" w:sz="8" w:color="00539B"/>
            </w:tcBorders>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00539B"/>
            </w:tcBorders>
          </w:tcPr>
          <w:p>
            <w:pPr>
              <w:jc w:val="right"/>
              <w:ind w:right="128"/>
              <w:spacing w:after="0"/>
              <w:rPr>
                <w:sz w:val="20"/>
                <w:szCs w:val="20"/>
                <w:color w:val="auto"/>
              </w:rPr>
            </w:pPr>
            <w:r>
              <w:rPr>
                <w:rFonts w:ascii="Arial" w:cs="Arial" w:eastAsia="Arial" w:hAnsi="Arial"/>
                <w:sz w:val="14"/>
                <w:szCs w:val="14"/>
                <w:color w:val="auto"/>
              </w:rPr>
              <w:t>69.91</w:t>
            </w:r>
          </w:p>
        </w:tc>
        <w:tc>
          <w:tcPr>
            <w:tcW w:w="700" w:type="dxa"/>
            <w:vAlign w:val="bottom"/>
            <w:tcBorders>
              <w:bottom w:val="single" w:sz="8" w:color="00539B"/>
            </w:tcBorders>
          </w:tcPr>
          <w:p>
            <w:pPr>
              <w:spacing w:after="0"/>
              <w:rPr>
                <w:sz w:val="18"/>
                <w:szCs w:val="18"/>
                <w:color w:val="auto"/>
              </w:rPr>
            </w:pPr>
          </w:p>
        </w:tc>
        <w:tc>
          <w:tcPr>
            <w:tcW w:w="320" w:type="dxa"/>
            <w:vAlign w:val="bottom"/>
            <w:tcBorders>
              <w:bottom w:val="single" w:sz="8" w:color="00539B"/>
            </w:tcBorders>
          </w:tcPr>
          <w:p>
            <w:pPr>
              <w:jc w:val="center"/>
              <w:spacing w:after="0"/>
              <w:rPr>
                <w:sz w:val="20"/>
                <w:szCs w:val="20"/>
                <w:color w:val="auto"/>
              </w:rPr>
            </w:pPr>
            <w:r>
              <w:rPr>
                <w:rFonts w:ascii="Arial" w:cs="Arial" w:eastAsia="Arial" w:hAnsi="Arial"/>
                <w:sz w:val="14"/>
                <w:szCs w:val="14"/>
                <w:color w:val="auto"/>
              </w:rPr>
              <w:t>4.0</w:t>
            </w:r>
          </w:p>
        </w:tc>
        <w:tc>
          <w:tcPr>
            <w:tcW w:w="220" w:type="dxa"/>
            <w:vAlign w:val="bottom"/>
            <w:tcBorders>
              <w:bottom w:val="single" w:sz="8" w:color="00539B"/>
            </w:tcBorders>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64.74</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November 30, 2025, the intrinsic value (the difference between the exercise price and the market price) for options currently outstanding was $21.5 million and for options exercisable was $21.3 million. At November 30, 2025 the differences between options outstanding and options expected to vest and their related weighted-average exercise prices, aggregate intrinsic values, and weighted-average remaining lives were not material. The total intrinsic value of all options exercised during the years ended November 30, 2025, 2024, and 2023 was $11.0 million, $10.7 million, and $11.3 million, respectively.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stock options outstanding and exercisable at November 30, 2025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000" w:type="dxa"/>
            <w:vAlign w:val="bottom"/>
            <w:tcBorders>
              <w:top w:val="single" w:sz="8" w:color="00539B"/>
              <w:bottom w:val="single" w:sz="8" w:color="00539B"/>
            </w:tcBorders>
            <w:shd w:val="clear" w:color="auto" w:fill="E0E3F1"/>
          </w:tcPr>
          <w:p>
            <w:pPr>
              <w:ind w:left="20"/>
              <w:spacing w:after="0"/>
              <w:rPr>
                <w:sz w:val="20"/>
                <w:szCs w:val="20"/>
                <w:color w:val="auto"/>
              </w:rPr>
            </w:pPr>
            <w:r>
              <w:rPr>
                <w:rFonts w:ascii="Arial" w:cs="Arial" w:eastAsia="Arial" w:hAnsi="Arial"/>
                <w:sz w:val="14"/>
                <w:szCs w:val="14"/>
                <w:color w:val="auto"/>
              </w:rPr>
              <w:t>(shares in millions)</w:t>
            </w:r>
          </w:p>
        </w:tc>
        <w:tc>
          <w:tcPr>
            <w:tcW w:w="1140" w:type="dxa"/>
            <w:vAlign w:val="bottom"/>
            <w:tcBorders>
              <w:top w:val="single" w:sz="8" w:color="00539B"/>
              <w:bottom w:val="single" w:sz="8" w:color="00539B"/>
            </w:tcBorders>
            <w:shd w:val="clear" w:color="auto" w:fill="E0E3F1"/>
          </w:tcPr>
          <w:p>
            <w:pPr>
              <w:spacing w:after="0"/>
              <w:rPr>
                <w:sz w:val="19"/>
                <w:szCs w:val="19"/>
                <w:color w:val="auto"/>
              </w:rPr>
            </w:pPr>
          </w:p>
        </w:tc>
        <w:tc>
          <w:tcPr>
            <w:tcW w:w="1440" w:type="dxa"/>
            <w:vAlign w:val="bottom"/>
            <w:tcBorders>
              <w:top w:val="single" w:sz="8" w:color="00539B"/>
              <w:bottom w:val="single" w:sz="8" w:color="00539B"/>
            </w:tcBorders>
            <w:gridSpan w:val="2"/>
            <w:shd w:val="clear" w:color="auto" w:fill="E0E3F1"/>
          </w:tcPr>
          <w:p>
            <w:pPr>
              <w:jc w:val="center"/>
              <w:ind w:right="48"/>
              <w:spacing w:after="0"/>
              <w:rPr>
                <w:sz w:val="20"/>
                <w:szCs w:val="20"/>
                <w:color w:val="auto"/>
              </w:rPr>
            </w:pPr>
            <w:r>
              <w:rPr>
                <w:rFonts w:ascii="Arial" w:cs="Arial" w:eastAsia="Arial" w:hAnsi="Arial"/>
                <w:sz w:val="14"/>
                <w:szCs w:val="14"/>
                <w:color w:val="auto"/>
              </w:rPr>
              <w:t>Options outstanding</w:t>
            </w:r>
          </w:p>
        </w:tc>
        <w:tc>
          <w:tcPr>
            <w:tcW w:w="1160" w:type="dxa"/>
            <w:vAlign w:val="bottom"/>
            <w:tcBorders>
              <w:top w:val="single" w:sz="8" w:color="00539B"/>
              <w:bottom w:val="single" w:sz="8" w:color="00539B"/>
            </w:tcBorders>
            <w:shd w:val="clear" w:color="auto" w:fill="E0E3F1"/>
          </w:tcPr>
          <w:p>
            <w:pPr>
              <w:spacing w:after="0"/>
              <w:rPr>
                <w:sz w:val="19"/>
                <w:szCs w:val="19"/>
                <w:color w:val="auto"/>
              </w:rPr>
            </w:pPr>
          </w:p>
        </w:tc>
        <w:tc>
          <w:tcPr>
            <w:tcW w:w="1000" w:type="dxa"/>
            <w:vAlign w:val="bottom"/>
            <w:tcBorders>
              <w:top w:val="single" w:sz="8" w:color="00539B"/>
              <w:bottom w:val="single" w:sz="8" w:color="00539B"/>
            </w:tcBorders>
            <w:shd w:val="clear" w:color="auto" w:fill="E0E3F1"/>
          </w:tcPr>
          <w:p>
            <w:pPr>
              <w:spacing w:after="0"/>
              <w:rPr>
                <w:sz w:val="19"/>
                <w:szCs w:val="19"/>
                <w:color w:val="auto"/>
              </w:rPr>
            </w:pPr>
          </w:p>
        </w:tc>
        <w:tc>
          <w:tcPr>
            <w:tcW w:w="1420" w:type="dxa"/>
            <w:vAlign w:val="bottom"/>
            <w:tcBorders>
              <w:top w:val="single" w:sz="8" w:color="00539B"/>
              <w:bottom w:val="single" w:sz="8" w:color="00539B"/>
            </w:tcBorders>
            <w:gridSpan w:val="2"/>
            <w:shd w:val="clear" w:color="auto" w:fill="E0E3F1"/>
          </w:tcPr>
          <w:p>
            <w:pPr>
              <w:jc w:val="center"/>
              <w:ind w:right="48"/>
              <w:spacing w:after="0"/>
              <w:rPr>
                <w:sz w:val="20"/>
                <w:szCs w:val="20"/>
                <w:color w:val="auto"/>
              </w:rPr>
            </w:pPr>
            <w:r>
              <w:rPr>
                <w:rFonts w:ascii="Arial" w:cs="Arial" w:eastAsia="Arial" w:hAnsi="Arial"/>
                <w:sz w:val="14"/>
                <w:szCs w:val="14"/>
                <w:color w:val="auto"/>
              </w:rPr>
              <w:t>Options exercisable</w:t>
            </w:r>
          </w:p>
        </w:tc>
        <w:tc>
          <w:tcPr>
            <w:tcW w:w="1020" w:type="dxa"/>
            <w:vAlign w:val="bottom"/>
            <w:tcBorders>
              <w:top w:val="single" w:sz="8" w:color="00539B"/>
              <w:bottom w:val="single" w:sz="8" w:color="00539B"/>
            </w:tcBorders>
            <w:shd w:val="clear" w:color="auto" w:fill="E0E3F1"/>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4000" w:type="dxa"/>
            <w:vAlign w:val="bottom"/>
            <w:shd w:val="clear" w:color="auto" w:fill="E0E3F1"/>
          </w:tcPr>
          <w:p>
            <w:pPr>
              <w:spacing w:after="0"/>
              <w:rPr>
                <w:sz w:val="12"/>
                <w:szCs w:val="12"/>
                <w:color w:val="auto"/>
              </w:rPr>
            </w:pPr>
          </w:p>
        </w:tc>
        <w:tc>
          <w:tcPr>
            <w:tcW w:w="1140" w:type="dxa"/>
            <w:vAlign w:val="bottom"/>
            <w:shd w:val="clear" w:color="auto" w:fill="E0E3F1"/>
          </w:tcPr>
          <w:p>
            <w:pPr>
              <w:spacing w:after="0"/>
              <w:rPr>
                <w:sz w:val="12"/>
                <w:szCs w:val="12"/>
                <w:color w:val="auto"/>
              </w:rPr>
            </w:pPr>
          </w:p>
        </w:tc>
        <w:tc>
          <w:tcPr>
            <w:tcW w:w="1260" w:type="dxa"/>
            <w:vAlign w:val="bottom"/>
            <w:shd w:val="clear" w:color="auto" w:fill="E0E3F1"/>
          </w:tcPr>
          <w:p>
            <w:pPr>
              <w:jc w:val="center"/>
              <w:spacing w:after="0" w:line="146" w:lineRule="exact"/>
              <w:rPr>
                <w:sz w:val="20"/>
                <w:szCs w:val="20"/>
                <w:color w:val="auto"/>
              </w:rPr>
            </w:pPr>
            <w:r>
              <w:rPr>
                <w:rFonts w:ascii="Arial" w:cs="Arial" w:eastAsia="Arial" w:hAnsi="Arial"/>
                <w:sz w:val="14"/>
                <w:szCs w:val="14"/>
                <w:color w:val="auto"/>
              </w:rPr>
              <w:t>Weighted-</w:t>
            </w:r>
          </w:p>
        </w:tc>
        <w:tc>
          <w:tcPr>
            <w:tcW w:w="180" w:type="dxa"/>
            <w:vAlign w:val="bottom"/>
            <w:shd w:val="clear" w:color="auto" w:fill="E0E3F1"/>
          </w:tcPr>
          <w:p>
            <w:pPr>
              <w:spacing w:after="0"/>
              <w:rPr>
                <w:sz w:val="12"/>
                <w:szCs w:val="12"/>
                <w:color w:val="auto"/>
              </w:rPr>
            </w:pPr>
          </w:p>
        </w:tc>
        <w:tc>
          <w:tcPr>
            <w:tcW w:w="1160" w:type="dxa"/>
            <w:vAlign w:val="bottom"/>
            <w:shd w:val="clear" w:color="auto" w:fill="E0E3F1"/>
          </w:tcPr>
          <w:p>
            <w:pPr>
              <w:jc w:val="center"/>
              <w:ind w:right="268"/>
              <w:spacing w:after="0" w:line="146" w:lineRule="exact"/>
              <w:rPr>
                <w:sz w:val="20"/>
                <w:szCs w:val="20"/>
                <w:color w:val="auto"/>
              </w:rPr>
            </w:pPr>
            <w:r>
              <w:rPr>
                <w:rFonts w:ascii="Arial" w:cs="Arial" w:eastAsia="Arial" w:hAnsi="Arial"/>
                <w:sz w:val="14"/>
                <w:szCs w:val="14"/>
                <w:color w:val="auto"/>
              </w:rPr>
              <w:t>Weighted-</w:t>
            </w:r>
          </w:p>
        </w:tc>
        <w:tc>
          <w:tcPr>
            <w:tcW w:w="1000" w:type="dxa"/>
            <w:vAlign w:val="bottom"/>
            <w:shd w:val="clear" w:color="auto" w:fill="E0E3F1"/>
          </w:tcPr>
          <w:p>
            <w:pPr>
              <w:spacing w:after="0"/>
              <w:rPr>
                <w:sz w:val="12"/>
                <w:szCs w:val="12"/>
                <w:color w:val="auto"/>
              </w:rPr>
            </w:pPr>
          </w:p>
        </w:tc>
        <w:tc>
          <w:tcPr>
            <w:tcW w:w="1120" w:type="dxa"/>
            <w:vAlign w:val="bottom"/>
            <w:shd w:val="clear" w:color="auto" w:fill="E0E3F1"/>
          </w:tcPr>
          <w:p>
            <w:pPr>
              <w:jc w:val="center"/>
              <w:ind w:left="108"/>
              <w:spacing w:after="0" w:line="146" w:lineRule="exact"/>
              <w:rPr>
                <w:sz w:val="20"/>
                <w:szCs w:val="20"/>
                <w:color w:val="auto"/>
              </w:rPr>
            </w:pPr>
            <w:r>
              <w:rPr>
                <w:rFonts w:ascii="Arial" w:cs="Arial" w:eastAsia="Arial" w:hAnsi="Arial"/>
                <w:sz w:val="14"/>
                <w:szCs w:val="14"/>
                <w:color w:val="auto"/>
              </w:rPr>
              <w:t>Weighted-</w:t>
            </w:r>
          </w:p>
        </w:tc>
        <w:tc>
          <w:tcPr>
            <w:tcW w:w="300" w:type="dxa"/>
            <w:vAlign w:val="bottom"/>
            <w:shd w:val="clear" w:color="auto" w:fill="E0E3F1"/>
          </w:tcPr>
          <w:p>
            <w:pPr>
              <w:spacing w:after="0"/>
              <w:rPr>
                <w:sz w:val="12"/>
                <w:szCs w:val="12"/>
                <w:color w:val="auto"/>
              </w:rPr>
            </w:pPr>
          </w:p>
        </w:tc>
        <w:tc>
          <w:tcPr>
            <w:tcW w:w="1020" w:type="dxa"/>
            <w:vAlign w:val="bottom"/>
            <w:shd w:val="clear" w:color="auto" w:fill="E0E3F1"/>
          </w:tcPr>
          <w:p>
            <w:pPr>
              <w:jc w:val="center"/>
              <w:ind w:right="168"/>
              <w:spacing w:after="0" w:line="146" w:lineRule="exact"/>
              <w:rPr>
                <w:sz w:val="20"/>
                <w:szCs w:val="20"/>
                <w:color w:val="auto"/>
              </w:rPr>
            </w:pPr>
            <w:r>
              <w:rPr>
                <w:rFonts w:ascii="Arial" w:cs="Arial" w:eastAsia="Arial" w:hAnsi="Arial"/>
                <w:sz w:val="14"/>
                <w:szCs w:val="14"/>
                <w:color w:val="auto"/>
              </w:rPr>
              <w:t>Weighted-</w:t>
            </w:r>
          </w:p>
        </w:tc>
        <w:tc>
          <w:tcPr>
            <w:tcW w:w="0" w:type="dxa"/>
            <w:vAlign w:val="bottom"/>
          </w:tcPr>
          <w:p>
            <w:pPr>
              <w:spacing w:after="0"/>
              <w:rPr>
                <w:sz w:val="1"/>
                <w:szCs w:val="1"/>
                <w:color w:val="auto"/>
              </w:rPr>
            </w:pPr>
          </w:p>
        </w:tc>
      </w:tr>
      <w:tr>
        <w:trPr>
          <w:trHeight w:val="139"/>
        </w:trPr>
        <w:tc>
          <w:tcPr>
            <w:tcW w:w="4000" w:type="dxa"/>
            <w:vAlign w:val="bottom"/>
            <w:shd w:val="clear" w:color="auto" w:fill="E0E3F1"/>
          </w:tcPr>
          <w:p>
            <w:pPr>
              <w:spacing w:after="0"/>
              <w:rPr>
                <w:sz w:val="12"/>
                <w:szCs w:val="12"/>
                <w:color w:val="auto"/>
              </w:rPr>
            </w:pPr>
          </w:p>
        </w:tc>
        <w:tc>
          <w:tcPr>
            <w:tcW w:w="1140" w:type="dxa"/>
            <w:vAlign w:val="bottom"/>
            <w:shd w:val="clear" w:color="auto" w:fill="E0E3F1"/>
          </w:tcPr>
          <w:p>
            <w:pPr>
              <w:spacing w:after="0"/>
              <w:rPr>
                <w:sz w:val="12"/>
                <w:szCs w:val="12"/>
                <w:color w:val="auto"/>
              </w:rPr>
            </w:pPr>
          </w:p>
        </w:tc>
        <w:tc>
          <w:tcPr>
            <w:tcW w:w="1260" w:type="dxa"/>
            <w:vAlign w:val="bottom"/>
            <w:shd w:val="clear" w:color="auto" w:fill="E0E3F1"/>
          </w:tcPr>
          <w:p>
            <w:pPr>
              <w:jc w:val="center"/>
              <w:spacing w:after="0" w:line="139" w:lineRule="exact"/>
              <w:rPr>
                <w:sz w:val="20"/>
                <w:szCs w:val="20"/>
                <w:color w:val="auto"/>
              </w:rPr>
            </w:pPr>
            <w:r>
              <w:rPr>
                <w:rFonts w:ascii="Arial" w:cs="Arial" w:eastAsia="Arial" w:hAnsi="Arial"/>
                <w:sz w:val="14"/>
                <w:szCs w:val="14"/>
                <w:color w:val="auto"/>
              </w:rPr>
              <w:t>average</w:t>
            </w:r>
          </w:p>
        </w:tc>
        <w:tc>
          <w:tcPr>
            <w:tcW w:w="180" w:type="dxa"/>
            <w:vAlign w:val="bottom"/>
            <w:shd w:val="clear" w:color="auto" w:fill="E0E3F1"/>
          </w:tcPr>
          <w:p>
            <w:pPr>
              <w:spacing w:after="0"/>
              <w:rPr>
                <w:sz w:val="12"/>
                <w:szCs w:val="12"/>
                <w:color w:val="auto"/>
              </w:rPr>
            </w:pPr>
          </w:p>
        </w:tc>
        <w:tc>
          <w:tcPr>
            <w:tcW w:w="1160" w:type="dxa"/>
            <w:vAlign w:val="bottom"/>
            <w:shd w:val="clear" w:color="auto" w:fill="E0E3F1"/>
          </w:tcPr>
          <w:p>
            <w:pPr>
              <w:jc w:val="center"/>
              <w:ind w:right="248"/>
              <w:spacing w:after="0" w:line="139" w:lineRule="exact"/>
              <w:rPr>
                <w:sz w:val="20"/>
                <w:szCs w:val="20"/>
                <w:color w:val="auto"/>
              </w:rPr>
            </w:pPr>
            <w:r>
              <w:rPr>
                <w:rFonts w:ascii="Arial" w:cs="Arial" w:eastAsia="Arial" w:hAnsi="Arial"/>
                <w:sz w:val="14"/>
                <w:szCs w:val="14"/>
                <w:color w:val="auto"/>
              </w:rPr>
              <w:t>average</w:t>
            </w:r>
          </w:p>
        </w:tc>
        <w:tc>
          <w:tcPr>
            <w:tcW w:w="1000" w:type="dxa"/>
            <w:vAlign w:val="bottom"/>
            <w:shd w:val="clear" w:color="auto" w:fill="E0E3F1"/>
          </w:tcPr>
          <w:p>
            <w:pPr>
              <w:spacing w:after="0"/>
              <w:rPr>
                <w:sz w:val="12"/>
                <w:szCs w:val="12"/>
                <w:color w:val="auto"/>
              </w:rPr>
            </w:pPr>
          </w:p>
        </w:tc>
        <w:tc>
          <w:tcPr>
            <w:tcW w:w="1120" w:type="dxa"/>
            <w:vAlign w:val="bottom"/>
            <w:shd w:val="clear" w:color="auto" w:fill="E0E3F1"/>
          </w:tcPr>
          <w:p>
            <w:pPr>
              <w:jc w:val="center"/>
              <w:ind w:left="88"/>
              <w:spacing w:after="0" w:line="139" w:lineRule="exact"/>
              <w:rPr>
                <w:sz w:val="20"/>
                <w:szCs w:val="20"/>
                <w:color w:val="auto"/>
              </w:rPr>
            </w:pPr>
            <w:r>
              <w:rPr>
                <w:rFonts w:ascii="Arial" w:cs="Arial" w:eastAsia="Arial" w:hAnsi="Arial"/>
                <w:sz w:val="14"/>
                <w:szCs w:val="14"/>
                <w:color w:val="auto"/>
              </w:rPr>
              <w:t>average</w:t>
            </w:r>
          </w:p>
        </w:tc>
        <w:tc>
          <w:tcPr>
            <w:tcW w:w="300" w:type="dxa"/>
            <w:vAlign w:val="bottom"/>
            <w:shd w:val="clear" w:color="auto" w:fill="E0E3F1"/>
          </w:tcPr>
          <w:p>
            <w:pPr>
              <w:spacing w:after="0"/>
              <w:rPr>
                <w:sz w:val="12"/>
                <w:szCs w:val="12"/>
                <w:color w:val="auto"/>
              </w:rPr>
            </w:pPr>
          </w:p>
        </w:tc>
        <w:tc>
          <w:tcPr>
            <w:tcW w:w="1020" w:type="dxa"/>
            <w:vAlign w:val="bottom"/>
            <w:shd w:val="clear" w:color="auto" w:fill="E0E3F1"/>
          </w:tcPr>
          <w:p>
            <w:pPr>
              <w:jc w:val="center"/>
              <w:ind w:right="188"/>
              <w:spacing w:after="0" w:line="139" w:lineRule="exact"/>
              <w:rPr>
                <w:sz w:val="20"/>
                <w:szCs w:val="20"/>
                <w:color w:val="auto"/>
              </w:rPr>
            </w:pPr>
            <w:r>
              <w:rPr>
                <w:rFonts w:ascii="Arial" w:cs="Arial" w:eastAsia="Arial" w:hAnsi="Arial"/>
                <w:sz w:val="14"/>
                <w:szCs w:val="14"/>
                <w:color w:val="auto"/>
              </w:rPr>
              <w:t>average</w:t>
            </w:r>
          </w:p>
        </w:tc>
        <w:tc>
          <w:tcPr>
            <w:tcW w:w="0" w:type="dxa"/>
            <w:vAlign w:val="bottom"/>
          </w:tcPr>
          <w:p>
            <w:pPr>
              <w:spacing w:after="0"/>
              <w:rPr>
                <w:sz w:val="1"/>
                <w:szCs w:val="1"/>
                <w:color w:val="auto"/>
              </w:rPr>
            </w:pPr>
          </w:p>
        </w:tc>
      </w:tr>
      <w:tr>
        <w:trPr>
          <w:trHeight w:val="158"/>
        </w:trPr>
        <w:tc>
          <w:tcPr>
            <w:tcW w:w="4000" w:type="dxa"/>
            <w:vAlign w:val="bottom"/>
            <w:shd w:val="clear" w:color="auto" w:fill="E0E3F1"/>
          </w:tcPr>
          <w:p>
            <w:pPr>
              <w:ind w:left="20"/>
              <w:spacing w:after="0" w:line="158" w:lineRule="exact"/>
              <w:rPr>
                <w:sz w:val="20"/>
                <w:szCs w:val="20"/>
                <w:color w:val="auto"/>
              </w:rPr>
            </w:pPr>
            <w:r>
              <w:rPr>
                <w:rFonts w:ascii="Arial" w:cs="Arial" w:eastAsia="Arial" w:hAnsi="Arial"/>
                <w:sz w:val="14"/>
                <w:szCs w:val="14"/>
                <w:color w:val="auto"/>
              </w:rPr>
              <w:t>Range of</w:t>
            </w:r>
          </w:p>
        </w:tc>
        <w:tc>
          <w:tcPr>
            <w:tcW w:w="1140" w:type="dxa"/>
            <w:vAlign w:val="bottom"/>
            <w:vMerge w:val="restart"/>
            <w:shd w:val="clear" w:color="auto" w:fill="E0E3F1"/>
          </w:tcPr>
          <w:p>
            <w:pPr>
              <w:jc w:val="right"/>
              <w:ind w:right="228"/>
              <w:spacing w:after="0"/>
              <w:rPr>
                <w:sz w:val="20"/>
                <w:szCs w:val="20"/>
                <w:color w:val="auto"/>
              </w:rPr>
            </w:pPr>
            <w:r>
              <w:rPr>
                <w:rFonts w:ascii="Arial" w:cs="Arial" w:eastAsia="Arial" w:hAnsi="Arial"/>
                <w:sz w:val="14"/>
                <w:szCs w:val="14"/>
                <w:color w:val="auto"/>
              </w:rPr>
              <w:t>Shares</w:t>
            </w:r>
          </w:p>
        </w:tc>
        <w:tc>
          <w:tcPr>
            <w:tcW w:w="1260" w:type="dxa"/>
            <w:vAlign w:val="bottom"/>
            <w:shd w:val="clear" w:color="auto" w:fill="E0E3F1"/>
          </w:tcPr>
          <w:p>
            <w:pPr>
              <w:jc w:val="center"/>
              <w:spacing w:after="0" w:line="158" w:lineRule="exact"/>
              <w:rPr>
                <w:sz w:val="20"/>
                <w:szCs w:val="20"/>
                <w:color w:val="auto"/>
              </w:rPr>
            </w:pPr>
            <w:r>
              <w:rPr>
                <w:rFonts w:ascii="Arial" w:cs="Arial" w:eastAsia="Arial" w:hAnsi="Arial"/>
                <w:sz w:val="14"/>
                <w:szCs w:val="14"/>
                <w:color w:val="auto"/>
              </w:rPr>
              <w:t>remaining</w:t>
            </w:r>
          </w:p>
        </w:tc>
        <w:tc>
          <w:tcPr>
            <w:tcW w:w="180" w:type="dxa"/>
            <w:vAlign w:val="bottom"/>
            <w:shd w:val="clear" w:color="auto" w:fill="E0E3F1"/>
          </w:tcPr>
          <w:p>
            <w:pPr>
              <w:spacing w:after="0"/>
              <w:rPr>
                <w:sz w:val="13"/>
                <w:szCs w:val="13"/>
                <w:color w:val="auto"/>
              </w:rPr>
            </w:pPr>
          </w:p>
        </w:tc>
        <w:tc>
          <w:tcPr>
            <w:tcW w:w="1160" w:type="dxa"/>
            <w:vAlign w:val="bottom"/>
            <w:shd w:val="clear" w:color="auto" w:fill="E0E3F1"/>
          </w:tcPr>
          <w:p>
            <w:pPr>
              <w:jc w:val="center"/>
              <w:ind w:right="268"/>
              <w:spacing w:after="0" w:line="158" w:lineRule="exact"/>
              <w:rPr>
                <w:sz w:val="20"/>
                <w:szCs w:val="20"/>
                <w:color w:val="auto"/>
              </w:rPr>
            </w:pPr>
            <w:r>
              <w:rPr>
                <w:rFonts w:ascii="Arial" w:cs="Arial" w:eastAsia="Arial" w:hAnsi="Arial"/>
                <w:sz w:val="14"/>
                <w:szCs w:val="14"/>
                <w:color w:val="auto"/>
              </w:rPr>
              <w:t>exercise</w:t>
            </w:r>
          </w:p>
        </w:tc>
        <w:tc>
          <w:tcPr>
            <w:tcW w:w="1000" w:type="dxa"/>
            <w:vAlign w:val="bottom"/>
            <w:vMerge w:val="restart"/>
            <w:shd w:val="clear" w:color="auto" w:fill="E0E3F1"/>
          </w:tcPr>
          <w:p>
            <w:pPr>
              <w:jc w:val="right"/>
              <w:ind w:right="248"/>
              <w:spacing w:after="0"/>
              <w:rPr>
                <w:sz w:val="20"/>
                <w:szCs w:val="20"/>
                <w:color w:val="auto"/>
              </w:rPr>
            </w:pPr>
            <w:r>
              <w:rPr>
                <w:rFonts w:ascii="Arial" w:cs="Arial" w:eastAsia="Arial" w:hAnsi="Arial"/>
                <w:sz w:val="14"/>
                <w:szCs w:val="14"/>
                <w:color w:val="auto"/>
              </w:rPr>
              <w:t>Shares</w:t>
            </w:r>
          </w:p>
        </w:tc>
        <w:tc>
          <w:tcPr>
            <w:tcW w:w="1120" w:type="dxa"/>
            <w:vAlign w:val="bottom"/>
            <w:shd w:val="clear" w:color="auto" w:fill="E0E3F1"/>
          </w:tcPr>
          <w:p>
            <w:pPr>
              <w:jc w:val="center"/>
              <w:ind w:left="88"/>
              <w:spacing w:after="0" w:line="158" w:lineRule="exact"/>
              <w:rPr>
                <w:sz w:val="20"/>
                <w:szCs w:val="20"/>
                <w:color w:val="auto"/>
              </w:rPr>
            </w:pPr>
            <w:r>
              <w:rPr>
                <w:rFonts w:ascii="Arial" w:cs="Arial" w:eastAsia="Arial" w:hAnsi="Arial"/>
                <w:sz w:val="14"/>
                <w:szCs w:val="14"/>
                <w:color w:val="auto"/>
              </w:rPr>
              <w:t>remaining</w:t>
            </w:r>
          </w:p>
        </w:tc>
        <w:tc>
          <w:tcPr>
            <w:tcW w:w="300" w:type="dxa"/>
            <w:vAlign w:val="bottom"/>
            <w:shd w:val="clear" w:color="auto" w:fill="E0E3F1"/>
          </w:tcPr>
          <w:p>
            <w:pPr>
              <w:spacing w:after="0"/>
              <w:rPr>
                <w:sz w:val="13"/>
                <w:szCs w:val="13"/>
                <w:color w:val="auto"/>
              </w:rPr>
            </w:pPr>
          </w:p>
        </w:tc>
        <w:tc>
          <w:tcPr>
            <w:tcW w:w="1020" w:type="dxa"/>
            <w:vAlign w:val="bottom"/>
            <w:shd w:val="clear" w:color="auto" w:fill="E0E3F1"/>
          </w:tcPr>
          <w:p>
            <w:pPr>
              <w:jc w:val="center"/>
              <w:ind w:right="168"/>
              <w:spacing w:after="0" w:line="158" w:lineRule="exact"/>
              <w:rPr>
                <w:sz w:val="20"/>
                <w:szCs w:val="20"/>
                <w:color w:val="auto"/>
              </w:rPr>
            </w:pPr>
            <w:r>
              <w:rPr>
                <w:rFonts w:ascii="Arial" w:cs="Arial" w:eastAsia="Arial" w:hAnsi="Arial"/>
                <w:sz w:val="14"/>
                <w:szCs w:val="14"/>
                <w:color w:val="auto"/>
              </w:rPr>
              <w:t>exercise</w:t>
            </w:r>
          </w:p>
        </w:tc>
        <w:tc>
          <w:tcPr>
            <w:tcW w:w="0" w:type="dxa"/>
            <w:vAlign w:val="bottom"/>
          </w:tcPr>
          <w:p>
            <w:pPr>
              <w:spacing w:after="0"/>
              <w:rPr>
                <w:sz w:val="1"/>
                <w:szCs w:val="1"/>
                <w:color w:val="auto"/>
              </w:rPr>
            </w:pPr>
          </w:p>
        </w:tc>
      </w:tr>
      <w:tr>
        <w:trPr>
          <w:trHeight w:val="189"/>
        </w:trPr>
        <w:tc>
          <w:tcPr>
            <w:tcW w:w="4000" w:type="dxa"/>
            <w:vAlign w:val="bottom"/>
            <w:tcBorders>
              <w:bottom w:val="single" w:sz="8" w:color="00539B"/>
            </w:tcBorders>
            <w:shd w:val="clear" w:color="auto" w:fill="E0E3F1"/>
          </w:tcPr>
          <w:p>
            <w:pPr>
              <w:ind w:left="20"/>
              <w:spacing w:after="0"/>
              <w:rPr>
                <w:sz w:val="20"/>
                <w:szCs w:val="20"/>
                <w:color w:val="auto"/>
              </w:rPr>
            </w:pPr>
            <w:r>
              <w:rPr>
                <w:rFonts w:ascii="Arial" w:cs="Arial" w:eastAsia="Arial" w:hAnsi="Arial"/>
                <w:sz w:val="14"/>
                <w:szCs w:val="14"/>
                <w:color w:val="auto"/>
              </w:rPr>
              <w:t>exercise price</w:t>
            </w:r>
          </w:p>
        </w:tc>
        <w:tc>
          <w:tcPr>
            <w:tcW w:w="1140" w:type="dxa"/>
            <w:vAlign w:val="bottom"/>
            <w:tcBorders>
              <w:bottom w:val="single" w:sz="8" w:color="00539B"/>
            </w:tcBorders>
            <w:vMerge w:val="continue"/>
            <w:shd w:val="clear" w:color="auto" w:fill="E0E3F1"/>
          </w:tcPr>
          <w:p>
            <w:pPr>
              <w:spacing w:after="0"/>
              <w:rPr>
                <w:sz w:val="16"/>
                <w:szCs w:val="16"/>
                <w:color w:val="auto"/>
              </w:rPr>
            </w:pPr>
          </w:p>
        </w:tc>
        <w:tc>
          <w:tcPr>
            <w:tcW w:w="1260" w:type="dxa"/>
            <w:vAlign w:val="bottom"/>
            <w:tcBorders>
              <w:bottom w:val="single" w:sz="8" w:color="00539B"/>
            </w:tcBorders>
            <w:shd w:val="clear" w:color="auto" w:fill="E0E3F1"/>
          </w:tcPr>
          <w:p>
            <w:pPr>
              <w:jc w:val="center"/>
              <w:spacing w:after="0"/>
              <w:rPr>
                <w:sz w:val="20"/>
                <w:szCs w:val="20"/>
                <w:color w:val="auto"/>
              </w:rPr>
            </w:pPr>
            <w:r>
              <w:rPr>
                <w:rFonts w:ascii="Arial" w:cs="Arial" w:eastAsia="Arial" w:hAnsi="Arial"/>
                <w:sz w:val="14"/>
                <w:szCs w:val="14"/>
                <w:color w:val="auto"/>
              </w:rPr>
              <w:t>life (yrs.)</w:t>
            </w:r>
          </w:p>
        </w:tc>
        <w:tc>
          <w:tcPr>
            <w:tcW w:w="180" w:type="dxa"/>
            <w:vAlign w:val="bottom"/>
            <w:tcBorders>
              <w:bottom w:val="single" w:sz="8" w:color="00539B"/>
            </w:tcBorders>
            <w:shd w:val="clear" w:color="auto" w:fill="E0E3F1"/>
          </w:tcPr>
          <w:p>
            <w:pPr>
              <w:spacing w:after="0"/>
              <w:rPr>
                <w:sz w:val="16"/>
                <w:szCs w:val="16"/>
                <w:color w:val="auto"/>
              </w:rPr>
            </w:pPr>
          </w:p>
        </w:tc>
        <w:tc>
          <w:tcPr>
            <w:tcW w:w="1160" w:type="dxa"/>
            <w:vAlign w:val="bottom"/>
            <w:tcBorders>
              <w:bottom w:val="single" w:sz="8" w:color="00539B"/>
            </w:tcBorders>
            <w:shd w:val="clear" w:color="auto" w:fill="E0E3F1"/>
          </w:tcPr>
          <w:p>
            <w:pPr>
              <w:jc w:val="center"/>
              <w:ind w:right="248"/>
              <w:spacing w:after="0"/>
              <w:rPr>
                <w:sz w:val="20"/>
                <w:szCs w:val="20"/>
                <w:color w:val="auto"/>
              </w:rPr>
            </w:pPr>
            <w:r>
              <w:rPr>
                <w:rFonts w:ascii="Arial" w:cs="Arial" w:eastAsia="Arial" w:hAnsi="Arial"/>
                <w:sz w:val="14"/>
                <w:szCs w:val="14"/>
                <w:color w:val="auto"/>
              </w:rPr>
              <w:t>price</w:t>
            </w:r>
          </w:p>
        </w:tc>
        <w:tc>
          <w:tcPr>
            <w:tcW w:w="1000" w:type="dxa"/>
            <w:vAlign w:val="bottom"/>
            <w:tcBorders>
              <w:bottom w:val="single" w:sz="8" w:color="00539B"/>
            </w:tcBorders>
            <w:vMerge w:val="continue"/>
            <w:shd w:val="clear" w:color="auto" w:fill="E0E3F1"/>
          </w:tcPr>
          <w:p>
            <w:pPr>
              <w:spacing w:after="0"/>
              <w:rPr>
                <w:sz w:val="16"/>
                <w:szCs w:val="16"/>
                <w:color w:val="auto"/>
              </w:rPr>
            </w:pPr>
          </w:p>
        </w:tc>
        <w:tc>
          <w:tcPr>
            <w:tcW w:w="1120" w:type="dxa"/>
            <w:vAlign w:val="bottom"/>
            <w:tcBorders>
              <w:bottom w:val="single" w:sz="8" w:color="00539B"/>
            </w:tcBorders>
            <w:shd w:val="clear" w:color="auto" w:fill="E0E3F1"/>
          </w:tcPr>
          <w:p>
            <w:pPr>
              <w:jc w:val="center"/>
              <w:ind w:left="88"/>
              <w:spacing w:after="0"/>
              <w:rPr>
                <w:sz w:val="20"/>
                <w:szCs w:val="20"/>
                <w:color w:val="auto"/>
              </w:rPr>
            </w:pPr>
            <w:r>
              <w:rPr>
                <w:rFonts w:ascii="Arial" w:cs="Arial" w:eastAsia="Arial" w:hAnsi="Arial"/>
                <w:sz w:val="14"/>
                <w:szCs w:val="14"/>
                <w:color w:val="auto"/>
              </w:rPr>
              <w:t>life (yrs.)</w:t>
            </w:r>
          </w:p>
        </w:tc>
        <w:tc>
          <w:tcPr>
            <w:tcW w:w="300" w:type="dxa"/>
            <w:vAlign w:val="bottom"/>
            <w:tcBorders>
              <w:bottom w:val="single" w:sz="8" w:color="00539B"/>
            </w:tcBorders>
            <w:shd w:val="clear" w:color="auto" w:fill="E0E3F1"/>
          </w:tcPr>
          <w:p>
            <w:pPr>
              <w:spacing w:after="0"/>
              <w:rPr>
                <w:sz w:val="16"/>
                <w:szCs w:val="16"/>
                <w:color w:val="auto"/>
              </w:rPr>
            </w:pPr>
          </w:p>
        </w:tc>
        <w:tc>
          <w:tcPr>
            <w:tcW w:w="1020" w:type="dxa"/>
            <w:vAlign w:val="bottom"/>
            <w:tcBorders>
              <w:bottom w:val="single" w:sz="8" w:color="00539B"/>
            </w:tcBorders>
            <w:shd w:val="clear" w:color="auto" w:fill="E0E3F1"/>
          </w:tcPr>
          <w:p>
            <w:pPr>
              <w:jc w:val="center"/>
              <w:ind w:right="188"/>
              <w:spacing w:after="0"/>
              <w:rPr>
                <w:sz w:val="20"/>
                <w:szCs w:val="20"/>
                <w:color w:val="auto"/>
              </w:rPr>
            </w:pPr>
            <w:r>
              <w:rPr>
                <w:rFonts w:ascii="Arial" w:cs="Arial" w:eastAsia="Arial" w:hAnsi="Arial"/>
                <w:sz w:val="14"/>
                <w:szCs w:val="14"/>
                <w:color w:val="auto"/>
              </w:rPr>
              <w:t>price</w:t>
            </w:r>
          </w:p>
        </w:tc>
        <w:tc>
          <w:tcPr>
            <w:tcW w:w="0" w:type="dxa"/>
            <w:vAlign w:val="bottom"/>
          </w:tcPr>
          <w:p>
            <w:pPr>
              <w:spacing w:after="0"/>
              <w:rPr>
                <w:sz w:val="1"/>
                <w:szCs w:val="1"/>
                <w:color w:val="auto"/>
              </w:rPr>
            </w:pPr>
          </w:p>
        </w:tc>
      </w:tr>
      <w:tr>
        <w:trPr>
          <w:trHeight w:val="188"/>
        </w:trPr>
        <w:tc>
          <w:tcPr>
            <w:tcW w:w="4000" w:type="dxa"/>
            <w:vAlign w:val="bottom"/>
            <w:shd w:val="clear" w:color="auto" w:fill="E0E3F1"/>
          </w:tcPr>
          <w:p>
            <w:pPr>
              <w:ind w:left="20"/>
              <w:spacing w:after="0"/>
              <w:rPr>
                <w:sz w:val="20"/>
                <w:szCs w:val="20"/>
                <w:color w:val="auto"/>
              </w:rPr>
            </w:pPr>
            <w:r>
              <w:rPr>
                <w:rFonts w:ascii="Arial" w:cs="Arial" w:eastAsia="Arial" w:hAnsi="Arial"/>
                <w:sz w:val="14"/>
                <w:szCs w:val="14"/>
                <w:color w:val="auto"/>
              </w:rPr>
              <w:t>$48.00 - $65.00</w:t>
            </w:r>
          </w:p>
        </w:tc>
        <w:tc>
          <w:tcPr>
            <w:tcW w:w="1140" w:type="dxa"/>
            <w:vAlign w:val="bottom"/>
            <w:shd w:val="clear" w:color="auto" w:fill="E0E3F1"/>
          </w:tcPr>
          <w:p>
            <w:pPr>
              <w:jc w:val="right"/>
              <w:spacing w:after="0"/>
              <w:rPr>
                <w:sz w:val="20"/>
                <w:szCs w:val="20"/>
                <w:color w:val="auto"/>
              </w:rPr>
            </w:pPr>
            <w:r>
              <w:rPr>
                <w:rFonts w:ascii="Arial" w:cs="Arial" w:eastAsia="Arial" w:hAnsi="Arial"/>
                <w:sz w:val="14"/>
                <w:szCs w:val="14"/>
                <w:color w:val="auto"/>
              </w:rPr>
              <w:t>1.2</w:t>
            </w:r>
          </w:p>
        </w:tc>
        <w:tc>
          <w:tcPr>
            <w:tcW w:w="1260" w:type="dxa"/>
            <w:vAlign w:val="bottom"/>
            <w:shd w:val="clear" w:color="auto" w:fill="E0E3F1"/>
          </w:tcPr>
          <w:p>
            <w:pPr>
              <w:jc w:val="center"/>
              <w:spacing w:after="0"/>
              <w:rPr>
                <w:sz w:val="20"/>
                <w:szCs w:val="20"/>
                <w:color w:val="auto"/>
              </w:rPr>
            </w:pPr>
            <w:r>
              <w:rPr>
                <w:rFonts w:ascii="Arial" w:cs="Arial" w:eastAsia="Arial" w:hAnsi="Arial"/>
                <w:sz w:val="14"/>
                <w:szCs w:val="14"/>
                <w:color w:val="auto"/>
              </w:rPr>
              <w:t>1.4</w:t>
            </w:r>
          </w:p>
        </w:tc>
        <w:tc>
          <w:tcPr>
            <w:tcW w:w="180" w:type="dxa"/>
            <w:vAlign w:val="bottom"/>
            <w:shd w:val="clear" w:color="auto" w:fill="E0E3F1"/>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shd w:val="clear" w:color="auto" w:fill="E0E3F1"/>
          </w:tcPr>
          <w:p>
            <w:pPr>
              <w:jc w:val="right"/>
              <w:ind w:right="148"/>
              <w:spacing w:after="0"/>
              <w:rPr>
                <w:sz w:val="20"/>
                <w:szCs w:val="20"/>
                <w:color w:val="auto"/>
              </w:rPr>
            </w:pPr>
            <w:r>
              <w:rPr>
                <w:rFonts w:ascii="Arial" w:cs="Arial" w:eastAsia="Arial" w:hAnsi="Arial"/>
                <w:sz w:val="14"/>
                <w:szCs w:val="14"/>
                <w:color w:val="auto"/>
              </w:rPr>
              <w:t>50.50</w:t>
            </w:r>
          </w:p>
        </w:tc>
        <w:tc>
          <w:tcPr>
            <w:tcW w:w="1000" w:type="dxa"/>
            <w:vAlign w:val="bottom"/>
            <w:shd w:val="clear" w:color="auto" w:fill="E0E3F1"/>
          </w:tcPr>
          <w:p>
            <w:pPr>
              <w:jc w:val="right"/>
              <w:spacing w:after="0"/>
              <w:rPr>
                <w:sz w:val="20"/>
                <w:szCs w:val="20"/>
                <w:color w:val="auto"/>
              </w:rPr>
            </w:pPr>
            <w:r>
              <w:rPr>
                <w:rFonts w:ascii="Arial" w:cs="Arial" w:eastAsia="Arial" w:hAnsi="Arial"/>
                <w:sz w:val="14"/>
                <w:szCs w:val="14"/>
                <w:color w:val="auto"/>
              </w:rPr>
              <w:t>1.2</w:t>
            </w:r>
          </w:p>
        </w:tc>
        <w:tc>
          <w:tcPr>
            <w:tcW w:w="1120" w:type="dxa"/>
            <w:vAlign w:val="bottom"/>
            <w:shd w:val="clear" w:color="auto" w:fill="E0E3F1"/>
          </w:tcPr>
          <w:p>
            <w:pPr>
              <w:jc w:val="center"/>
              <w:ind w:left="88"/>
              <w:spacing w:after="0"/>
              <w:rPr>
                <w:sz w:val="20"/>
                <w:szCs w:val="20"/>
                <w:color w:val="auto"/>
              </w:rPr>
            </w:pPr>
            <w:r>
              <w:rPr>
                <w:rFonts w:ascii="Arial" w:cs="Arial" w:eastAsia="Arial" w:hAnsi="Arial"/>
                <w:sz w:val="14"/>
                <w:szCs w:val="14"/>
                <w:color w:val="auto"/>
              </w:rPr>
              <w:t>1.4</w:t>
            </w:r>
          </w:p>
        </w:tc>
        <w:tc>
          <w:tcPr>
            <w:tcW w:w="300" w:type="dxa"/>
            <w:vAlign w:val="bottom"/>
            <w:shd w:val="clear" w:color="auto" w:fill="E0E3F1"/>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shd w:val="clear" w:color="auto" w:fill="E0E3F1"/>
          </w:tcPr>
          <w:p>
            <w:pPr>
              <w:jc w:val="right"/>
              <w:spacing w:after="0"/>
              <w:rPr>
                <w:sz w:val="20"/>
                <w:szCs w:val="20"/>
                <w:color w:val="auto"/>
              </w:rPr>
            </w:pPr>
            <w:r>
              <w:rPr>
                <w:rFonts w:ascii="Arial" w:cs="Arial" w:eastAsia="Arial" w:hAnsi="Arial"/>
                <w:sz w:val="14"/>
                <w:szCs w:val="14"/>
                <w:color w:val="auto"/>
              </w:rPr>
              <w:t>50.50</w:t>
            </w:r>
          </w:p>
        </w:tc>
        <w:tc>
          <w:tcPr>
            <w:tcW w:w="0" w:type="dxa"/>
            <w:vAlign w:val="bottom"/>
          </w:tcPr>
          <w:p>
            <w:pPr>
              <w:spacing w:after="0"/>
              <w:rPr>
                <w:sz w:val="1"/>
                <w:szCs w:val="1"/>
                <w:color w:val="auto"/>
              </w:rPr>
            </w:pPr>
          </w:p>
        </w:tc>
      </w:tr>
      <w:tr>
        <w:trPr>
          <w:trHeight w:val="203"/>
        </w:trPr>
        <w:tc>
          <w:tcPr>
            <w:tcW w:w="4000" w:type="dxa"/>
            <w:vAlign w:val="bottom"/>
            <w:shd w:val="clear" w:color="auto" w:fill="E0E3F1"/>
          </w:tcPr>
          <w:p>
            <w:pPr>
              <w:ind w:left="20"/>
              <w:spacing w:after="0"/>
              <w:rPr>
                <w:sz w:val="20"/>
                <w:szCs w:val="20"/>
                <w:color w:val="auto"/>
              </w:rPr>
            </w:pPr>
            <w:r>
              <w:rPr>
                <w:rFonts w:ascii="Arial" w:cs="Arial" w:eastAsia="Arial" w:hAnsi="Arial"/>
                <w:sz w:val="14"/>
                <w:szCs w:val="14"/>
                <w:color w:val="auto"/>
              </w:rPr>
              <w:t>$65.01 - $82.00</w:t>
            </w:r>
          </w:p>
        </w:tc>
        <w:tc>
          <w:tcPr>
            <w:tcW w:w="1140" w:type="dxa"/>
            <w:vAlign w:val="bottom"/>
            <w:shd w:val="clear" w:color="auto" w:fill="E0E3F1"/>
          </w:tcPr>
          <w:p>
            <w:pPr>
              <w:jc w:val="right"/>
              <w:spacing w:after="0"/>
              <w:rPr>
                <w:sz w:val="20"/>
                <w:szCs w:val="20"/>
                <w:color w:val="auto"/>
              </w:rPr>
            </w:pPr>
            <w:r>
              <w:rPr>
                <w:rFonts w:ascii="Arial" w:cs="Arial" w:eastAsia="Arial" w:hAnsi="Arial"/>
                <w:sz w:val="14"/>
                <w:szCs w:val="14"/>
                <w:color w:val="auto"/>
              </w:rPr>
              <w:t>2.9</w:t>
            </w:r>
          </w:p>
        </w:tc>
        <w:tc>
          <w:tcPr>
            <w:tcW w:w="1260" w:type="dxa"/>
            <w:vAlign w:val="bottom"/>
            <w:shd w:val="clear" w:color="auto" w:fill="E0E3F1"/>
          </w:tcPr>
          <w:p>
            <w:pPr>
              <w:jc w:val="center"/>
              <w:spacing w:after="0"/>
              <w:rPr>
                <w:sz w:val="20"/>
                <w:szCs w:val="20"/>
                <w:color w:val="auto"/>
              </w:rPr>
            </w:pPr>
            <w:r>
              <w:rPr>
                <w:rFonts w:ascii="Arial" w:cs="Arial" w:eastAsia="Arial" w:hAnsi="Arial"/>
                <w:sz w:val="14"/>
                <w:szCs w:val="14"/>
                <w:color w:val="auto"/>
              </w:rPr>
              <w:t>6.4</w:t>
            </w:r>
          </w:p>
        </w:tc>
        <w:tc>
          <w:tcPr>
            <w:tcW w:w="180" w:type="dxa"/>
            <w:vAlign w:val="bottom"/>
            <w:shd w:val="clear" w:color="auto" w:fill="E0E3F1"/>
          </w:tcPr>
          <w:p>
            <w:pPr>
              <w:spacing w:after="0"/>
              <w:rPr>
                <w:sz w:val="17"/>
                <w:szCs w:val="17"/>
                <w:color w:val="auto"/>
              </w:rPr>
            </w:pPr>
          </w:p>
        </w:tc>
        <w:tc>
          <w:tcPr>
            <w:tcW w:w="1160" w:type="dxa"/>
            <w:vAlign w:val="bottom"/>
            <w:shd w:val="clear" w:color="auto" w:fill="E0E3F1"/>
          </w:tcPr>
          <w:p>
            <w:pPr>
              <w:jc w:val="right"/>
              <w:ind w:right="148"/>
              <w:spacing w:after="0"/>
              <w:rPr>
                <w:sz w:val="20"/>
                <w:szCs w:val="20"/>
                <w:color w:val="auto"/>
              </w:rPr>
            </w:pPr>
            <w:r>
              <w:rPr>
                <w:rFonts w:ascii="Arial" w:cs="Arial" w:eastAsia="Arial" w:hAnsi="Arial"/>
                <w:sz w:val="14"/>
                <w:szCs w:val="14"/>
                <w:color w:val="auto"/>
              </w:rPr>
              <w:t>74.82</w:t>
            </w:r>
          </w:p>
        </w:tc>
        <w:tc>
          <w:tcPr>
            <w:tcW w:w="1000" w:type="dxa"/>
            <w:vAlign w:val="bottom"/>
            <w:shd w:val="clear" w:color="auto" w:fill="E0E3F1"/>
          </w:tcPr>
          <w:p>
            <w:pPr>
              <w:jc w:val="right"/>
              <w:spacing w:after="0"/>
              <w:rPr>
                <w:sz w:val="20"/>
                <w:szCs w:val="20"/>
                <w:color w:val="auto"/>
              </w:rPr>
            </w:pPr>
            <w:r>
              <w:rPr>
                <w:rFonts w:ascii="Arial" w:cs="Arial" w:eastAsia="Arial" w:hAnsi="Arial"/>
                <w:sz w:val="14"/>
                <w:szCs w:val="14"/>
                <w:color w:val="auto"/>
              </w:rPr>
              <w:t>2.1</w:t>
            </w:r>
          </w:p>
        </w:tc>
        <w:tc>
          <w:tcPr>
            <w:tcW w:w="1120" w:type="dxa"/>
            <w:vAlign w:val="bottom"/>
            <w:shd w:val="clear" w:color="auto" w:fill="E0E3F1"/>
          </w:tcPr>
          <w:p>
            <w:pPr>
              <w:jc w:val="center"/>
              <w:ind w:left="88"/>
              <w:spacing w:after="0"/>
              <w:rPr>
                <w:sz w:val="20"/>
                <w:szCs w:val="20"/>
                <w:color w:val="auto"/>
              </w:rPr>
            </w:pPr>
            <w:r>
              <w:rPr>
                <w:rFonts w:ascii="Arial" w:cs="Arial" w:eastAsia="Arial" w:hAnsi="Arial"/>
                <w:sz w:val="14"/>
                <w:szCs w:val="14"/>
                <w:color w:val="auto"/>
              </w:rPr>
              <w:t>5.7</w:t>
            </w:r>
          </w:p>
        </w:tc>
        <w:tc>
          <w:tcPr>
            <w:tcW w:w="300" w:type="dxa"/>
            <w:vAlign w:val="bottom"/>
            <w:shd w:val="clear" w:color="auto" w:fill="E0E3F1"/>
          </w:tcPr>
          <w:p>
            <w:pPr>
              <w:spacing w:after="0"/>
              <w:rPr>
                <w:sz w:val="17"/>
                <w:szCs w:val="17"/>
                <w:color w:val="auto"/>
              </w:rPr>
            </w:pPr>
          </w:p>
        </w:tc>
        <w:tc>
          <w:tcPr>
            <w:tcW w:w="1020" w:type="dxa"/>
            <w:vAlign w:val="bottom"/>
            <w:shd w:val="clear" w:color="auto" w:fill="E0E3F1"/>
          </w:tcPr>
          <w:p>
            <w:pPr>
              <w:jc w:val="right"/>
              <w:spacing w:after="0"/>
              <w:rPr>
                <w:sz w:val="20"/>
                <w:szCs w:val="20"/>
                <w:color w:val="auto"/>
              </w:rPr>
            </w:pPr>
            <w:r>
              <w:rPr>
                <w:rFonts w:ascii="Arial" w:cs="Arial" w:eastAsia="Arial" w:hAnsi="Arial"/>
                <w:sz w:val="14"/>
                <w:szCs w:val="14"/>
                <w:color w:val="auto"/>
              </w:rPr>
              <w:t>74.31</w:t>
            </w:r>
          </w:p>
        </w:tc>
        <w:tc>
          <w:tcPr>
            <w:tcW w:w="0" w:type="dxa"/>
            <w:vAlign w:val="bottom"/>
          </w:tcPr>
          <w:p>
            <w:pPr>
              <w:spacing w:after="0"/>
              <w:rPr>
                <w:sz w:val="1"/>
                <w:szCs w:val="1"/>
                <w:color w:val="auto"/>
              </w:rPr>
            </w:pPr>
          </w:p>
        </w:tc>
      </w:tr>
      <w:tr>
        <w:trPr>
          <w:trHeight w:val="207"/>
        </w:trPr>
        <w:tc>
          <w:tcPr>
            <w:tcW w:w="4000" w:type="dxa"/>
            <w:vAlign w:val="bottom"/>
            <w:tcBorders>
              <w:bottom w:val="single" w:sz="8" w:color="00539B"/>
            </w:tcBorders>
            <w:shd w:val="clear" w:color="auto" w:fill="E0E3F1"/>
          </w:tcPr>
          <w:p>
            <w:pPr>
              <w:ind w:left="20"/>
              <w:spacing w:after="0"/>
              <w:rPr>
                <w:sz w:val="20"/>
                <w:szCs w:val="20"/>
                <w:color w:val="auto"/>
              </w:rPr>
            </w:pPr>
            <w:r>
              <w:rPr>
                <w:rFonts w:ascii="Arial" w:cs="Arial" w:eastAsia="Arial" w:hAnsi="Arial"/>
                <w:sz w:val="14"/>
                <w:szCs w:val="14"/>
                <w:color w:val="auto"/>
              </w:rPr>
              <w:t>$82.01 - $99.00</w:t>
            </w:r>
          </w:p>
        </w:tc>
        <w:tc>
          <w:tcPr>
            <w:tcW w:w="114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1.4</w:t>
            </w:r>
          </w:p>
        </w:tc>
        <w:tc>
          <w:tcPr>
            <w:tcW w:w="1260" w:type="dxa"/>
            <w:vAlign w:val="bottom"/>
            <w:tcBorders>
              <w:bottom w:val="single" w:sz="8" w:color="00539B"/>
            </w:tcBorders>
            <w:shd w:val="clear" w:color="auto" w:fill="E0E3F1"/>
          </w:tcPr>
          <w:p>
            <w:pPr>
              <w:jc w:val="center"/>
              <w:spacing w:after="0"/>
              <w:rPr>
                <w:sz w:val="20"/>
                <w:szCs w:val="20"/>
                <w:color w:val="auto"/>
              </w:rPr>
            </w:pPr>
            <w:r>
              <w:rPr>
                <w:rFonts w:ascii="Arial" w:cs="Arial" w:eastAsia="Arial" w:hAnsi="Arial"/>
                <w:sz w:val="14"/>
                <w:szCs w:val="14"/>
                <w:color w:val="auto"/>
              </w:rPr>
              <w:t>5.2</w:t>
            </w:r>
          </w:p>
        </w:tc>
        <w:tc>
          <w:tcPr>
            <w:tcW w:w="180" w:type="dxa"/>
            <w:vAlign w:val="bottom"/>
            <w:tcBorders>
              <w:bottom w:val="single" w:sz="8" w:color="00539B"/>
            </w:tcBorders>
            <w:shd w:val="clear" w:color="auto" w:fill="E0E3F1"/>
          </w:tcPr>
          <w:p>
            <w:pPr>
              <w:spacing w:after="0"/>
              <w:rPr>
                <w:sz w:val="17"/>
                <w:szCs w:val="17"/>
                <w:color w:val="auto"/>
              </w:rPr>
            </w:pPr>
          </w:p>
        </w:tc>
        <w:tc>
          <w:tcPr>
            <w:tcW w:w="1160" w:type="dxa"/>
            <w:vAlign w:val="bottom"/>
            <w:tcBorders>
              <w:bottom w:val="single" w:sz="8" w:color="00539B"/>
            </w:tcBorders>
            <w:shd w:val="clear" w:color="auto" w:fill="E0E3F1"/>
          </w:tcPr>
          <w:p>
            <w:pPr>
              <w:jc w:val="right"/>
              <w:ind w:right="148"/>
              <w:spacing w:after="0"/>
              <w:rPr>
                <w:sz w:val="20"/>
                <w:szCs w:val="20"/>
                <w:color w:val="auto"/>
              </w:rPr>
            </w:pPr>
            <w:r>
              <w:rPr>
                <w:rFonts w:ascii="Arial" w:cs="Arial" w:eastAsia="Arial" w:hAnsi="Arial"/>
                <w:sz w:val="14"/>
                <w:szCs w:val="14"/>
                <w:color w:val="auto"/>
              </w:rPr>
              <w:t>92.81</w:t>
            </w:r>
          </w:p>
        </w:tc>
        <w:tc>
          <w:tcPr>
            <w:tcW w:w="100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1.4</w:t>
            </w:r>
          </w:p>
        </w:tc>
        <w:tc>
          <w:tcPr>
            <w:tcW w:w="1120" w:type="dxa"/>
            <w:vAlign w:val="bottom"/>
            <w:tcBorders>
              <w:bottom w:val="single" w:sz="8" w:color="00539B"/>
            </w:tcBorders>
            <w:shd w:val="clear" w:color="auto" w:fill="E0E3F1"/>
          </w:tcPr>
          <w:p>
            <w:pPr>
              <w:jc w:val="center"/>
              <w:ind w:left="88"/>
              <w:spacing w:after="0"/>
              <w:rPr>
                <w:sz w:val="20"/>
                <w:szCs w:val="20"/>
                <w:color w:val="auto"/>
              </w:rPr>
            </w:pPr>
            <w:r>
              <w:rPr>
                <w:rFonts w:ascii="Arial" w:cs="Arial" w:eastAsia="Arial" w:hAnsi="Arial"/>
                <w:sz w:val="14"/>
                <w:szCs w:val="14"/>
                <w:color w:val="auto"/>
              </w:rPr>
              <w:t>5.2</w:t>
            </w:r>
          </w:p>
        </w:tc>
        <w:tc>
          <w:tcPr>
            <w:tcW w:w="300" w:type="dxa"/>
            <w:vAlign w:val="bottom"/>
            <w:tcBorders>
              <w:bottom w:val="single" w:sz="8" w:color="00539B"/>
            </w:tcBorders>
            <w:shd w:val="clear" w:color="auto" w:fill="E0E3F1"/>
          </w:tcPr>
          <w:p>
            <w:pPr>
              <w:spacing w:after="0"/>
              <w:rPr>
                <w:sz w:val="17"/>
                <w:szCs w:val="17"/>
                <w:color w:val="auto"/>
              </w:rPr>
            </w:pPr>
          </w:p>
        </w:tc>
        <w:tc>
          <w:tcPr>
            <w:tcW w:w="102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92.81</w:t>
            </w:r>
          </w:p>
        </w:tc>
        <w:tc>
          <w:tcPr>
            <w:tcW w:w="0" w:type="dxa"/>
            <w:vAlign w:val="bottom"/>
          </w:tcPr>
          <w:p>
            <w:pPr>
              <w:spacing w:after="0"/>
              <w:rPr>
                <w:sz w:val="1"/>
                <w:szCs w:val="1"/>
                <w:color w:val="auto"/>
              </w:rPr>
            </w:pPr>
          </w:p>
        </w:tc>
      </w:tr>
      <w:tr>
        <w:trPr>
          <w:trHeight w:val="207"/>
        </w:trPr>
        <w:tc>
          <w:tcPr>
            <w:tcW w:w="4000" w:type="dxa"/>
            <w:vAlign w:val="bottom"/>
            <w:tcBorders>
              <w:bottom w:val="single" w:sz="8" w:color="00539B"/>
            </w:tcBorders>
            <w:shd w:val="clear" w:color="auto" w:fill="E0E3F1"/>
          </w:tcPr>
          <w:p>
            <w:pPr>
              <w:spacing w:after="0"/>
              <w:rPr>
                <w:sz w:val="18"/>
                <w:szCs w:val="18"/>
                <w:color w:val="auto"/>
              </w:rPr>
            </w:pPr>
          </w:p>
        </w:tc>
        <w:tc>
          <w:tcPr>
            <w:tcW w:w="114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5.5</w:t>
            </w:r>
          </w:p>
        </w:tc>
        <w:tc>
          <w:tcPr>
            <w:tcW w:w="1260" w:type="dxa"/>
            <w:vAlign w:val="bottom"/>
            <w:tcBorders>
              <w:bottom w:val="single" w:sz="8" w:color="00539B"/>
            </w:tcBorders>
            <w:shd w:val="clear" w:color="auto" w:fill="E0E3F1"/>
          </w:tcPr>
          <w:p>
            <w:pPr>
              <w:jc w:val="center"/>
              <w:spacing w:after="0"/>
              <w:rPr>
                <w:sz w:val="20"/>
                <w:szCs w:val="20"/>
                <w:color w:val="auto"/>
              </w:rPr>
            </w:pPr>
            <w:r>
              <w:rPr>
                <w:rFonts w:ascii="Arial" w:cs="Arial" w:eastAsia="Arial" w:hAnsi="Arial"/>
                <w:sz w:val="14"/>
                <w:szCs w:val="14"/>
                <w:color w:val="auto"/>
              </w:rPr>
              <w:t>5.0</w:t>
            </w:r>
          </w:p>
        </w:tc>
        <w:tc>
          <w:tcPr>
            <w:tcW w:w="180" w:type="dxa"/>
            <w:vAlign w:val="bottom"/>
            <w:tcBorders>
              <w:bottom w:val="single" w:sz="8" w:color="00539B"/>
            </w:tcBorders>
            <w:shd w:val="clear" w:color="auto" w:fill="E0E3F1"/>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00539B"/>
            </w:tcBorders>
            <w:shd w:val="clear" w:color="auto" w:fill="E0E3F1"/>
          </w:tcPr>
          <w:p>
            <w:pPr>
              <w:jc w:val="right"/>
              <w:ind w:right="148"/>
              <w:spacing w:after="0"/>
              <w:rPr>
                <w:sz w:val="20"/>
                <w:szCs w:val="20"/>
                <w:color w:val="auto"/>
              </w:rPr>
            </w:pPr>
            <w:r>
              <w:rPr>
                <w:rFonts w:ascii="Arial" w:cs="Arial" w:eastAsia="Arial" w:hAnsi="Arial"/>
                <w:sz w:val="14"/>
                <w:szCs w:val="14"/>
                <w:color w:val="auto"/>
              </w:rPr>
              <w:t>73.92</w:t>
            </w:r>
          </w:p>
        </w:tc>
        <w:tc>
          <w:tcPr>
            <w:tcW w:w="100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4.7</w:t>
            </w:r>
          </w:p>
        </w:tc>
        <w:tc>
          <w:tcPr>
            <w:tcW w:w="1120" w:type="dxa"/>
            <w:vAlign w:val="bottom"/>
            <w:tcBorders>
              <w:bottom w:val="single" w:sz="8" w:color="00539B"/>
            </w:tcBorders>
            <w:shd w:val="clear" w:color="auto" w:fill="E0E3F1"/>
          </w:tcPr>
          <w:p>
            <w:pPr>
              <w:jc w:val="center"/>
              <w:ind w:left="88"/>
              <w:spacing w:after="0"/>
              <w:rPr>
                <w:sz w:val="20"/>
                <w:szCs w:val="20"/>
                <w:color w:val="auto"/>
              </w:rPr>
            </w:pPr>
            <w:r>
              <w:rPr>
                <w:rFonts w:ascii="Arial" w:cs="Arial" w:eastAsia="Arial" w:hAnsi="Arial"/>
                <w:sz w:val="14"/>
                <w:szCs w:val="14"/>
                <w:color w:val="auto"/>
              </w:rPr>
              <w:t>4.4</w:t>
            </w:r>
          </w:p>
        </w:tc>
        <w:tc>
          <w:tcPr>
            <w:tcW w:w="300" w:type="dxa"/>
            <w:vAlign w:val="bottom"/>
            <w:tcBorders>
              <w:bottom w:val="single" w:sz="8" w:color="00539B"/>
            </w:tcBorders>
            <w:shd w:val="clear" w:color="auto" w:fill="E0E3F1"/>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73.54</w:t>
            </w: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00539B"/>
        </w:rPr>
        <w:t>LTPP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LTPP awards granted in 2025, 2024, and 2023 will be delivered in company stock, with the award attainment calculated as a percentage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target based on a combination of a performance-based component and a market-based total shareholder return. These awards are valued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based on the fair value of the underlying stock and the estimated fair value associated with the total shareholder return on the date of grant.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LTPP award activity for the years ended November 30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160" w:type="dxa"/>
            <w:vAlign w:val="bottom"/>
            <w:tcBorders>
              <w:top w:val="single" w:sz="8" w:color="00539B"/>
              <w:bottom w:val="single" w:sz="8" w:color="00539B"/>
            </w:tcBorders>
          </w:tcPr>
          <w:p>
            <w:pPr>
              <w:ind w:left="20"/>
              <w:spacing w:after="0"/>
              <w:rPr>
                <w:sz w:val="20"/>
                <w:szCs w:val="20"/>
                <w:color w:val="auto"/>
              </w:rPr>
            </w:pPr>
            <w:r>
              <w:rPr>
                <w:rFonts w:ascii="Arial" w:cs="Arial" w:eastAsia="Arial" w:hAnsi="Arial"/>
                <w:sz w:val="14"/>
                <w:szCs w:val="14"/>
                <w:color w:val="auto"/>
              </w:rPr>
              <w:t>(shares in thousands)</w:t>
            </w:r>
          </w:p>
        </w:tc>
        <w:tc>
          <w:tcPr>
            <w:tcW w:w="1360" w:type="dxa"/>
            <w:vAlign w:val="bottom"/>
            <w:tcBorders>
              <w:top w:val="single" w:sz="8" w:color="00539B"/>
              <w:bottom w:val="single" w:sz="8" w:color="00539B"/>
            </w:tcBorders>
            <w:gridSpan w:val="2"/>
            <w:shd w:val="clear" w:color="auto" w:fill="E0E3F1"/>
          </w:tcPr>
          <w:p>
            <w:pPr>
              <w:jc w:val="right"/>
              <w:spacing w:after="0"/>
              <w:rPr>
                <w:sz w:val="20"/>
                <w:szCs w:val="20"/>
                <w:color w:val="auto"/>
              </w:rPr>
            </w:pPr>
            <w:r>
              <w:rPr>
                <w:rFonts w:ascii="Arial" w:cs="Arial" w:eastAsia="Arial" w:hAnsi="Arial"/>
                <w:sz w:val="14"/>
                <w:szCs w:val="14"/>
                <w:color w:val="auto"/>
              </w:rPr>
              <w:t>2025</w:t>
            </w:r>
          </w:p>
        </w:tc>
        <w:tc>
          <w:tcPr>
            <w:tcW w:w="1000" w:type="dxa"/>
            <w:vAlign w:val="bottom"/>
            <w:tcBorders>
              <w:top w:val="single" w:sz="8" w:color="00539B"/>
              <w:bottom w:val="single" w:sz="8" w:color="00539B"/>
            </w:tcBorders>
            <w:shd w:val="clear" w:color="auto" w:fill="E0E3F1"/>
          </w:tcPr>
          <w:p>
            <w:pPr>
              <w:spacing w:after="0"/>
              <w:rPr>
                <w:sz w:val="19"/>
                <w:szCs w:val="19"/>
                <w:color w:val="auto"/>
              </w:rPr>
            </w:pPr>
          </w:p>
        </w:tc>
        <w:tc>
          <w:tcPr>
            <w:tcW w:w="1380" w:type="dxa"/>
            <w:vAlign w:val="bottom"/>
            <w:tcBorders>
              <w:top w:val="single" w:sz="8" w:color="00539B"/>
              <w:bottom w:val="single" w:sz="8" w:color="00539B"/>
            </w:tcBorders>
            <w:gridSpan w:val="2"/>
          </w:tcPr>
          <w:p>
            <w:pPr>
              <w:jc w:val="right"/>
              <w:spacing w:after="0"/>
              <w:rPr>
                <w:sz w:val="20"/>
                <w:szCs w:val="20"/>
                <w:color w:val="auto"/>
              </w:rPr>
            </w:pPr>
            <w:r>
              <w:rPr>
                <w:rFonts w:ascii="Arial" w:cs="Arial" w:eastAsia="Arial" w:hAnsi="Arial"/>
                <w:sz w:val="14"/>
                <w:szCs w:val="14"/>
                <w:color w:val="auto"/>
              </w:rPr>
              <w:t>2024</w:t>
            </w:r>
          </w:p>
        </w:tc>
        <w:tc>
          <w:tcPr>
            <w:tcW w:w="1120" w:type="dxa"/>
            <w:vAlign w:val="bottom"/>
            <w:tcBorders>
              <w:top w:val="single" w:sz="8" w:color="00539B"/>
              <w:bottom w:val="single" w:sz="8" w:color="00539B"/>
            </w:tcBorders>
          </w:tcPr>
          <w:p>
            <w:pPr>
              <w:spacing w:after="0"/>
              <w:rPr>
                <w:sz w:val="19"/>
                <w:szCs w:val="19"/>
                <w:color w:val="auto"/>
              </w:rPr>
            </w:pPr>
          </w:p>
        </w:tc>
        <w:tc>
          <w:tcPr>
            <w:tcW w:w="1220" w:type="dxa"/>
            <w:vAlign w:val="bottom"/>
            <w:tcBorders>
              <w:top w:val="single" w:sz="8" w:color="00539B"/>
              <w:bottom w:val="single" w:sz="8" w:color="00539B"/>
            </w:tcBorders>
            <w:gridSpan w:val="2"/>
          </w:tcPr>
          <w:p>
            <w:pPr>
              <w:jc w:val="right"/>
              <w:spacing w:after="0"/>
              <w:rPr>
                <w:sz w:val="20"/>
                <w:szCs w:val="20"/>
                <w:color w:val="auto"/>
              </w:rPr>
            </w:pPr>
            <w:r>
              <w:rPr>
                <w:rFonts w:ascii="Arial" w:cs="Arial" w:eastAsia="Arial" w:hAnsi="Arial"/>
                <w:sz w:val="14"/>
                <w:szCs w:val="14"/>
                <w:color w:val="auto"/>
              </w:rPr>
              <w:t>2023</w:t>
            </w:r>
          </w:p>
        </w:tc>
        <w:tc>
          <w:tcPr>
            <w:tcW w:w="980" w:type="dxa"/>
            <w:vAlign w:val="bottom"/>
            <w:tcBorders>
              <w:top w:val="single" w:sz="8" w:color="00539B"/>
              <w:bottom w:val="single" w:sz="8" w:color="00539B"/>
            </w:tcBorders>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4160" w:type="dxa"/>
            <w:vAlign w:val="bottom"/>
          </w:tcPr>
          <w:p>
            <w:pPr>
              <w:spacing w:after="0"/>
              <w:rPr>
                <w:sz w:val="13"/>
                <w:szCs w:val="13"/>
                <w:color w:val="auto"/>
              </w:rPr>
            </w:pPr>
          </w:p>
        </w:tc>
        <w:tc>
          <w:tcPr>
            <w:tcW w:w="1180" w:type="dxa"/>
            <w:vAlign w:val="bottom"/>
            <w:shd w:val="clear" w:color="auto" w:fill="E0E3F1"/>
          </w:tcPr>
          <w:p>
            <w:pPr>
              <w:spacing w:after="0"/>
              <w:rPr>
                <w:sz w:val="13"/>
                <w:szCs w:val="13"/>
                <w:color w:val="auto"/>
              </w:rPr>
            </w:pPr>
          </w:p>
        </w:tc>
        <w:tc>
          <w:tcPr>
            <w:tcW w:w="180" w:type="dxa"/>
            <w:vAlign w:val="bottom"/>
            <w:shd w:val="clear" w:color="auto" w:fill="E0E3F1"/>
          </w:tcPr>
          <w:p>
            <w:pPr>
              <w:spacing w:after="0"/>
              <w:rPr>
                <w:sz w:val="13"/>
                <w:szCs w:val="13"/>
                <w:color w:val="auto"/>
              </w:rPr>
            </w:pPr>
          </w:p>
        </w:tc>
        <w:tc>
          <w:tcPr>
            <w:tcW w:w="1000" w:type="dxa"/>
            <w:vAlign w:val="bottom"/>
            <w:shd w:val="clear" w:color="auto" w:fill="E0E3F1"/>
          </w:tcPr>
          <w:p>
            <w:pPr>
              <w:jc w:val="center"/>
              <w:ind w:right="268"/>
              <w:spacing w:after="0" w:line="151" w:lineRule="exact"/>
              <w:rPr>
                <w:sz w:val="20"/>
                <w:szCs w:val="20"/>
                <w:color w:val="auto"/>
              </w:rPr>
            </w:pPr>
            <w:r>
              <w:rPr>
                <w:rFonts w:ascii="Arial" w:cs="Arial" w:eastAsia="Arial" w:hAnsi="Arial"/>
                <w:sz w:val="14"/>
                <w:szCs w:val="14"/>
                <w:color w:val="auto"/>
              </w:rPr>
              <w:t>Weighted-</w:t>
            </w: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center"/>
              <w:ind w:right="288"/>
              <w:spacing w:after="0" w:line="151" w:lineRule="exact"/>
              <w:rPr>
                <w:sz w:val="20"/>
                <w:szCs w:val="20"/>
                <w:color w:val="auto"/>
              </w:rPr>
            </w:pPr>
            <w:r>
              <w:rPr>
                <w:rFonts w:ascii="Arial" w:cs="Arial" w:eastAsia="Arial" w:hAnsi="Arial"/>
                <w:sz w:val="14"/>
                <w:szCs w:val="14"/>
                <w:color w:val="auto"/>
              </w:rPr>
              <w:t>Weighted-</w:t>
            </w: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center"/>
              <w:ind w:right="128"/>
              <w:spacing w:after="0" w:line="151" w:lineRule="exact"/>
              <w:rPr>
                <w:sz w:val="20"/>
                <w:szCs w:val="20"/>
                <w:color w:val="auto"/>
              </w:rPr>
            </w:pPr>
            <w:r>
              <w:rPr>
                <w:rFonts w:ascii="Arial" w:cs="Arial" w:eastAsia="Arial" w:hAnsi="Arial"/>
                <w:sz w:val="14"/>
                <w:szCs w:val="14"/>
                <w:color w:val="auto"/>
              </w:rPr>
              <w:t>Weighted-</w:t>
            </w: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180" w:type="dxa"/>
            <w:vAlign w:val="bottom"/>
            <w:vMerge w:val="restart"/>
            <w:shd w:val="clear" w:color="auto" w:fill="E0E3F1"/>
          </w:tcPr>
          <w:p>
            <w:pPr>
              <w:jc w:val="right"/>
              <w:ind w:right="288"/>
              <w:spacing w:after="0"/>
              <w:rPr>
                <w:sz w:val="20"/>
                <w:szCs w:val="20"/>
                <w:color w:val="auto"/>
              </w:rPr>
            </w:pPr>
            <w:r>
              <w:rPr>
                <w:rFonts w:ascii="Arial" w:cs="Arial" w:eastAsia="Arial" w:hAnsi="Arial"/>
                <w:sz w:val="14"/>
                <w:szCs w:val="14"/>
                <w:color w:val="auto"/>
              </w:rPr>
              <w:t>Shares</w:t>
            </w:r>
          </w:p>
        </w:tc>
        <w:tc>
          <w:tcPr>
            <w:tcW w:w="180" w:type="dxa"/>
            <w:vAlign w:val="bottom"/>
            <w:shd w:val="clear" w:color="auto" w:fill="E0E3F1"/>
          </w:tcPr>
          <w:p>
            <w:pPr>
              <w:spacing w:after="0"/>
              <w:rPr>
                <w:sz w:val="12"/>
                <w:szCs w:val="12"/>
                <w:color w:val="auto"/>
              </w:rPr>
            </w:pPr>
          </w:p>
        </w:tc>
        <w:tc>
          <w:tcPr>
            <w:tcW w:w="1000" w:type="dxa"/>
            <w:vAlign w:val="bottom"/>
            <w:shd w:val="clear" w:color="auto" w:fill="E0E3F1"/>
          </w:tcPr>
          <w:p>
            <w:pPr>
              <w:jc w:val="center"/>
              <w:ind w:right="288"/>
              <w:spacing w:after="0" w:line="149" w:lineRule="exact"/>
              <w:rPr>
                <w:sz w:val="20"/>
                <w:szCs w:val="20"/>
                <w:color w:val="auto"/>
              </w:rPr>
            </w:pPr>
            <w:r>
              <w:rPr>
                <w:rFonts w:ascii="Arial" w:cs="Arial" w:eastAsia="Arial" w:hAnsi="Arial"/>
                <w:sz w:val="14"/>
                <w:szCs w:val="14"/>
                <w:color w:val="auto"/>
              </w:rPr>
              <w:t>average</w:t>
            </w:r>
          </w:p>
        </w:tc>
        <w:tc>
          <w:tcPr>
            <w:tcW w:w="1160" w:type="dxa"/>
            <w:vAlign w:val="bottom"/>
            <w:vMerge w:val="restart"/>
          </w:tcPr>
          <w:p>
            <w:pPr>
              <w:jc w:val="right"/>
              <w:ind w:right="268"/>
              <w:spacing w:after="0"/>
              <w:rPr>
                <w:sz w:val="20"/>
                <w:szCs w:val="20"/>
                <w:color w:val="auto"/>
              </w:rPr>
            </w:pPr>
            <w:r>
              <w:rPr>
                <w:rFonts w:ascii="Arial" w:cs="Arial" w:eastAsia="Arial" w:hAnsi="Arial"/>
                <w:sz w:val="14"/>
                <w:szCs w:val="14"/>
                <w:color w:val="auto"/>
              </w:rPr>
              <w:t>Shares</w:t>
            </w:r>
          </w:p>
        </w:tc>
        <w:tc>
          <w:tcPr>
            <w:tcW w:w="220" w:type="dxa"/>
            <w:vAlign w:val="bottom"/>
          </w:tcPr>
          <w:p>
            <w:pPr>
              <w:spacing w:after="0"/>
              <w:rPr>
                <w:sz w:val="12"/>
                <w:szCs w:val="12"/>
                <w:color w:val="auto"/>
              </w:rPr>
            </w:pPr>
          </w:p>
        </w:tc>
        <w:tc>
          <w:tcPr>
            <w:tcW w:w="1120" w:type="dxa"/>
            <w:vAlign w:val="bottom"/>
          </w:tcPr>
          <w:p>
            <w:pPr>
              <w:jc w:val="center"/>
              <w:ind w:right="288"/>
              <w:spacing w:after="0" w:line="149" w:lineRule="exact"/>
              <w:rPr>
                <w:sz w:val="20"/>
                <w:szCs w:val="20"/>
                <w:color w:val="auto"/>
              </w:rPr>
            </w:pPr>
            <w:r>
              <w:rPr>
                <w:rFonts w:ascii="Arial" w:cs="Arial" w:eastAsia="Arial" w:hAnsi="Arial"/>
                <w:sz w:val="14"/>
                <w:szCs w:val="14"/>
                <w:color w:val="auto"/>
              </w:rPr>
              <w:t>average</w:t>
            </w:r>
          </w:p>
        </w:tc>
        <w:tc>
          <w:tcPr>
            <w:tcW w:w="1020" w:type="dxa"/>
            <w:vAlign w:val="bottom"/>
            <w:vMerge w:val="restart"/>
          </w:tcPr>
          <w:p>
            <w:pPr>
              <w:jc w:val="right"/>
              <w:ind w:right="288"/>
              <w:spacing w:after="0"/>
              <w:rPr>
                <w:sz w:val="20"/>
                <w:szCs w:val="20"/>
                <w:color w:val="auto"/>
              </w:rPr>
            </w:pPr>
            <w:r>
              <w:rPr>
                <w:rFonts w:ascii="Arial" w:cs="Arial" w:eastAsia="Arial" w:hAnsi="Arial"/>
                <w:sz w:val="14"/>
                <w:szCs w:val="14"/>
                <w:color w:val="auto"/>
              </w:rPr>
              <w:t>Shares</w:t>
            </w:r>
          </w:p>
        </w:tc>
        <w:tc>
          <w:tcPr>
            <w:tcW w:w="200" w:type="dxa"/>
            <w:vAlign w:val="bottom"/>
          </w:tcPr>
          <w:p>
            <w:pPr>
              <w:spacing w:after="0"/>
              <w:rPr>
                <w:sz w:val="12"/>
                <w:szCs w:val="12"/>
                <w:color w:val="auto"/>
              </w:rPr>
            </w:pPr>
          </w:p>
        </w:tc>
        <w:tc>
          <w:tcPr>
            <w:tcW w:w="980" w:type="dxa"/>
            <w:vAlign w:val="bottom"/>
          </w:tcPr>
          <w:p>
            <w:pPr>
              <w:jc w:val="center"/>
              <w:ind w:right="148"/>
              <w:spacing w:after="0" w:line="149" w:lineRule="exact"/>
              <w:rPr>
                <w:sz w:val="20"/>
                <w:szCs w:val="20"/>
                <w:color w:val="auto"/>
              </w:rPr>
            </w:pPr>
            <w:r>
              <w:rPr>
                <w:rFonts w:ascii="Arial" w:cs="Arial" w:eastAsia="Arial" w:hAnsi="Arial"/>
                <w:sz w:val="14"/>
                <w:szCs w:val="14"/>
                <w:color w:val="auto"/>
              </w:rPr>
              <w:t>average</w:t>
            </w:r>
          </w:p>
        </w:tc>
        <w:tc>
          <w:tcPr>
            <w:tcW w:w="0" w:type="dxa"/>
            <w:vAlign w:val="bottom"/>
          </w:tcPr>
          <w:p>
            <w:pPr>
              <w:spacing w:after="0"/>
              <w:rPr>
                <w:sz w:val="1"/>
                <w:szCs w:val="1"/>
                <w:color w:val="auto"/>
              </w:rPr>
            </w:pPr>
          </w:p>
        </w:tc>
      </w:tr>
      <w:tr>
        <w:trPr>
          <w:trHeight w:val="185"/>
        </w:trPr>
        <w:tc>
          <w:tcPr>
            <w:tcW w:w="4160" w:type="dxa"/>
            <w:vAlign w:val="bottom"/>
            <w:tcBorders>
              <w:bottom w:val="single" w:sz="8" w:color="00539B"/>
            </w:tcBorders>
          </w:tcPr>
          <w:p>
            <w:pPr>
              <w:spacing w:after="0"/>
              <w:rPr>
                <w:sz w:val="16"/>
                <w:szCs w:val="16"/>
                <w:color w:val="auto"/>
              </w:rPr>
            </w:pPr>
          </w:p>
        </w:tc>
        <w:tc>
          <w:tcPr>
            <w:tcW w:w="1180" w:type="dxa"/>
            <w:vAlign w:val="bottom"/>
            <w:tcBorders>
              <w:bottom w:val="single" w:sz="8" w:color="00539B"/>
            </w:tcBorders>
            <w:vMerge w:val="continue"/>
            <w:shd w:val="clear" w:color="auto" w:fill="E0E3F1"/>
          </w:tcPr>
          <w:p>
            <w:pPr>
              <w:spacing w:after="0"/>
              <w:rPr>
                <w:sz w:val="16"/>
                <w:szCs w:val="16"/>
                <w:color w:val="auto"/>
              </w:rPr>
            </w:pPr>
          </w:p>
        </w:tc>
        <w:tc>
          <w:tcPr>
            <w:tcW w:w="180" w:type="dxa"/>
            <w:vAlign w:val="bottom"/>
            <w:tcBorders>
              <w:bottom w:val="single" w:sz="8" w:color="00539B"/>
            </w:tcBorders>
            <w:shd w:val="clear" w:color="auto" w:fill="E0E3F1"/>
          </w:tcPr>
          <w:p>
            <w:pPr>
              <w:spacing w:after="0"/>
              <w:rPr>
                <w:sz w:val="16"/>
                <w:szCs w:val="16"/>
                <w:color w:val="auto"/>
              </w:rPr>
            </w:pPr>
          </w:p>
        </w:tc>
        <w:tc>
          <w:tcPr>
            <w:tcW w:w="1000" w:type="dxa"/>
            <w:vAlign w:val="bottom"/>
            <w:tcBorders>
              <w:bottom w:val="single" w:sz="8" w:color="00539B"/>
            </w:tcBorders>
            <w:shd w:val="clear" w:color="auto" w:fill="E0E3F1"/>
          </w:tcPr>
          <w:p>
            <w:pPr>
              <w:jc w:val="center"/>
              <w:ind w:right="268"/>
              <w:spacing w:after="0"/>
              <w:rPr>
                <w:sz w:val="20"/>
                <w:szCs w:val="20"/>
                <w:color w:val="auto"/>
              </w:rPr>
            </w:pPr>
            <w:r>
              <w:rPr>
                <w:rFonts w:ascii="Arial" w:cs="Arial" w:eastAsia="Arial" w:hAnsi="Arial"/>
                <w:sz w:val="14"/>
                <w:szCs w:val="14"/>
                <w:color w:val="auto"/>
                <w:w w:val="98"/>
              </w:rPr>
              <w:t>price</w:t>
            </w:r>
          </w:p>
        </w:tc>
        <w:tc>
          <w:tcPr>
            <w:tcW w:w="1160" w:type="dxa"/>
            <w:vAlign w:val="bottom"/>
            <w:tcBorders>
              <w:bottom w:val="single" w:sz="8" w:color="00539B"/>
            </w:tcBorders>
            <w:vMerge w:val="continue"/>
          </w:tcPr>
          <w:p>
            <w:pPr>
              <w:spacing w:after="0"/>
              <w:rPr>
                <w:sz w:val="16"/>
                <w:szCs w:val="16"/>
                <w:color w:val="auto"/>
              </w:rPr>
            </w:pPr>
          </w:p>
        </w:tc>
        <w:tc>
          <w:tcPr>
            <w:tcW w:w="220" w:type="dxa"/>
            <w:vAlign w:val="bottom"/>
            <w:tcBorders>
              <w:bottom w:val="single" w:sz="8" w:color="00539B"/>
            </w:tcBorders>
          </w:tcPr>
          <w:p>
            <w:pPr>
              <w:spacing w:after="0"/>
              <w:rPr>
                <w:sz w:val="16"/>
                <w:szCs w:val="16"/>
                <w:color w:val="auto"/>
              </w:rPr>
            </w:pPr>
          </w:p>
        </w:tc>
        <w:tc>
          <w:tcPr>
            <w:tcW w:w="1120" w:type="dxa"/>
            <w:vAlign w:val="bottom"/>
            <w:tcBorders>
              <w:bottom w:val="single" w:sz="8" w:color="00539B"/>
            </w:tcBorders>
          </w:tcPr>
          <w:p>
            <w:pPr>
              <w:jc w:val="center"/>
              <w:ind w:right="288"/>
              <w:spacing w:after="0"/>
              <w:rPr>
                <w:sz w:val="20"/>
                <w:szCs w:val="20"/>
                <w:color w:val="auto"/>
              </w:rPr>
            </w:pPr>
            <w:r>
              <w:rPr>
                <w:rFonts w:ascii="Arial" w:cs="Arial" w:eastAsia="Arial" w:hAnsi="Arial"/>
                <w:sz w:val="14"/>
                <w:szCs w:val="14"/>
                <w:color w:val="auto"/>
              </w:rPr>
              <w:t>price</w:t>
            </w:r>
          </w:p>
        </w:tc>
        <w:tc>
          <w:tcPr>
            <w:tcW w:w="1020" w:type="dxa"/>
            <w:vAlign w:val="bottom"/>
            <w:tcBorders>
              <w:bottom w:val="single" w:sz="8" w:color="00539B"/>
            </w:tcBorders>
            <w:vMerge w:val="continue"/>
          </w:tcPr>
          <w:p>
            <w:pPr>
              <w:spacing w:after="0"/>
              <w:rPr>
                <w:sz w:val="16"/>
                <w:szCs w:val="16"/>
                <w:color w:val="auto"/>
              </w:rPr>
            </w:pPr>
          </w:p>
        </w:tc>
        <w:tc>
          <w:tcPr>
            <w:tcW w:w="200" w:type="dxa"/>
            <w:vAlign w:val="bottom"/>
            <w:tcBorders>
              <w:bottom w:val="single" w:sz="8" w:color="00539B"/>
            </w:tcBorders>
          </w:tcPr>
          <w:p>
            <w:pPr>
              <w:spacing w:after="0"/>
              <w:rPr>
                <w:sz w:val="16"/>
                <w:szCs w:val="16"/>
                <w:color w:val="auto"/>
              </w:rPr>
            </w:pPr>
          </w:p>
        </w:tc>
        <w:tc>
          <w:tcPr>
            <w:tcW w:w="980" w:type="dxa"/>
            <w:vAlign w:val="bottom"/>
            <w:tcBorders>
              <w:bottom w:val="single" w:sz="8" w:color="00539B"/>
            </w:tcBorders>
          </w:tcPr>
          <w:p>
            <w:pPr>
              <w:jc w:val="center"/>
              <w:ind w:right="148"/>
              <w:spacing w:after="0"/>
              <w:rPr>
                <w:sz w:val="20"/>
                <w:szCs w:val="20"/>
                <w:color w:val="auto"/>
              </w:rPr>
            </w:pPr>
            <w:r>
              <w:rPr>
                <w:rFonts w:ascii="Arial" w:cs="Arial" w:eastAsia="Arial" w:hAnsi="Arial"/>
                <w:sz w:val="14"/>
                <w:szCs w:val="14"/>
                <w:color w:val="auto"/>
              </w:rPr>
              <w:t>price</w:t>
            </w:r>
          </w:p>
        </w:tc>
        <w:tc>
          <w:tcPr>
            <w:tcW w:w="0" w:type="dxa"/>
            <w:vAlign w:val="bottom"/>
          </w:tcPr>
          <w:p>
            <w:pPr>
              <w:spacing w:after="0"/>
              <w:rPr>
                <w:sz w:val="1"/>
                <w:szCs w:val="1"/>
                <w:color w:val="auto"/>
              </w:rPr>
            </w:pPr>
          </w:p>
        </w:tc>
      </w:tr>
      <w:tr>
        <w:trPr>
          <w:trHeight w:val="188"/>
        </w:trPr>
        <w:tc>
          <w:tcPr>
            <w:tcW w:w="4160" w:type="dxa"/>
            <w:vAlign w:val="bottom"/>
          </w:tcPr>
          <w:p>
            <w:pPr>
              <w:ind w:left="20"/>
              <w:spacing w:after="0"/>
              <w:rPr>
                <w:sz w:val="20"/>
                <w:szCs w:val="20"/>
                <w:color w:val="auto"/>
              </w:rPr>
            </w:pPr>
            <w:r>
              <w:rPr>
                <w:rFonts w:ascii="Arial" w:cs="Arial" w:eastAsia="Arial" w:hAnsi="Arial"/>
                <w:sz w:val="14"/>
                <w:szCs w:val="14"/>
                <w:color w:val="auto"/>
              </w:rPr>
              <w:t>Beginning of year</w:t>
            </w:r>
          </w:p>
        </w:tc>
        <w:tc>
          <w:tcPr>
            <w:tcW w:w="1180" w:type="dxa"/>
            <w:vAlign w:val="bottom"/>
            <w:shd w:val="clear" w:color="auto" w:fill="E0E3F1"/>
          </w:tcPr>
          <w:p>
            <w:pPr>
              <w:jc w:val="right"/>
              <w:spacing w:after="0"/>
              <w:rPr>
                <w:sz w:val="20"/>
                <w:szCs w:val="20"/>
                <w:color w:val="auto"/>
              </w:rPr>
            </w:pPr>
            <w:r>
              <w:rPr>
                <w:rFonts w:ascii="Arial" w:cs="Arial" w:eastAsia="Arial" w:hAnsi="Arial"/>
                <w:sz w:val="14"/>
                <w:szCs w:val="14"/>
                <w:color w:val="auto"/>
              </w:rPr>
              <w:t>539</w:t>
            </w:r>
          </w:p>
        </w:tc>
        <w:tc>
          <w:tcPr>
            <w:tcW w:w="180" w:type="dxa"/>
            <w:vAlign w:val="bottom"/>
            <w:shd w:val="clear" w:color="auto" w:fill="E0E3F1"/>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shd w:val="clear" w:color="auto" w:fill="E0E3F1"/>
          </w:tcPr>
          <w:p>
            <w:pPr>
              <w:jc w:val="right"/>
              <w:ind w:right="8"/>
              <w:spacing w:after="0"/>
              <w:rPr>
                <w:sz w:val="20"/>
                <w:szCs w:val="20"/>
                <w:color w:val="auto"/>
              </w:rPr>
            </w:pPr>
            <w:r>
              <w:rPr>
                <w:rFonts w:ascii="Arial" w:cs="Arial" w:eastAsia="Arial" w:hAnsi="Arial"/>
                <w:sz w:val="14"/>
                <w:szCs w:val="14"/>
                <w:color w:val="auto"/>
              </w:rPr>
              <w:t>83.45</w:t>
            </w:r>
          </w:p>
        </w:tc>
        <w:tc>
          <w:tcPr>
            <w:tcW w:w="1160" w:type="dxa"/>
            <w:vAlign w:val="bottom"/>
          </w:tcPr>
          <w:p>
            <w:pPr>
              <w:jc w:val="right"/>
              <w:spacing w:after="0"/>
              <w:rPr>
                <w:sz w:val="20"/>
                <w:szCs w:val="20"/>
                <w:color w:val="auto"/>
              </w:rPr>
            </w:pPr>
            <w:r>
              <w:rPr>
                <w:rFonts w:ascii="Arial" w:cs="Arial" w:eastAsia="Arial" w:hAnsi="Arial"/>
                <w:sz w:val="14"/>
                <w:szCs w:val="14"/>
                <w:color w:val="auto"/>
              </w:rPr>
              <w:t>474</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94.34</w:t>
            </w:r>
          </w:p>
        </w:tc>
        <w:tc>
          <w:tcPr>
            <w:tcW w:w="1020" w:type="dxa"/>
            <w:vAlign w:val="bottom"/>
          </w:tcPr>
          <w:p>
            <w:pPr>
              <w:jc w:val="right"/>
              <w:spacing w:after="0"/>
              <w:rPr>
                <w:sz w:val="20"/>
                <w:szCs w:val="20"/>
                <w:color w:val="auto"/>
              </w:rPr>
            </w:pPr>
            <w:r>
              <w:rPr>
                <w:rFonts w:ascii="Arial" w:cs="Arial" w:eastAsia="Arial" w:hAnsi="Arial"/>
                <w:sz w:val="14"/>
                <w:szCs w:val="14"/>
                <w:color w:val="auto"/>
              </w:rPr>
              <w:t>451</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106.32</w:t>
            </w:r>
          </w:p>
        </w:tc>
        <w:tc>
          <w:tcPr>
            <w:tcW w:w="0" w:type="dxa"/>
            <w:vAlign w:val="bottom"/>
          </w:tcPr>
          <w:p>
            <w:pPr>
              <w:spacing w:after="0"/>
              <w:rPr>
                <w:sz w:val="1"/>
                <w:szCs w:val="1"/>
                <w:color w:val="auto"/>
              </w:rPr>
            </w:pPr>
          </w:p>
        </w:tc>
      </w:tr>
      <w:tr>
        <w:trPr>
          <w:trHeight w:val="203"/>
        </w:trPr>
        <w:tc>
          <w:tcPr>
            <w:tcW w:w="4160" w:type="dxa"/>
            <w:vAlign w:val="bottom"/>
          </w:tcPr>
          <w:p>
            <w:pPr>
              <w:ind w:left="20"/>
              <w:spacing w:after="0"/>
              <w:rPr>
                <w:sz w:val="20"/>
                <w:szCs w:val="20"/>
                <w:color w:val="auto"/>
              </w:rPr>
            </w:pPr>
            <w:r>
              <w:rPr>
                <w:rFonts w:ascii="Arial" w:cs="Arial" w:eastAsia="Arial" w:hAnsi="Arial"/>
                <w:sz w:val="14"/>
                <w:szCs w:val="14"/>
                <w:color w:val="auto"/>
              </w:rPr>
              <w:t>Granted</w:t>
            </w:r>
          </w:p>
        </w:tc>
        <w:tc>
          <w:tcPr>
            <w:tcW w:w="1180" w:type="dxa"/>
            <w:vAlign w:val="bottom"/>
            <w:shd w:val="clear" w:color="auto" w:fill="E0E3F1"/>
          </w:tcPr>
          <w:p>
            <w:pPr>
              <w:jc w:val="right"/>
              <w:spacing w:after="0"/>
              <w:rPr>
                <w:sz w:val="20"/>
                <w:szCs w:val="20"/>
                <w:color w:val="auto"/>
              </w:rPr>
            </w:pPr>
            <w:r>
              <w:rPr>
                <w:rFonts w:ascii="Arial" w:cs="Arial" w:eastAsia="Arial" w:hAnsi="Arial"/>
                <w:sz w:val="14"/>
                <w:szCs w:val="14"/>
                <w:color w:val="auto"/>
              </w:rPr>
              <w:t>177</w:t>
            </w:r>
          </w:p>
        </w:tc>
        <w:tc>
          <w:tcPr>
            <w:tcW w:w="180" w:type="dxa"/>
            <w:vAlign w:val="bottom"/>
            <w:shd w:val="clear" w:color="auto" w:fill="E0E3F1"/>
          </w:tcPr>
          <w:p>
            <w:pPr>
              <w:spacing w:after="0"/>
              <w:rPr>
                <w:sz w:val="17"/>
                <w:szCs w:val="17"/>
                <w:color w:val="auto"/>
              </w:rPr>
            </w:pPr>
          </w:p>
        </w:tc>
        <w:tc>
          <w:tcPr>
            <w:tcW w:w="1000" w:type="dxa"/>
            <w:vAlign w:val="bottom"/>
            <w:shd w:val="clear" w:color="auto" w:fill="E0E3F1"/>
          </w:tcPr>
          <w:p>
            <w:pPr>
              <w:jc w:val="right"/>
              <w:ind w:right="8"/>
              <w:spacing w:after="0"/>
              <w:rPr>
                <w:sz w:val="20"/>
                <w:szCs w:val="20"/>
                <w:color w:val="auto"/>
              </w:rPr>
            </w:pPr>
            <w:r>
              <w:rPr>
                <w:rFonts w:ascii="Arial" w:cs="Arial" w:eastAsia="Arial" w:hAnsi="Arial"/>
                <w:sz w:val="14"/>
                <w:szCs w:val="14"/>
                <w:color w:val="auto"/>
              </w:rPr>
              <w:t>86.92</w:t>
            </w:r>
          </w:p>
        </w:tc>
        <w:tc>
          <w:tcPr>
            <w:tcW w:w="1160" w:type="dxa"/>
            <w:vAlign w:val="bottom"/>
          </w:tcPr>
          <w:p>
            <w:pPr>
              <w:jc w:val="right"/>
              <w:spacing w:after="0"/>
              <w:rPr>
                <w:sz w:val="20"/>
                <w:szCs w:val="20"/>
                <w:color w:val="auto"/>
              </w:rPr>
            </w:pPr>
            <w:r>
              <w:rPr>
                <w:rFonts w:ascii="Arial" w:cs="Arial" w:eastAsia="Arial" w:hAnsi="Arial"/>
                <w:sz w:val="14"/>
                <w:szCs w:val="14"/>
                <w:color w:val="auto"/>
              </w:rPr>
              <w:t>192</w:t>
            </w:r>
          </w:p>
        </w:tc>
        <w:tc>
          <w:tcPr>
            <w:tcW w:w="220" w:type="dxa"/>
            <w:vAlign w:val="bottom"/>
          </w:tcPr>
          <w:p>
            <w:pPr>
              <w:spacing w:after="0"/>
              <w:rPr>
                <w:sz w:val="17"/>
                <w:szCs w:val="17"/>
                <w:color w:val="auto"/>
              </w:rPr>
            </w:pP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66.49</w:t>
            </w:r>
          </w:p>
        </w:tc>
        <w:tc>
          <w:tcPr>
            <w:tcW w:w="1020" w:type="dxa"/>
            <w:vAlign w:val="bottom"/>
          </w:tcPr>
          <w:p>
            <w:pPr>
              <w:jc w:val="right"/>
              <w:spacing w:after="0"/>
              <w:rPr>
                <w:sz w:val="20"/>
                <w:szCs w:val="20"/>
                <w:color w:val="auto"/>
              </w:rPr>
            </w:pPr>
            <w:r>
              <w:rPr>
                <w:rFonts w:ascii="Arial" w:cs="Arial" w:eastAsia="Arial" w:hAnsi="Arial"/>
                <w:sz w:val="14"/>
                <w:szCs w:val="14"/>
                <w:color w:val="auto"/>
              </w:rPr>
              <w:t>167</w:t>
            </w:r>
          </w:p>
        </w:tc>
        <w:tc>
          <w:tcPr>
            <w:tcW w:w="20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89.00</w:t>
            </w:r>
          </w:p>
        </w:tc>
        <w:tc>
          <w:tcPr>
            <w:tcW w:w="0" w:type="dxa"/>
            <w:vAlign w:val="bottom"/>
          </w:tcPr>
          <w:p>
            <w:pPr>
              <w:spacing w:after="0"/>
              <w:rPr>
                <w:sz w:val="1"/>
                <w:szCs w:val="1"/>
                <w:color w:val="auto"/>
              </w:rPr>
            </w:pPr>
          </w:p>
        </w:tc>
      </w:tr>
      <w:tr>
        <w:trPr>
          <w:trHeight w:val="203"/>
        </w:trPr>
        <w:tc>
          <w:tcPr>
            <w:tcW w:w="4160" w:type="dxa"/>
            <w:vAlign w:val="bottom"/>
          </w:tcPr>
          <w:p>
            <w:pPr>
              <w:ind w:left="20"/>
              <w:spacing w:after="0"/>
              <w:rPr>
                <w:sz w:val="20"/>
                <w:szCs w:val="20"/>
                <w:color w:val="auto"/>
              </w:rPr>
            </w:pPr>
            <w:r>
              <w:rPr>
                <w:rFonts w:ascii="Arial" w:cs="Arial" w:eastAsia="Arial" w:hAnsi="Arial"/>
                <w:sz w:val="14"/>
                <w:szCs w:val="14"/>
                <w:color w:val="auto"/>
              </w:rPr>
              <w:t>Vested</w:t>
            </w:r>
          </w:p>
        </w:tc>
        <w:tc>
          <w:tcPr>
            <w:tcW w:w="1180" w:type="dxa"/>
            <w:vAlign w:val="bottom"/>
            <w:shd w:val="clear" w:color="auto" w:fill="E0E3F1"/>
          </w:tcPr>
          <w:p>
            <w:pPr>
              <w:jc w:val="right"/>
              <w:spacing w:after="0"/>
              <w:rPr>
                <w:sz w:val="20"/>
                <w:szCs w:val="20"/>
                <w:color w:val="auto"/>
              </w:rPr>
            </w:pPr>
            <w:r>
              <w:rPr>
                <w:rFonts w:ascii="Arial" w:cs="Arial" w:eastAsia="Arial" w:hAnsi="Arial"/>
                <w:sz w:val="14"/>
                <w:szCs w:val="14"/>
                <w:color w:val="auto"/>
              </w:rPr>
              <w:t>(206)</w:t>
            </w:r>
          </w:p>
        </w:tc>
        <w:tc>
          <w:tcPr>
            <w:tcW w:w="180" w:type="dxa"/>
            <w:vAlign w:val="bottom"/>
            <w:shd w:val="clear" w:color="auto" w:fill="E0E3F1"/>
          </w:tcPr>
          <w:p>
            <w:pPr>
              <w:spacing w:after="0"/>
              <w:rPr>
                <w:sz w:val="17"/>
                <w:szCs w:val="17"/>
                <w:color w:val="auto"/>
              </w:rPr>
            </w:pPr>
          </w:p>
        </w:tc>
        <w:tc>
          <w:tcPr>
            <w:tcW w:w="1000" w:type="dxa"/>
            <w:vAlign w:val="bottom"/>
            <w:shd w:val="clear" w:color="auto" w:fill="E0E3F1"/>
          </w:tcPr>
          <w:p>
            <w:pPr>
              <w:jc w:val="right"/>
              <w:ind w:right="8"/>
              <w:spacing w:after="0"/>
              <w:rPr>
                <w:sz w:val="20"/>
                <w:szCs w:val="20"/>
                <w:color w:val="auto"/>
              </w:rPr>
            </w:pPr>
            <w:r>
              <w:rPr>
                <w:rFonts w:ascii="Arial" w:cs="Arial" w:eastAsia="Arial" w:hAnsi="Arial"/>
                <w:sz w:val="14"/>
                <w:szCs w:val="14"/>
                <w:color w:val="auto"/>
              </w:rPr>
              <w:t>95.00</w:t>
            </w:r>
          </w:p>
        </w:tc>
        <w:tc>
          <w:tcPr>
            <w:tcW w:w="1160" w:type="dxa"/>
            <w:vAlign w:val="bottom"/>
          </w:tcPr>
          <w:p>
            <w:pPr>
              <w:jc w:val="right"/>
              <w:spacing w:after="0"/>
              <w:rPr>
                <w:sz w:val="20"/>
                <w:szCs w:val="20"/>
                <w:color w:val="auto"/>
              </w:rPr>
            </w:pPr>
            <w:r>
              <w:rPr>
                <w:rFonts w:ascii="Arial" w:cs="Arial" w:eastAsia="Arial" w:hAnsi="Arial"/>
                <w:sz w:val="14"/>
                <w:szCs w:val="14"/>
                <w:color w:val="auto"/>
              </w:rPr>
              <w:t>(181)</w:t>
            </w:r>
          </w:p>
        </w:tc>
        <w:tc>
          <w:tcPr>
            <w:tcW w:w="220" w:type="dxa"/>
            <w:vAlign w:val="bottom"/>
          </w:tcPr>
          <w:p>
            <w:pPr>
              <w:spacing w:after="0"/>
              <w:rPr>
                <w:sz w:val="17"/>
                <w:szCs w:val="17"/>
                <w:color w:val="auto"/>
              </w:rPr>
            </w:pP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98.30</w:t>
            </w:r>
          </w:p>
        </w:tc>
        <w:tc>
          <w:tcPr>
            <w:tcW w:w="1020" w:type="dxa"/>
            <w:vAlign w:val="bottom"/>
          </w:tcPr>
          <w:p>
            <w:pPr>
              <w:jc w:val="right"/>
              <w:spacing w:after="0"/>
              <w:rPr>
                <w:sz w:val="20"/>
                <w:szCs w:val="20"/>
                <w:color w:val="auto"/>
              </w:rPr>
            </w:pPr>
            <w:r>
              <w:rPr>
                <w:rFonts w:ascii="Arial" w:cs="Arial" w:eastAsia="Arial" w:hAnsi="Arial"/>
                <w:sz w:val="14"/>
                <w:szCs w:val="14"/>
                <w:color w:val="auto"/>
              </w:rPr>
              <w:t>(176)</w:t>
            </w:r>
          </w:p>
        </w:tc>
        <w:tc>
          <w:tcPr>
            <w:tcW w:w="20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86.14</w:t>
            </w:r>
          </w:p>
        </w:tc>
        <w:tc>
          <w:tcPr>
            <w:tcW w:w="0" w:type="dxa"/>
            <w:vAlign w:val="bottom"/>
          </w:tcPr>
          <w:p>
            <w:pPr>
              <w:spacing w:after="0"/>
              <w:rPr>
                <w:sz w:val="1"/>
                <w:szCs w:val="1"/>
                <w:color w:val="auto"/>
              </w:rPr>
            </w:pPr>
          </w:p>
        </w:tc>
      </w:tr>
      <w:tr>
        <w:trPr>
          <w:trHeight w:val="203"/>
        </w:trPr>
        <w:tc>
          <w:tcPr>
            <w:tcW w:w="4160" w:type="dxa"/>
            <w:vAlign w:val="bottom"/>
          </w:tcPr>
          <w:p>
            <w:pPr>
              <w:ind w:left="20"/>
              <w:spacing w:after="0"/>
              <w:rPr>
                <w:sz w:val="20"/>
                <w:szCs w:val="20"/>
                <w:color w:val="auto"/>
              </w:rPr>
            </w:pPr>
            <w:r>
              <w:rPr>
                <w:rFonts w:ascii="Arial" w:cs="Arial" w:eastAsia="Arial" w:hAnsi="Arial"/>
                <w:sz w:val="14"/>
                <w:szCs w:val="14"/>
                <w:color w:val="auto"/>
              </w:rPr>
              <w:t>Performance adjustment</w:t>
            </w:r>
          </w:p>
        </w:tc>
        <w:tc>
          <w:tcPr>
            <w:tcW w:w="1180" w:type="dxa"/>
            <w:vAlign w:val="bottom"/>
            <w:shd w:val="clear" w:color="auto" w:fill="E0E3F1"/>
          </w:tcPr>
          <w:p>
            <w:pPr>
              <w:jc w:val="right"/>
              <w:spacing w:after="0"/>
              <w:rPr>
                <w:sz w:val="20"/>
                <w:szCs w:val="20"/>
                <w:color w:val="auto"/>
              </w:rPr>
            </w:pPr>
            <w:r>
              <w:rPr>
                <w:rFonts w:ascii="Arial" w:cs="Arial" w:eastAsia="Arial" w:hAnsi="Arial"/>
                <w:sz w:val="14"/>
                <w:szCs w:val="14"/>
                <w:color w:val="auto"/>
              </w:rPr>
              <w:t>53</w:t>
            </w:r>
          </w:p>
        </w:tc>
        <w:tc>
          <w:tcPr>
            <w:tcW w:w="180" w:type="dxa"/>
            <w:vAlign w:val="bottom"/>
            <w:shd w:val="clear" w:color="auto" w:fill="E0E3F1"/>
          </w:tcPr>
          <w:p>
            <w:pPr>
              <w:spacing w:after="0"/>
              <w:rPr>
                <w:sz w:val="17"/>
                <w:szCs w:val="17"/>
                <w:color w:val="auto"/>
              </w:rPr>
            </w:pPr>
          </w:p>
        </w:tc>
        <w:tc>
          <w:tcPr>
            <w:tcW w:w="1000" w:type="dxa"/>
            <w:vAlign w:val="bottom"/>
            <w:shd w:val="clear" w:color="auto" w:fill="E0E3F1"/>
          </w:tcPr>
          <w:p>
            <w:pPr>
              <w:jc w:val="right"/>
              <w:ind w:right="8"/>
              <w:spacing w:after="0"/>
              <w:rPr>
                <w:sz w:val="20"/>
                <w:szCs w:val="20"/>
                <w:color w:val="auto"/>
              </w:rPr>
            </w:pPr>
            <w:r>
              <w:rPr>
                <w:rFonts w:ascii="Arial" w:cs="Arial" w:eastAsia="Arial" w:hAnsi="Arial"/>
                <w:sz w:val="14"/>
                <w:szCs w:val="14"/>
                <w:color w:val="auto"/>
              </w:rPr>
              <w:t>89.00</w:t>
            </w:r>
          </w:p>
        </w:tc>
        <w:tc>
          <w:tcPr>
            <w:tcW w:w="1160" w:type="dxa"/>
            <w:vAlign w:val="bottom"/>
          </w:tcPr>
          <w:p>
            <w:pPr>
              <w:jc w:val="right"/>
              <w:spacing w:after="0"/>
              <w:rPr>
                <w:sz w:val="20"/>
                <w:szCs w:val="20"/>
                <w:color w:val="auto"/>
              </w:rPr>
            </w:pPr>
            <w:r>
              <w:rPr>
                <w:rFonts w:ascii="Arial" w:cs="Arial" w:eastAsia="Arial" w:hAnsi="Arial"/>
                <w:sz w:val="14"/>
                <w:szCs w:val="14"/>
                <w:color w:val="auto"/>
              </w:rPr>
              <w:t>73</w:t>
            </w:r>
          </w:p>
        </w:tc>
        <w:tc>
          <w:tcPr>
            <w:tcW w:w="220" w:type="dxa"/>
            <w:vAlign w:val="bottom"/>
          </w:tcPr>
          <w:p>
            <w:pPr>
              <w:spacing w:after="0"/>
              <w:rPr>
                <w:sz w:val="17"/>
                <w:szCs w:val="17"/>
                <w:color w:val="auto"/>
              </w:rPr>
            </w:pP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95.00</w:t>
            </w:r>
          </w:p>
        </w:tc>
        <w:tc>
          <w:tcPr>
            <w:tcW w:w="1020" w:type="dxa"/>
            <w:vAlign w:val="bottom"/>
          </w:tcPr>
          <w:p>
            <w:pPr>
              <w:jc w:val="right"/>
              <w:spacing w:after="0"/>
              <w:rPr>
                <w:sz w:val="20"/>
                <w:szCs w:val="20"/>
                <w:color w:val="auto"/>
              </w:rPr>
            </w:pPr>
            <w:r>
              <w:rPr>
                <w:rFonts w:ascii="Arial" w:cs="Arial" w:eastAsia="Arial" w:hAnsi="Arial"/>
                <w:sz w:val="14"/>
                <w:szCs w:val="14"/>
                <w:color w:val="auto"/>
              </w:rPr>
              <w:t>61</w:t>
            </w:r>
          </w:p>
        </w:tc>
        <w:tc>
          <w:tcPr>
            <w:tcW w:w="20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98.30</w:t>
            </w:r>
          </w:p>
        </w:tc>
        <w:tc>
          <w:tcPr>
            <w:tcW w:w="0" w:type="dxa"/>
            <w:vAlign w:val="bottom"/>
          </w:tcPr>
          <w:p>
            <w:pPr>
              <w:spacing w:after="0"/>
              <w:rPr>
                <w:sz w:val="1"/>
                <w:szCs w:val="1"/>
                <w:color w:val="auto"/>
              </w:rPr>
            </w:pPr>
          </w:p>
        </w:tc>
      </w:tr>
      <w:tr>
        <w:trPr>
          <w:trHeight w:val="206"/>
        </w:trPr>
        <w:tc>
          <w:tcPr>
            <w:tcW w:w="416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Forfeited</w:t>
            </w:r>
          </w:p>
        </w:tc>
        <w:tc>
          <w:tcPr>
            <w:tcW w:w="118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(40)</w:t>
            </w:r>
          </w:p>
        </w:tc>
        <w:tc>
          <w:tcPr>
            <w:tcW w:w="180" w:type="dxa"/>
            <w:vAlign w:val="bottom"/>
            <w:tcBorders>
              <w:bottom w:val="single" w:sz="8" w:color="00539B"/>
            </w:tcBorders>
            <w:shd w:val="clear" w:color="auto" w:fill="E0E3F1"/>
          </w:tcPr>
          <w:p>
            <w:pPr>
              <w:spacing w:after="0"/>
              <w:rPr>
                <w:sz w:val="17"/>
                <w:szCs w:val="17"/>
                <w:color w:val="auto"/>
              </w:rPr>
            </w:pPr>
          </w:p>
        </w:tc>
        <w:tc>
          <w:tcPr>
            <w:tcW w:w="1000" w:type="dxa"/>
            <w:vAlign w:val="bottom"/>
            <w:tcBorders>
              <w:bottom w:val="single" w:sz="8" w:color="00539B"/>
            </w:tcBorders>
            <w:shd w:val="clear" w:color="auto" w:fill="E0E3F1"/>
          </w:tcPr>
          <w:p>
            <w:pPr>
              <w:jc w:val="right"/>
              <w:ind w:right="8"/>
              <w:spacing w:after="0"/>
              <w:rPr>
                <w:sz w:val="20"/>
                <w:szCs w:val="20"/>
                <w:color w:val="auto"/>
              </w:rPr>
            </w:pPr>
            <w:r>
              <w:rPr>
                <w:rFonts w:ascii="Arial" w:cs="Arial" w:eastAsia="Arial" w:hAnsi="Arial"/>
                <w:sz w:val="14"/>
                <w:szCs w:val="14"/>
                <w:color w:val="auto"/>
              </w:rPr>
              <w:t>80.03</w:t>
            </w:r>
          </w:p>
        </w:tc>
        <w:tc>
          <w:tcPr>
            <w:tcW w:w="116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(19)</w:t>
            </w:r>
          </w:p>
        </w:tc>
        <w:tc>
          <w:tcPr>
            <w:tcW w:w="220" w:type="dxa"/>
            <w:vAlign w:val="bottom"/>
            <w:tcBorders>
              <w:bottom w:val="single" w:sz="8" w:color="00539B"/>
            </w:tcBorders>
          </w:tcPr>
          <w:p>
            <w:pPr>
              <w:spacing w:after="0"/>
              <w:rPr>
                <w:sz w:val="17"/>
                <w:szCs w:val="17"/>
                <w:color w:val="auto"/>
              </w:rPr>
            </w:pPr>
          </w:p>
        </w:tc>
        <w:tc>
          <w:tcPr>
            <w:tcW w:w="1120" w:type="dxa"/>
            <w:vAlign w:val="bottom"/>
            <w:tcBorders>
              <w:bottom w:val="single" w:sz="8" w:color="00539B"/>
            </w:tcBorders>
          </w:tcPr>
          <w:p>
            <w:pPr>
              <w:jc w:val="right"/>
              <w:ind w:right="148"/>
              <w:spacing w:after="0"/>
              <w:rPr>
                <w:sz w:val="20"/>
                <w:szCs w:val="20"/>
                <w:color w:val="auto"/>
              </w:rPr>
            </w:pPr>
            <w:r>
              <w:rPr>
                <w:rFonts w:ascii="Arial" w:cs="Arial" w:eastAsia="Arial" w:hAnsi="Arial"/>
                <w:sz w:val="14"/>
                <w:szCs w:val="14"/>
                <w:color w:val="auto"/>
              </w:rPr>
              <w:t>84.71</w:t>
            </w:r>
          </w:p>
        </w:tc>
        <w:tc>
          <w:tcPr>
            <w:tcW w:w="102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(29)</w:t>
            </w:r>
          </w:p>
        </w:tc>
        <w:tc>
          <w:tcPr>
            <w:tcW w:w="200" w:type="dxa"/>
            <w:vAlign w:val="bottom"/>
            <w:tcBorders>
              <w:bottom w:val="single" w:sz="8" w:color="00539B"/>
            </w:tcBorders>
          </w:tcPr>
          <w:p>
            <w:pPr>
              <w:spacing w:after="0"/>
              <w:rPr>
                <w:sz w:val="17"/>
                <w:szCs w:val="17"/>
                <w:color w:val="auto"/>
              </w:rPr>
            </w:pPr>
          </w:p>
        </w:tc>
        <w:tc>
          <w:tcPr>
            <w:tcW w:w="980" w:type="dxa"/>
            <w:vAlign w:val="bottom"/>
            <w:tcBorders>
              <w:bottom w:val="single" w:sz="8" w:color="00539B"/>
            </w:tcBorders>
          </w:tcPr>
          <w:p>
            <w:pPr>
              <w:jc w:val="right"/>
              <w:ind w:right="8"/>
              <w:spacing w:after="0"/>
              <w:rPr>
                <w:sz w:val="20"/>
                <w:szCs w:val="20"/>
                <w:color w:val="auto"/>
              </w:rPr>
            </w:pPr>
            <w:r>
              <w:rPr>
                <w:rFonts w:ascii="Arial" w:cs="Arial" w:eastAsia="Arial" w:hAnsi="Arial"/>
                <w:sz w:val="14"/>
                <w:szCs w:val="14"/>
                <w:color w:val="auto"/>
              </w:rPr>
              <w:t>92.31</w:t>
            </w:r>
          </w:p>
        </w:tc>
        <w:tc>
          <w:tcPr>
            <w:tcW w:w="0" w:type="dxa"/>
            <w:vAlign w:val="bottom"/>
          </w:tcPr>
          <w:p>
            <w:pPr>
              <w:spacing w:after="0"/>
              <w:rPr>
                <w:sz w:val="1"/>
                <w:szCs w:val="1"/>
                <w:color w:val="auto"/>
              </w:rPr>
            </w:pPr>
          </w:p>
        </w:tc>
      </w:tr>
      <w:tr>
        <w:trPr>
          <w:trHeight w:val="207"/>
        </w:trPr>
        <w:tc>
          <w:tcPr>
            <w:tcW w:w="416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Outstanding—end of year</w:t>
            </w:r>
          </w:p>
        </w:tc>
        <w:tc>
          <w:tcPr>
            <w:tcW w:w="118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523</w:t>
            </w:r>
          </w:p>
        </w:tc>
        <w:tc>
          <w:tcPr>
            <w:tcW w:w="180" w:type="dxa"/>
            <w:vAlign w:val="bottom"/>
            <w:tcBorders>
              <w:bottom w:val="single" w:sz="8" w:color="00539B"/>
            </w:tcBorders>
            <w:shd w:val="clear" w:color="auto" w:fill="E0E3F1"/>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00539B"/>
            </w:tcBorders>
            <w:shd w:val="clear" w:color="auto" w:fill="E0E3F1"/>
          </w:tcPr>
          <w:p>
            <w:pPr>
              <w:jc w:val="right"/>
              <w:ind w:right="8"/>
              <w:spacing w:after="0"/>
              <w:rPr>
                <w:sz w:val="20"/>
                <w:szCs w:val="20"/>
                <w:color w:val="auto"/>
              </w:rPr>
            </w:pPr>
            <w:r>
              <w:rPr>
                <w:rFonts w:ascii="Arial" w:cs="Arial" w:eastAsia="Arial" w:hAnsi="Arial"/>
                <w:sz w:val="14"/>
                <w:szCs w:val="14"/>
                <w:color w:val="auto"/>
              </w:rPr>
              <w:t>80.88</w:t>
            </w:r>
          </w:p>
        </w:tc>
        <w:tc>
          <w:tcPr>
            <w:tcW w:w="116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539</w:t>
            </w:r>
          </w:p>
        </w:tc>
        <w:tc>
          <w:tcPr>
            <w:tcW w:w="220" w:type="dxa"/>
            <w:vAlign w:val="bottom"/>
            <w:tcBorders>
              <w:bottom w:val="single" w:sz="8" w:color="00539B"/>
            </w:tcBorders>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00539B"/>
            </w:tcBorders>
          </w:tcPr>
          <w:p>
            <w:pPr>
              <w:jc w:val="right"/>
              <w:ind w:right="148"/>
              <w:spacing w:after="0"/>
              <w:rPr>
                <w:sz w:val="20"/>
                <w:szCs w:val="20"/>
                <w:color w:val="auto"/>
              </w:rPr>
            </w:pPr>
            <w:r>
              <w:rPr>
                <w:rFonts w:ascii="Arial" w:cs="Arial" w:eastAsia="Arial" w:hAnsi="Arial"/>
                <w:sz w:val="14"/>
                <w:szCs w:val="14"/>
                <w:color w:val="auto"/>
              </w:rPr>
              <w:t>83.45</w:t>
            </w:r>
          </w:p>
        </w:tc>
        <w:tc>
          <w:tcPr>
            <w:tcW w:w="102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474</w:t>
            </w:r>
          </w:p>
        </w:tc>
        <w:tc>
          <w:tcPr>
            <w:tcW w:w="200" w:type="dxa"/>
            <w:vAlign w:val="bottom"/>
            <w:tcBorders>
              <w:bottom w:val="single" w:sz="8" w:color="00539B"/>
            </w:tcBorders>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00539B"/>
            </w:tcBorders>
          </w:tcPr>
          <w:p>
            <w:pPr>
              <w:jc w:val="right"/>
              <w:ind w:right="8"/>
              <w:spacing w:after="0"/>
              <w:rPr>
                <w:sz w:val="20"/>
                <w:szCs w:val="20"/>
                <w:color w:val="auto"/>
              </w:rPr>
            </w:pPr>
            <w:r>
              <w:rPr>
                <w:rFonts w:ascii="Arial" w:cs="Arial" w:eastAsia="Arial" w:hAnsi="Arial"/>
                <w:sz w:val="14"/>
                <w:szCs w:val="14"/>
                <w:color w:val="auto"/>
              </w:rPr>
              <w:t>94.34</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00539B"/>
        </w:rPr>
        <w:t>Price-Vested Stock Options</w:t>
      </w:r>
    </w:p>
    <w:p>
      <w:pPr>
        <w:spacing w:after="0" w:line="2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November 2020, we granted approximately 2,482,000 price-vested stock options to certain employees. The price-vested stock options were granted with an exercise price of $93.49 which was equal to the market price of our stock on the date of grant. The price-vested options were not exercisable until a three year service condition was achieved, and were exercisable after that time period only if the average closing price of our stock price was equal to or exceeded thresholds of 60%, 80% or 100% appreciation from the exercise price for 30 consecutive trading days within a five-year period from the date of grant. The market conditions were not met in the five-year period from the date of grant and all price-vested options were forfeited in November 2025.</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t>The following is a summary of our Price-Vested Stock Options activity for the years ended November 30:</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500" w:type="dxa"/>
            <w:vAlign w:val="bottom"/>
            <w:tcBorders>
              <w:top w:val="single" w:sz="8" w:color="00539B"/>
              <w:bottom w:val="single" w:sz="8" w:color="00539B"/>
            </w:tcBorders>
          </w:tcPr>
          <w:p>
            <w:pPr>
              <w:ind w:left="20"/>
              <w:spacing w:after="0"/>
              <w:rPr>
                <w:sz w:val="20"/>
                <w:szCs w:val="20"/>
                <w:color w:val="auto"/>
              </w:rPr>
            </w:pPr>
            <w:r>
              <w:rPr>
                <w:rFonts w:ascii="Arial" w:cs="Arial" w:eastAsia="Arial" w:hAnsi="Arial"/>
                <w:sz w:val="14"/>
                <w:szCs w:val="14"/>
                <w:color w:val="auto"/>
              </w:rPr>
              <w:t>(shares in thousands)</w:t>
            </w:r>
          </w:p>
        </w:tc>
        <w:tc>
          <w:tcPr>
            <w:tcW w:w="1620" w:type="dxa"/>
            <w:vAlign w:val="bottom"/>
            <w:tcBorders>
              <w:top w:val="single" w:sz="8" w:color="00539B"/>
              <w:bottom w:val="single" w:sz="8" w:color="00539B"/>
            </w:tcBorders>
            <w:gridSpan w:val="2"/>
            <w:shd w:val="clear" w:color="auto" w:fill="E0E3F1"/>
          </w:tcPr>
          <w:p>
            <w:pPr>
              <w:jc w:val="right"/>
              <w:spacing w:after="0"/>
              <w:rPr>
                <w:sz w:val="20"/>
                <w:szCs w:val="20"/>
                <w:color w:val="auto"/>
              </w:rPr>
            </w:pPr>
            <w:r>
              <w:rPr>
                <w:rFonts w:ascii="Arial" w:cs="Arial" w:eastAsia="Arial" w:hAnsi="Arial"/>
                <w:sz w:val="14"/>
                <w:szCs w:val="14"/>
                <w:color w:val="auto"/>
              </w:rPr>
              <w:t>2025</w:t>
            </w:r>
          </w:p>
        </w:tc>
        <w:tc>
          <w:tcPr>
            <w:tcW w:w="1240" w:type="dxa"/>
            <w:vAlign w:val="bottom"/>
            <w:tcBorders>
              <w:top w:val="single" w:sz="8" w:color="00539B"/>
              <w:bottom w:val="single" w:sz="8" w:color="00539B"/>
            </w:tcBorders>
            <w:shd w:val="clear" w:color="auto" w:fill="E0E3F1"/>
          </w:tcPr>
          <w:p>
            <w:pPr>
              <w:spacing w:after="0"/>
              <w:rPr>
                <w:sz w:val="19"/>
                <w:szCs w:val="19"/>
                <w:color w:val="auto"/>
              </w:rPr>
            </w:pPr>
          </w:p>
        </w:tc>
        <w:tc>
          <w:tcPr>
            <w:tcW w:w="1620" w:type="dxa"/>
            <w:vAlign w:val="bottom"/>
            <w:tcBorders>
              <w:top w:val="single" w:sz="8" w:color="00539B"/>
              <w:bottom w:val="single" w:sz="8" w:color="00539B"/>
            </w:tcBorders>
            <w:gridSpan w:val="2"/>
          </w:tcPr>
          <w:p>
            <w:pPr>
              <w:jc w:val="right"/>
              <w:spacing w:after="0"/>
              <w:rPr>
                <w:sz w:val="20"/>
                <w:szCs w:val="20"/>
                <w:color w:val="auto"/>
              </w:rPr>
            </w:pPr>
            <w:r>
              <w:rPr>
                <w:rFonts w:ascii="Arial" w:cs="Arial" w:eastAsia="Arial" w:hAnsi="Arial"/>
                <w:sz w:val="14"/>
                <w:szCs w:val="14"/>
                <w:color w:val="auto"/>
              </w:rPr>
              <w:t>2024</w:t>
            </w:r>
          </w:p>
        </w:tc>
        <w:tc>
          <w:tcPr>
            <w:tcW w:w="1440" w:type="dxa"/>
            <w:vAlign w:val="bottom"/>
            <w:tcBorders>
              <w:top w:val="single" w:sz="8" w:color="00539B"/>
              <w:bottom w:val="single" w:sz="8" w:color="00539B"/>
            </w:tcBorders>
          </w:tcPr>
          <w:p>
            <w:pPr>
              <w:spacing w:after="0"/>
              <w:rPr>
                <w:sz w:val="19"/>
                <w:szCs w:val="19"/>
                <w:color w:val="auto"/>
              </w:rPr>
            </w:pPr>
          </w:p>
        </w:tc>
        <w:tc>
          <w:tcPr>
            <w:tcW w:w="1420" w:type="dxa"/>
            <w:vAlign w:val="bottom"/>
            <w:tcBorders>
              <w:top w:val="single" w:sz="8" w:color="00539B"/>
              <w:bottom w:val="single" w:sz="8" w:color="00539B"/>
            </w:tcBorders>
            <w:gridSpan w:val="2"/>
          </w:tcPr>
          <w:p>
            <w:pPr>
              <w:jc w:val="right"/>
              <w:spacing w:after="0"/>
              <w:rPr>
                <w:sz w:val="20"/>
                <w:szCs w:val="20"/>
                <w:color w:val="auto"/>
              </w:rPr>
            </w:pPr>
            <w:r>
              <w:rPr>
                <w:rFonts w:ascii="Arial" w:cs="Arial" w:eastAsia="Arial" w:hAnsi="Arial"/>
                <w:sz w:val="14"/>
                <w:szCs w:val="14"/>
                <w:color w:val="auto"/>
              </w:rPr>
              <w:t>2023</w:t>
            </w:r>
          </w:p>
        </w:tc>
        <w:tc>
          <w:tcPr>
            <w:tcW w:w="1260" w:type="dxa"/>
            <w:vAlign w:val="bottom"/>
            <w:tcBorders>
              <w:top w:val="single" w:sz="8" w:color="00539B"/>
              <w:bottom w:val="single" w:sz="8" w:color="00539B"/>
            </w:tcBorders>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2500" w:type="dxa"/>
            <w:vAlign w:val="bottom"/>
          </w:tcPr>
          <w:p>
            <w:pPr>
              <w:spacing w:after="0"/>
              <w:rPr>
                <w:sz w:val="13"/>
                <w:szCs w:val="13"/>
                <w:color w:val="auto"/>
              </w:rPr>
            </w:pPr>
          </w:p>
        </w:tc>
        <w:tc>
          <w:tcPr>
            <w:tcW w:w="1440" w:type="dxa"/>
            <w:vAlign w:val="bottom"/>
            <w:vMerge w:val="restart"/>
            <w:shd w:val="clear" w:color="auto" w:fill="E0E3F1"/>
          </w:tcPr>
          <w:p>
            <w:pPr>
              <w:jc w:val="center"/>
              <w:spacing w:after="0"/>
              <w:rPr>
                <w:sz w:val="20"/>
                <w:szCs w:val="20"/>
                <w:color w:val="auto"/>
              </w:rPr>
            </w:pPr>
            <w:r>
              <w:rPr>
                <w:rFonts w:ascii="Arial" w:cs="Arial" w:eastAsia="Arial" w:hAnsi="Arial"/>
                <w:sz w:val="14"/>
                <w:szCs w:val="14"/>
                <w:color w:val="auto"/>
              </w:rPr>
              <w:t>Number</w:t>
            </w:r>
          </w:p>
        </w:tc>
        <w:tc>
          <w:tcPr>
            <w:tcW w:w="180" w:type="dxa"/>
            <w:vAlign w:val="bottom"/>
            <w:shd w:val="clear" w:color="auto" w:fill="E0E3F1"/>
          </w:tcPr>
          <w:p>
            <w:pPr>
              <w:spacing w:after="0"/>
              <w:rPr>
                <w:sz w:val="13"/>
                <w:szCs w:val="13"/>
                <w:color w:val="auto"/>
              </w:rPr>
            </w:pPr>
          </w:p>
        </w:tc>
        <w:tc>
          <w:tcPr>
            <w:tcW w:w="1240" w:type="dxa"/>
            <w:vAlign w:val="bottom"/>
            <w:shd w:val="clear" w:color="auto" w:fill="E0E3F1"/>
          </w:tcPr>
          <w:p>
            <w:pPr>
              <w:jc w:val="center"/>
              <w:ind w:right="108"/>
              <w:spacing w:after="0" w:line="151" w:lineRule="exact"/>
              <w:rPr>
                <w:sz w:val="20"/>
                <w:szCs w:val="20"/>
                <w:color w:val="auto"/>
              </w:rPr>
            </w:pPr>
            <w:r>
              <w:rPr>
                <w:rFonts w:ascii="Arial" w:cs="Arial" w:eastAsia="Arial" w:hAnsi="Arial"/>
                <w:sz w:val="14"/>
                <w:szCs w:val="14"/>
                <w:color w:val="auto"/>
              </w:rPr>
              <w:t>Weighted-</w:t>
            </w:r>
          </w:p>
        </w:tc>
        <w:tc>
          <w:tcPr>
            <w:tcW w:w="1420" w:type="dxa"/>
            <w:vAlign w:val="bottom"/>
            <w:vMerge w:val="restart"/>
          </w:tcPr>
          <w:p>
            <w:pPr>
              <w:jc w:val="center"/>
              <w:spacing w:after="0"/>
              <w:rPr>
                <w:sz w:val="20"/>
                <w:szCs w:val="20"/>
                <w:color w:val="auto"/>
              </w:rPr>
            </w:pPr>
            <w:r>
              <w:rPr>
                <w:rFonts w:ascii="Arial" w:cs="Arial" w:eastAsia="Arial" w:hAnsi="Arial"/>
                <w:sz w:val="14"/>
                <w:szCs w:val="14"/>
                <w:color w:val="auto"/>
              </w:rPr>
              <w:t>Number</w:t>
            </w:r>
          </w:p>
        </w:tc>
        <w:tc>
          <w:tcPr>
            <w:tcW w:w="200" w:type="dxa"/>
            <w:vAlign w:val="bottom"/>
          </w:tcPr>
          <w:p>
            <w:pPr>
              <w:spacing w:after="0"/>
              <w:rPr>
                <w:sz w:val="13"/>
                <w:szCs w:val="13"/>
                <w:color w:val="auto"/>
              </w:rPr>
            </w:pPr>
          </w:p>
        </w:tc>
        <w:tc>
          <w:tcPr>
            <w:tcW w:w="1440" w:type="dxa"/>
            <w:vAlign w:val="bottom"/>
          </w:tcPr>
          <w:p>
            <w:pPr>
              <w:jc w:val="center"/>
              <w:ind w:right="308"/>
              <w:spacing w:after="0" w:line="151" w:lineRule="exact"/>
              <w:rPr>
                <w:sz w:val="20"/>
                <w:szCs w:val="20"/>
                <w:color w:val="auto"/>
              </w:rPr>
            </w:pPr>
            <w:r>
              <w:rPr>
                <w:rFonts w:ascii="Arial" w:cs="Arial" w:eastAsia="Arial" w:hAnsi="Arial"/>
                <w:sz w:val="14"/>
                <w:szCs w:val="14"/>
                <w:color w:val="auto"/>
              </w:rPr>
              <w:t>Weighted-</w:t>
            </w:r>
          </w:p>
        </w:tc>
        <w:tc>
          <w:tcPr>
            <w:tcW w:w="1240" w:type="dxa"/>
            <w:vAlign w:val="bottom"/>
            <w:vMerge w:val="restart"/>
          </w:tcPr>
          <w:p>
            <w:pPr>
              <w:jc w:val="center"/>
              <w:ind w:right="128"/>
              <w:spacing w:after="0"/>
              <w:rPr>
                <w:sz w:val="20"/>
                <w:szCs w:val="20"/>
                <w:color w:val="auto"/>
              </w:rPr>
            </w:pPr>
            <w:r>
              <w:rPr>
                <w:rFonts w:ascii="Arial" w:cs="Arial" w:eastAsia="Arial" w:hAnsi="Arial"/>
                <w:sz w:val="14"/>
                <w:szCs w:val="14"/>
                <w:color w:val="auto"/>
              </w:rPr>
              <w:t>Number</w:t>
            </w:r>
          </w:p>
        </w:tc>
        <w:tc>
          <w:tcPr>
            <w:tcW w:w="180" w:type="dxa"/>
            <w:vAlign w:val="bottom"/>
          </w:tcPr>
          <w:p>
            <w:pPr>
              <w:spacing w:after="0"/>
              <w:rPr>
                <w:sz w:val="13"/>
                <w:szCs w:val="13"/>
                <w:color w:val="auto"/>
              </w:rPr>
            </w:pPr>
          </w:p>
        </w:tc>
        <w:tc>
          <w:tcPr>
            <w:tcW w:w="1260" w:type="dxa"/>
            <w:vAlign w:val="bottom"/>
          </w:tcPr>
          <w:p>
            <w:pPr>
              <w:jc w:val="center"/>
              <w:ind w:right="128"/>
              <w:spacing w:after="0" w:line="151" w:lineRule="exact"/>
              <w:rPr>
                <w:sz w:val="20"/>
                <w:szCs w:val="20"/>
                <w:color w:val="auto"/>
              </w:rPr>
            </w:pPr>
            <w:r>
              <w:rPr>
                <w:rFonts w:ascii="Arial" w:cs="Arial" w:eastAsia="Arial" w:hAnsi="Arial"/>
                <w:sz w:val="14"/>
                <w:szCs w:val="14"/>
                <w:color w:val="auto"/>
              </w:rPr>
              <w:t>Weighted-</w:t>
            </w:r>
          </w:p>
        </w:tc>
        <w:tc>
          <w:tcPr>
            <w:tcW w:w="0" w:type="dxa"/>
            <w:vAlign w:val="bottom"/>
          </w:tcPr>
          <w:p>
            <w:pPr>
              <w:spacing w:after="0"/>
              <w:rPr>
                <w:sz w:val="1"/>
                <w:szCs w:val="1"/>
                <w:color w:val="auto"/>
              </w:rPr>
            </w:pPr>
          </w:p>
        </w:tc>
      </w:tr>
      <w:tr>
        <w:trPr>
          <w:trHeight w:val="144"/>
        </w:trPr>
        <w:tc>
          <w:tcPr>
            <w:tcW w:w="2500" w:type="dxa"/>
            <w:vAlign w:val="bottom"/>
          </w:tcPr>
          <w:p>
            <w:pPr>
              <w:spacing w:after="0"/>
              <w:rPr>
                <w:sz w:val="12"/>
                <w:szCs w:val="12"/>
                <w:color w:val="auto"/>
              </w:rPr>
            </w:pPr>
          </w:p>
        </w:tc>
        <w:tc>
          <w:tcPr>
            <w:tcW w:w="1440" w:type="dxa"/>
            <w:vAlign w:val="bottom"/>
            <w:vMerge w:val="continue"/>
            <w:shd w:val="clear" w:color="auto" w:fill="E0E3F1"/>
          </w:tcPr>
          <w:p>
            <w:pPr>
              <w:spacing w:after="0"/>
              <w:rPr>
                <w:sz w:val="12"/>
                <w:szCs w:val="12"/>
                <w:color w:val="auto"/>
              </w:rPr>
            </w:pPr>
          </w:p>
        </w:tc>
        <w:tc>
          <w:tcPr>
            <w:tcW w:w="180" w:type="dxa"/>
            <w:vAlign w:val="bottom"/>
            <w:shd w:val="clear" w:color="auto" w:fill="E0E3F1"/>
          </w:tcPr>
          <w:p>
            <w:pPr>
              <w:spacing w:after="0"/>
              <w:rPr>
                <w:sz w:val="12"/>
                <w:szCs w:val="12"/>
                <w:color w:val="auto"/>
              </w:rPr>
            </w:pPr>
          </w:p>
        </w:tc>
        <w:tc>
          <w:tcPr>
            <w:tcW w:w="1240" w:type="dxa"/>
            <w:vAlign w:val="bottom"/>
            <w:shd w:val="clear" w:color="auto" w:fill="E0E3F1"/>
          </w:tcPr>
          <w:p>
            <w:pPr>
              <w:jc w:val="center"/>
              <w:ind w:right="108"/>
              <w:spacing w:after="0" w:line="145" w:lineRule="exact"/>
              <w:rPr>
                <w:sz w:val="20"/>
                <w:szCs w:val="20"/>
                <w:color w:val="auto"/>
              </w:rPr>
            </w:pPr>
            <w:r>
              <w:rPr>
                <w:rFonts w:ascii="Arial" w:cs="Arial" w:eastAsia="Arial" w:hAnsi="Arial"/>
                <w:sz w:val="14"/>
                <w:szCs w:val="14"/>
                <w:color w:val="auto"/>
              </w:rPr>
              <w:t>Average</w:t>
            </w:r>
          </w:p>
        </w:tc>
        <w:tc>
          <w:tcPr>
            <w:tcW w:w="14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jc w:val="center"/>
              <w:ind w:right="308"/>
              <w:spacing w:after="0" w:line="145" w:lineRule="exact"/>
              <w:rPr>
                <w:sz w:val="20"/>
                <w:szCs w:val="20"/>
                <w:color w:val="auto"/>
              </w:rPr>
            </w:pPr>
            <w:r>
              <w:rPr>
                <w:rFonts w:ascii="Arial" w:cs="Arial" w:eastAsia="Arial" w:hAnsi="Arial"/>
                <w:sz w:val="14"/>
                <w:szCs w:val="14"/>
                <w:color w:val="auto"/>
              </w:rPr>
              <w:t>Average</w:t>
            </w:r>
          </w:p>
        </w:tc>
        <w:tc>
          <w:tcPr>
            <w:tcW w:w="12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center"/>
              <w:ind w:right="128"/>
              <w:spacing w:after="0" w:line="145" w:lineRule="exact"/>
              <w:rPr>
                <w:sz w:val="20"/>
                <w:szCs w:val="20"/>
                <w:color w:val="auto"/>
              </w:rPr>
            </w:pPr>
            <w:r>
              <w:rPr>
                <w:rFonts w:ascii="Arial" w:cs="Arial" w:eastAsia="Arial" w:hAnsi="Arial"/>
                <w:sz w:val="14"/>
                <w:szCs w:val="14"/>
                <w:color w:val="auto"/>
              </w:rPr>
              <w:t>Average</w:t>
            </w: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1440" w:type="dxa"/>
            <w:vAlign w:val="bottom"/>
            <w:shd w:val="clear" w:color="auto" w:fill="E0E3F1"/>
          </w:tcPr>
          <w:p>
            <w:pPr>
              <w:jc w:val="center"/>
              <w:spacing w:after="0" w:line="149" w:lineRule="exact"/>
              <w:rPr>
                <w:sz w:val="20"/>
                <w:szCs w:val="20"/>
                <w:color w:val="auto"/>
              </w:rPr>
            </w:pPr>
            <w:r>
              <w:rPr>
                <w:rFonts w:ascii="Arial" w:cs="Arial" w:eastAsia="Arial" w:hAnsi="Arial"/>
                <w:sz w:val="14"/>
                <w:szCs w:val="14"/>
                <w:color w:val="auto"/>
              </w:rPr>
              <w:t>of</w:t>
            </w:r>
          </w:p>
        </w:tc>
        <w:tc>
          <w:tcPr>
            <w:tcW w:w="180" w:type="dxa"/>
            <w:vAlign w:val="bottom"/>
            <w:shd w:val="clear" w:color="auto" w:fill="E0E3F1"/>
          </w:tcPr>
          <w:p>
            <w:pPr>
              <w:spacing w:after="0"/>
              <w:rPr>
                <w:sz w:val="12"/>
                <w:szCs w:val="12"/>
                <w:color w:val="auto"/>
              </w:rPr>
            </w:pPr>
          </w:p>
        </w:tc>
        <w:tc>
          <w:tcPr>
            <w:tcW w:w="1240" w:type="dxa"/>
            <w:vAlign w:val="bottom"/>
            <w:shd w:val="clear" w:color="auto" w:fill="E0E3F1"/>
          </w:tcPr>
          <w:p>
            <w:pPr>
              <w:jc w:val="center"/>
              <w:ind w:right="88"/>
              <w:spacing w:after="0" w:line="149" w:lineRule="exact"/>
              <w:rPr>
                <w:sz w:val="20"/>
                <w:szCs w:val="20"/>
                <w:color w:val="auto"/>
              </w:rPr>
            </w:pPr>
            <w:r>
              <w:rPr>
                <w:rFonts w:ascii="Arial" w:cs="Arial" w:eastAsia="Arial" w:hAnsi="Arial"/>
                <w:sz w:val="14"/>
                <w:szCs w:val="14"/>
                <w:color w:val="auto"/>
              </w:rPr>
              <w:t>Grant-Date Fair</w:t>
            </w:r>
          </w:p>
        </w:tc>
        <w:tc>
          <w:tcPr>
            <w:tcW w:w="1420" w:type="dxa"/>
            <w:vAlign w:val="bottom"/>
          </w:tcPr>
          <w:p>
            <w:pPr>
              <w:jc w:val="center"/>
              <w:spacing w:after="0" w:line="149" w:lineRule="exact"/>
              <w:rPr>
                <w:sz w:val="20"/>
                <w:szCs w:val="20"/>
                <w:color w:val="auto"/>
              </w:rPr>
            </w:pPr>
            <w:r>
              <w:rPr>
                <w:rFonts w:ascii="Arial" w:cs="Arial" w:eastAsia="Arial" w:hAnsi="Arial"/>
                <w:sz w:val="14"/>
                <w:szCs w:val="14"/>
                <w:color w:val="auto"/>
              </w:rPr>
              <w:t>of</w:t>
            </w:r>
          </w:p>
        </w:tc>
        <w:tc>
          <w:tcPr>
            <w:tcW w:w="200" w:type="dxa"/>
            <w:vAlign w:val="bottom"/>
          </w:tcPr>
          <w:p>
            <w:pPr>
              <w:spacing w:after="0"/>
              <w:rPr>
                <w:sz w:val="12"/>
                <w:szCs w:val="12"/>
                <w:color w:val="auto"/>
              </w:rPr>
            </w:pPr>
          </w:p>
        </w:tc>
        <w:tc>
          <w:tcPr>
            <w:tcW w:w="1440" w:type="dxa"/>
            <w:vAlign w:val="bottom"/>
          </w:tcPr>
          <w:p>
            <w:pPr>
              <w:jc w:val="center"/>
              <w:ind w:right="288"/>
              <w:spacing w:after="0" w:line="149" w:lineRule="exact"/>
              <w:rPr>
                <w:sz w:val="20"/>
                <w:szCs w:val="20"/>
                <w:color w:val="auto"/>
              </w:rPr>
            </w:pPr>
            <w:r>
              <w:rPr>
                <w:rFonts w:ascii="Arial" w:cs="Arial" w:eastAsia="Arial" w:hAnsi="Arial"/>
                <w:sz w:val="14"/>
                <w:szCs w:val="14"/>
                <w:color w:val="auto"/>
              </w:rPr>
              <w:t>Grant-Date Fair</w:t>
            </w:r>
          </w:p>
        </w:tc>
        <w:tc>
          <w:tcPr>
            <w:tcW w:w="1240" w:type="dxa"/>
            <w:vAlign w:val="bottom"/>
          </w:tcPr>
          <w:p>
            <w:pPr>
              <w:jc w:val="center"/>
              <w:ind w:right="128"/>
              <w:spacing w:after="0" w:line="149" w:lineRule="exact"/>
              <w:rPr>
                <w:sz w:val="20"/>
                <w:szCs w:val="20"/>
                <w:color w:val="auto"/>
              </w:rPr>
            </w:pPr>
            <w:r>
              <w:rPr>
                <w:rFonts w:ascii="Arial" w:cs="Arial" w:eastAsia="Arial" w:hAnsi="Arial"/>
                <w:sz w:val="14"/>
                <w:szCs w:val="14"/>
                <w:color w:val="auto"/>
              </w:rPr>
              <w:t>of</w:t>
            </w:r>
          </w:p>
        </w:tc>
        <w:tc>
          <w:tcPr>
            <w:tcW w:w="180" w:type="dxa"/>
            <w:vAlign w:val="bottom"/>
          </w:tcPr>
          <w:p>
            <w:pPr>
              <w:spacing w:after="0"/>
              <w:rPr>
                <w:sz w:val="12"/>
                <w:szCs w:val="12"/>
                <w:color w:val="auto"/>
              </w:rPr>
            </w:pPr>
          </w:p>
        </w:tc>
        <w:tc>
          <w:tcPr>
            <w:tcW w:w="1260" w:type="dxa"/>
            <w:vAlign w:val="bottom"/>
          </w:tcPr>
          <w:p>
            <w:pPr>
              <w:jc w:val="center"/>
              <w:ind w:right="108"/>
              <w:spacing w:after="0" w:line="149" w:lineRule="exact"/>
              <w:rPr>
                <w:sz w:val="20"/>
                <w:szCs w:val="20"/>
                <w:color w:val="auto"/>
              </w:rPr>
            </w:pPr>
            <w:r>
              <w:rPr>
                <w:rFonts w:ascii="Arial" w:cs="Arial" w:eastAsia="Arial" w:hAnsi="Arial"/>
                <w:sz w:val="14"/>
                <w:szCs w:val="14"/>
                <w:color w:val="auto"/>
              </w:rPr>
              <w:t>Grant-Date Fair</w:t>
            </w:r>
          </w:p>
        </w:tc>
        <w:tc>
          <w:tcPr>
            <w:tcW w:w="0" w:type="dxa"/>
            <w:vAlign w:val="bottom"/>
          </w:tcPr>
          <w:p>
            <w:pPr>
              <w:spacing w:after="0"/>
              <w:rPr>
                <w:sz w:val="1"/>
                <w:szCs w:val="1"/>
                <w:color w:val="auto"/>
              </w:rPr>
            </w:pPr>
          </w:p>
        </w:tc>
      </w:tr>
      <w:tr>
        <w:trPr>
          <w:trHeight w:val="189"/>
        </w:trPr>
        <w:tc>
          <w:tcPr>
            <w:tcW w:w="2500" w:type="dxa"/>
            <w:vAlign w:val="bottom"/>
          </w:tcPr>
          <w:p>
            <w:pPr>
              <w:spacing w:after="0"/>
              <w:rPr>
                <w:sz w:val="16"/>
                <w:szCs w:val="16"/>
                <w:color w:val="auto"/>
              </w:rPr>
            </w:pPr>
          </w:p>
        </w:tc>
        <w:tc>
          <w:tcPr>
            <w:tcW w:w="1440" w:type="dxa"/>
            <w:vAlign w:val="bottom"/>
            <w:tcBorders>
              <w:bottom w:val="single" w:sz="8" w:color="00539B"/>
            </w:tcBorders>
            <w:shd w:val="clear" w:color="auto" w:fill="E0E3F1"/>
          </w:tcPr>
          <w:p>
            <w:pPr>
              <w:jc w:val="center"/>
              <w:spacing w:after="0"/>
              <w:rPr>
                <w:sz w:val="20"/>
                <w:szCs w:val="20"/>
                <w:color w:val="auto"/>
              </w:rPr>
            </w:pPr>
            <w:r>
              <w:rPr>
                <w:rFonts w:ascii="Arial" w:cs="Arial" w:eastAsia="Arial" w:hAnsi="Arial"/>
                <w:sz w:val="14"/>
                <w:szCs w:val="14"/>
                <w:color w:val="auto"/>
                <w:w w:val="99"/>
              </w:rPr>
              <w:t>Shares</w:t>
            </w:r>
          </w:p>
        </w:tc>
        <w:tc>
          <w:tcPr>
            <w:tcW w:w="180" w:type="dxa"/>
            <w:vAlign w:val="bottom"/>
            <w:tcBorders>
              <w:bottom w:val="single" w:sz="8" w:color="00539B"/>
            </w:tcBorders>
            <w:shd w:val="clear" w:color="auto" w:fill="E0E3F1"/>
          </w:tcPr>
          <w:p>
            <w:pPr>
              <w:spacing w:after="0"/>
              <w:rPr>
                <w:sz w:val="16"/>
                <w:szCs w:val="16"/>
                <w:color w:val="auto"/>
              </w:rPr>
            </w:pPr>
          </w:p>
        </w:tc>
        <w:tc>
          <w:tcPr>
            <w:tcW w:w="1240" w:type="dxa"/>
            <w:vAlign w:val="bottom"/>
            <w:tcBorders>
              <w:bottom w:val="single" w:sz="8" w:color="00539B"/>
            </w:tcBorders>
            <w:shd w:val="clear" w:color="auto" w:fill="E0E3F1"/>
          </w:tcPr>
          <w:p>
            <w:pPr>
              <w:jc w:val="center"/>
              <w:ind w:right="88"/>
              <w:spacing w:after="0"/>
              <w:rPr>
                <w:sz w:val="20"/>
                <w:szCs w:val="20"/>
                <w:color w:val="auto"/>
              </w:rPr>
            </w:pPr>
            <w:r>
              <w:rPr>
                <w:rFonts w:ascii="Arial" w:cs="Arial" w:eastAsia="Arial" w:hAnsi="Arial"/>
                <w:sz w:val="14"/>
                <w:szCs w:val="14"/>
                <w:color w:val="auto"/>
              </w:rPr>
              <w:t>Value</w:t>
            </w:r>
          </w:p>
        </w:tc>
        <w:tc>
          <w:tcPr>
            <w:tcW w:w="1420" w:type="dxa"/>
            <w:vAlign w:val="bottom"/>
            <w:tcBorders>
              <w:bottom w:val="single" w:sz="8" w:color="00539B"/>
            </w:tcBorders>
          </w:tcPr>
          <w:p>
            <w:pPr>
              <w:jc w:val="center"/>
              <w:spacing w:after="0"/>
              <w:rPr>
                <w:sz w:val="20"/>
                <w:szCs w:val="20"/>
                <w:color w:val="auto"/>
              </w:rPr>
            </w:pPr>
            <w:r>
              <w:rPr>
                <w:rFonts w:ascii="Arial" w:cs="Arial" w:eastAsia="Arial" w:hAnsi="Arial"/>
                <w:sz w:val="14"/>
                <w:szCs w:val="14"/>
                <w:color w:val="auto"/>
              </w:rPr>
              <w:t>Shares</w:t>
            </w:r>
          </w:p>
        </w:tc>
        <w:tc>
          <w:tcPr>
            <w:tcW w:w="200" w:type="dxa"/>
            <w:vAlign w:val="bottom"/>
            <w:tcBorders>
              <w:bottom w:val="single" w:sz="8" w:color="00539B"/>
            </w:tcBorders>
          </w:tcPr>
          <w:p>
            <w:pPr>
              <w:spacing w:after="0"/>
              <w:rPr>
                <w:sz w:val="16"/>
                <w:szCs w:val="16"/>
                <w:color w:val="auto"/>
              </w:rPr>
            </w:pPr>
          </w:p>
        </w:tc>
        <w:tc>
          <w:tcPr>
            <w:tcW w:w="1440" w:type="dxa"/>
            <w:vAlign w:val="bottom"/>
            <w:tcBorders>
              <w:bottom w:val="single" w:sz="8" w:color="00539B"/>
            </w:tcBorders>
          </w:tcPr>
          <w:p>
            <w:pPr>
              <w:jc w:val="center"/>
              <w:ind w:right="288"/>
              <w:spacing w:after="0"/>
              <w:rPr>
                <w:sz w:val="20"/>
                <w:szCs w:val="20"/>
                <w:color w:val="auto"/>
              </w:rPr>
            </w:pPr>
            <w:r>
              <w:rPr>
                <w:rFonts w:ascii="Arial" w:cs="Arial" w:eastAsia="Arial" w:hAnsi="Arial"/>
                <w:sz w:val="14"/>
                <w:szCs w:val="14"/>
                <w:color w:val="auto"/>
              </w:rPr>
              <w:t>Value</w:t>
            </w:r>
          </w:p>
        </w:tc>
        <w:tc>
          <w:tcPr>
            <w:tcW w:w="1240" w:type="dxa"/>
            <w:vAlign w:val="bottom"/>
            <w:tcBorders>
              <w:bottom w:val="single" w:sz="8" w:color="00539B"/>
            </w:tcBorders>
          </w:tcPr>
          <w:p>
            <w:pPr>
              <w:jc w:val="center"/>
              <w:ind w:right="108"/>
              <w:spacing w:after="0"/>
              <w:rPr>
                <w:sz w:val="20"/>
                <w:szCs w:val="20"/>
                <w:color w:val="auto"/>
              </w:rPr>
            </w:pPr>
            <w:r>
              <w:rPr>
                <w:rFonts w:ascii="Arial" w:cs="Arial" w:eastAsia="Arial" w:hAnsi="Arial"/>
                <w:sz w:val="14"/>
                <w:szCs w:val="14"/>
                <w:color w:val="auto"/>
              </w:rPr>
              <w:t>Shares</w:t>
            </w:r>
          </w:p>
        </w:tc>
        <w:tc>
          <w:tcPr>
            <w:tcW w:w="180" w:type="dxa"/>
            <w:vAlign w:val="bottom"/>
            <w:tcBorders>
              <w:bottom w:val="single" w:sz="8" w:color="00539B"/>
            </w:tcBorders>
          </w:tcPr>
          <w:p>
            <w:pPr>
              <w:spacing w:after="0"/>
              <w:rPr>
                <w:sz w:val="16"/>
                <w:szCs w:val="16"/>
                <w:color w:val="auto"/>
              </w:rPr>
            </w:pPr>
          </w:p>
        </w:tc>
        <w:tc>
          <w:tcPr>
            <w:tcW w:w="1260" w:type="dxa"/>
            <w:vAlign w:val="bottom"/>
            <w:tcBorders>
              <w:bottom w:val="single" w:sz="8" w:color="00539B"/>
            </w:tcBorders>
          </w:tcPr>
          <w:p>
            <w:pPr>
              <w:jc w:val="center"/>
              <w:ind w:right="108"/>
              <w:spacing w:after="0"/>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188"/>
        </w:trPr>
        <w:tc>
          <w:tcPr>
            <w:tcW w:w="2500" w:type="dxa"/>
            <w:vAlign w:val="bottom"/>
          </w:tcPr>
          <w:p>
            <w:pPr>
              <w:ind w:left="20"/>
              <w:spacing w:after="0"/>
              <w:rPr>
                <w:sz w:val="20"/>
                <w:szCs w:val="20"/>
                <w:color w:val="auto"/>
              </w:rPr>
            </w:pPr>
            <w:r>
              <w:rPr>
                <w:rFonts w:ascii="Arial" w:cs="Arial" w:eastAsia="Arial" w:hAnsi="Arial"/>
                <w:sz w:val="14"/>
                <w:szCs w:val="14"/>
                <w:color w:val="auto"/>
              </w:rPr>
              <w:t>Beginning of year</w:t>
            </w:r>
          </w:p>
        </w:tc>
        <w:tc>
          <w:tcPr>
            <w:tcW w:w="1440" w:type="dxa"/>
            <w:vAlign w:val="bottom"/>
            <w:shd w:val="clear" w:color="auto" w:fill="E0E3F1"/>
          </w:tcPr>
          <w:p>
            <w:pPr>
              <w:jc w:val="right"/>
              <w:ind w:right="8"/>
              <w:spacing w:after="0"/>
              <w:rPr>
                <w:sz w:val="20"/>
                <w:szCs w:val="20"/>
                <w:color w:val="auto"/>
              </w:rPr>
            </w:pPr>
            <w:r>
              <w:rPr>
                <w:rFonts w:ascii="Arial" w:cs="Arial" w:eastAsia="Arial" w:hAnsi="Arial"/>
                <w:sz w:val="14"/>
                <w:szCs w:val="14"/>
                <w:color w:val="auto"/>
              </w:rPr>
              <w:t>2,055</w:t>
            </w:r>
          </w:p>
        </w:tc>
        <w:tc>
          <w:tcPr>
            <w:tcW w:w="180" w:type="dxa"/>
            <w:vAlign w:val="bottom"/>
            <w:shd w:val="clear" w:color="auto" w:fill="E0E3F1"/>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shd w:val="clear" w:color="auto" w:fill="E0E3F1"/>
          </w:tcPr>
          <w:p>
            <w:pPr>
              <w:jc w:val="right"/>
              <w:spacing w:after="0"/>
              <w:rPr>
                <w:sz w:val="20"/>
                <w:szCs w:val="20"/>
                <w:color w:val="auto"/>
              </w:rPr>
            </w:pPr>
            <w:r>
              <w:rPr>
                <w:rFonts w:ascii="Arial" w:cs="Arial" w:eastAsia="Arial" w:hAnsi="Arial"/>
                <w:sz w:val="14"/>
                <w:szCs w:val="14"/>
                <w:color w:val="auto"/>
              </w:rPr>
              <w:t>9.40</w:t>
            </w:r>
          </w:p>
        </w:tc>
        <w:tc>
          <w:tcPr>
            <w:tcW w:w="1420" w:type="dxa"/>
            <w:vAlign w:val="bottom"/>
          </w:tcPr>
          <w:p>
            <w:pPr>
              <w:jc w:val="right"/>
              <w:spacing w:after="0"/>
              <w:rPr>
                <w:sz w:val="20"/>
                <w:szCs w:val="20"/>
                <w:color w:val="auto"/>
              </w:rPr>
            </w:pPr>
            <w:r>
              <w:rPr>
                <w:rFonts w:ascii="Arial" w:cs="Arial" w:eastAsia="Arial" w:hAnsi="Arial"/>
                <w:sz w:val="14"/>
                <w:szCs w:val="14"/>
                <w:color w:val="auto"/>
              </w:rPr>
              <w:t>2,055</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188"/>
              <w:spacing w:after="0"/>
              <w:rPr>
                <w:sz w:val="20"/>
                <w:szCs w:val="20"/>
                <w:color w:val="auto"/>
              </w:rPr>
            </w:pPr>
            <w:r>
              <w:rPr>
                <w:rFonts w:ascii="Arial" w:cs="Arial" w:eastAsia="Arial" w:hAnsi="Arial"/>
                <w:sz w:val="14"/>
                <w:szCs w:val="14"/>
                <w:color w:val="auto"/>
              </w:rPr>
              <w:t>9.40</w:t>
            </w:r>
          </w:p>
        </w:tc>
        <w:tc>
          <w:tcPr>
            <w:tcW w:w="1240" w:type="dxa"/>
            <w:vAlign w:val="bottom"/>
          </w:tcPr>
          <w:p>
            <w:pPr>
              <w:jc w:val="right"/>
              <w:spacing w:after="0"/>
              <w:rPr>
                <w:sz w:val="20"/>
                <w:szCs w:val="20"/>
                <w:color w:val="auto"/>
              </w:rPr>
            </w:pPr>
            <w:r>
              <w:rPr>
                <w:rFonts w:ascii="Arial" w:cs="Arial" w:eastAsia="Arial" w:hAnsi="Arial"/>
                <w:sz w:val="14"/>
                <w:szCs w:val="14"/>
                <w:color w:val="auto"/>
              </w:rPr>
              <w:t>2,107</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9.40</w:t>
            </w:r>
          </w:p>
        </w:tc>
        <w:tc>
          <w:tcPr>
            <w:tcW w:w="0" w:type="dxa"/>
            <w:vAlign w:val="bottom"/>
          </w:tcPr>
          <w:p>
            <w:pPr>
              <w:spacing w:after="0"/>
              <w:rPr>
                <w:sz w:val="1"/>
                <w:szCs w:val="1"/>
                <w:color w:val="auto"/>
              </w:rPr>
            </w:pPr>
          </w:p>
        </w:tc>
      </w:tr>
      <w:tr>
        <w:trPr>
          <w:trHeight w:val="207"/>
        </w:trPr>
        <w:tc>
          <w:tcPr>
            <w:tcW w:w="250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Forfeited</w:t>
            </w:r>
          </w:p>
        </w:tc>
        <w:tc>
          <w:tcPr>
            <w:tcW w:w="144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(2,055)</w:t>
            </w:r>
          </w:p>
        </w:tc>
        <w:tc>
          <w:tcPr>
            <w:tcW w:w="180" w:type="dxa"/>
            <w:vAlign w:val="bottom"/>
            <w:tcBorders>
              <w:bottom w:val="single" w:sz="8" w:color="00539B"/>
            </w:tcBorders>
            <w:shd w:val="clear" w:color="auto" w:fill="E0E3F1"/>
          </w:tcPr>
          <w:p>
            <w:pPr>
              <w:spacing w:after="0"/>
              <w:rPr>
                <w:sz w:val="17"/>
                <w:szCs w:val="17"/>
                <w:color w:val="auto"/>
              </w:rPr>
            </w:pPr>
          </w:p>
        </w:tc>
        <w:tc>
          <w:tcPr>
            <w:tcW w:w="124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9.40</w:t>
            </w:r>
          </w:p>
        </w:tc>
        <w:tc>
          <w:tcPr>
            <w:tcW w:w="142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00539B"/>
            </w:tcBorders>
          </w:tcPr>
          <w:p>
            <w:pPr>
              <w:spacing w:after="0"/>
              <w:rPr>
                <w:sz w:val="17"/>
                <w:szCs w:val="17"/>
                <w:color w:val="auto"/>
              </w:rPr>
            </w:pPr>
          </w:p>
        </w:tc>
        <w:tc>
          <w:tcPr>
            <w:tcW w:w="1440" w:type="dxa"/>
            <w:vAlign w:val="bottom"/>
            <w:tcBorders>
              <w:bottom w:val="single" w:sz="8" w:color="00539B"/>
            </w:tcBorders>
          </w:tcPr>
          <w:p>
            <w:pPr>
              <w:jc w:val="right"/>
              <w:ind w:right="1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(52)</w:t>
            </w:r>
          </w:p>
        </w:tc>
        <w:tc>
          <w:tcPr>
            <w:tcW w:w="180" w:type="dxa"/>
            <w:vAlign w:val="bottom"/>
            <w:tcBorders>
              <w:bottom w:val="single" w:sz="8" w:color="00539B"/>
            </w:tcBorders>
          </w:tcPr>
          <w:p>
            <w:pPr>
              <w:spacing w:after="0"/>
              <w:rPr>
                <w:sz w:val="17"/>
                <w:szCs w:val="17"/>
                <w:color w:val="auto"/>
              </w:rPr>
            </w:pPr>
          </w:p>
        </w:tc>
        <w:tc>
          <w:tcPr>
            <w:tcW w:w="1260" w:type="dxa"/>
            <w:vAlign w:val="bottom"/>
            <w:tcBorders>
              <w:bottom w:val="single" w:sz="8" w:color="00539B"/>
            </w:tcBorders>
          </w:tcPr>
          <w:p>
            <w:pPr>
              <w:jc w:val="right"/>
              <w:ind w:right="8"/>
              <w:spacing w:after="0"/>
              <w:rPr>
                <w:sz w:val="20"/>
                <w:szCs w:val="20"/>
                <w:color w:val="auto"/>
              </w:rPr>
            </w:pPr>
            <w:r>
              <w:rPr>
                <w:rFonts w:ascii="Arial" w:cs="Arial" w:eastAsia="Arial" w:hAnsi="Arial"/>
                <w:sz w:val="14"/>
                <w:szCs w:val="14"/>
                <w:color w:val="auto"/>
              </w:rPr>
              <w:t>9.40</w:t>
            </w:r>
          </w:p>
        </w:tc>
        <w:tc>
          <w:tcPr>
            <w:tcW w:w="0" w:type="dxa"/>
            <w:vAlign w:val="bottom"/>
          </w:tcPr>
          <w:p>
            <w:pPr>
              <w:spacing w:after="0"/>
              <w:rPr>
                <w:sz w:val="1"/>
                <w:szCs w:val="1"/>
                <w:color w:val="auto"/>
              </w:rPr>
            </w:pPr>
          </w:p>
        </w:tc>
      </w:tr>
      <w:tr>
        <w:trPr>
          <w:trHeight w:val="207"/>
        </w:trPr>
        <w:tc>
          <w:tcPr>
            <w:tcW w:w="250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Outstanding—end of year</w:t>
            </w:r>
          </w:p>
        </w:tc>
        <w:tc>
          <w:tcPr>
            <w:tcW w:w="1440" w:type="dxa"/>
            <w:vAlign w:val="bottom"/>
            <w:tcBorders>
              <w:bottom w:val="single" w:sz="8" w:color="00539B"/>
            </w:tcBorders>
            <w:shd w:val="clear" w:color="auto" w:fill="E0E3F1"/>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00539B"/>
            </w:tcBorders>
            <w:shd w:val="clear" w:color="auto" w:fill="E0E3F1"/>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2,055</w:t>
            </w:r>
          </w:p>
        </w:tc>
        <w:tc>
          <w:tcPr>
            <w:tcW w:w="200" w:type="dxa"/>
            <w:vAlign w:val="bottom"/>
            <w:tcBorders>
              <w:bottom w:val="single" w:sz="8" w:color="00539B"/>
            </w:tcBorders>
          </w:tcPr>
          <w:p>
            <w:pPr>
              <w:jc w:val="right"/>
              <w:ind w:right="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00539B"/>
            </w:tcBorders>
          </w:tcPr>
          <w:p>
            <w:pPr>
              <w:jc w:val="right"/>
              <w:ind w:right="188"/>
              <w:spacing w:after="0"/>
              <w:rPr>
                <w:sz w:val="20"/>
                <w:szCs w:val="20"/>
                <w:color w:val="auto"/>
              </w:rPr>
            </w:pPr>
            <w:r>
              <w:rPr>
                <w:rFonts w:ascii="Arial" w:cs="Arial" w:eastAsia="Arial" w:hAnsi="Arial"/>
                <w:sz w:val="14"/>
                <w:szCs w:val="14"/>
                <w:color w:val="auto"/>
              </w:rPr>
              <w:t>9.40</w:t>
            </w:r>
          </w:p>
        </w:tc>
        <w:tc>
          <w:tcPr>
            <w:tcW w:w="124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2,055</w:t>
            </w:r>
          </w:p>
        </w:tc>
        <w:tc>
          <w:tcPr>
            <w:tcW w:w="180" w:type="dxa"/>
            <w:vAlign w:val="bottom"/>
            <w:tcBorders>
              <w:bottom w:val="single" w:sz="8" w:color="00539B"/>
            </w:tcBorders>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00539B"/>
            </w:tcBorders>
          </w:tcPr>
          <w:p>
            <w:pPr>
              <w:jc w:val="right"/>
              <w:ind w:right="8"/>
              <w:spacing w:after="0"/>
              <w:rPr>
                <w:sz w:val="20"/>
                <w:szCs w:val="20"/>
                <w:color w:val="auto"/>
              </w:rPr>
            </w:pPr>
            <w:r>
              <w:rPr>
                <w:rFonts w:ascii="Arial" w:cs="Arial" w:eastAsia="Arial" w:hAnsi="Arial"/>
                <w:sz w:val="14"/>
                <w:szCs w:val="14"/>
                <w:color w:val="auto"/>
              </w:rPr>
              <w:t>9.40</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00539B"/>
        </w:rPr>
        <w:t>12. INCOME TAXES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for the years ended November 30 consists of the following:</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640" w:type="dxa"/>
            <w:vAlign w:val="bottom"/>
            <w:tcBorders>
              <w:top w:val="single" w:sz="8" w:color="00539B"/>
              <w:bottom w:val="single" w:sz="8" w:color="00539B"/>
            </w:tcBorders>
          </w:tcPr>
          <w:p>
            <w:pPr>
              <w:ind w:left="20"/>
              <w:spacing w:after="0"/>
              <w:rPr>
                <w:sz w:val="20"/>
                <w:szCs w:val="20"/>
                <w:color w:val="auto"/>
              </w:rPr>
            </w:pPr>
            <w:r>
              <w:rPr>
                <w:rFonts w:ascii="Arial" w:cs="Arial" w:eastAsia="Arial" w:hAnsi="Arial"/>
                <w:sz w:val="14"/>
                <w:szCs w:val="14"/>
                <w:color w:val="auto"/>
              </w:rPr>
              <w:t>(millions)</w:t>
            </w:r>
          </w:p>
        </w:tc>
        <w:tc>
          <w:tcPr>
            <w:tcW w:w="340" w:type="dxa"/>
            <w:vAlign w:val="bottom"/>
            <w:tcBorders>
              <w:top w:val="single" w:sz="8" w:color="00539B"/>
              <w:bottom w:val="single" w:sz="8" w:color="00539B"/>
            </w:tcBorders>
            <w:shd w:val="clear" w:color="auto" w:fill="E0E3F1"/>
          </w:tcPr>
          <w:p>
            <w:pPr>
              <w:spacing w:after="0"/>
              <w:rPr>
                <w:sz w:val="19"/>
                <w:szCs w:val="19"/>
                <w:color w:val="auto"/>
              </w:rPr>
            </w:pPr>
          </w:p>
        </w:tc>
        <w:tc>
          <w:tcPr>
            <w:tcW w:w="1160" w:type="dxa"/>
            <w:vAlign w:val="bottom"/>
            <w:tcBorders>
              <w:top w:val="single" w:sz="8" w:color="00539B"/>
              <w:bottom w:val="single" w:sz="8" w:color="00539B"/>
            </w:tcBorders>
            <w:shd w:val="clear" w:color="auto" w:fill="E0E3F1"/>
          </w:tcPr>
          <w:p>
            <w:pPr>
              <w:jc w:val="right"/>
              <w:ind w:right="508"/>
              <w:spacing w:after="0"/>
              <w:rPr>
                <w:sz w:val="20"/>
                <w:szCs w:val="20"/>
                <w:color w:val="auto"/>
              </w:rPr>
            </w:pPr>
            <w:r>
              <w:rPr>
                <w:rFonts w:ascii="Arial" w:cs="Arial" w:eastAsia="Arial" w:hAnsi="Arial"/>
                <w:sz w:val="14"/>
                <w:szCs w:val="14"/>
                <w:color w:val="auto"/>
              </w:rPr>
              <w:t>2025</w:t>
            </w:r>
          </w:p>
        </w:tc>
        <w:tc>
          <w:tcPr>
            <w:tcW w:w="360" w:type="dxa"/>
            <w:vAlign w:val="bottom"/>
            <w:tcBorders>
              <w:top w:val="single" w:sz="8" w:color="00539B"/>
              <w:bottom w:val="single" w:sz="8" w:color="00539B"/>
            </w:tcBorders>
          </w:tcPr>
          <w:p>
            <w:pPr>
              <w:spacing w:after="0"/>
              <w:rPr>
                <w:sz w:val="19"/>
                <w:szCs w:val="19"/>
                <w:color w:val="auto"/>
              </w:rPr>
            </w:pPr>
          </w:p>
        </w:tc>
        <w:tc>
          <w:tcPr>
            <w:tcW w:w="1160" w:type="dxa"/>
            <w:vAlign w:val="bottom"/>
            <w:tcBorders>
              <w:top w:val="single" w:sz="8" w:color="00539B"/>
              <w:bottom w:val="single" w:sz="8" w:color="00539B"/>
            </w:tcBorders>
          </w:tcPr>
          <w:p>
            <w:pPr>
              <w:jc w:val="right"/>
              <w:ind w:right="508"/>
              <w:spacing w:after="0"/>
              <w:rPr>
                <w:sz w:val="20"/>
                <w:szCs w:val="20"/>
                <w:color w:val="auto"/>
              </w:rPr>
            </w:pPr>
            <w:r>
              <w:rPr>
                <w:rFonts w:ascii="Arial" w:cs="Arial" w:eastAsia="Arial" w:hAnsi="Arial"/>
                <w:sz w:val="14"/>
                <w:szCs w:val="14"/>
                <w:color w:val="auto"/>
              </w:rPr>
              <w:t>2024</w:t>
            </w:r>
          </w:p>
        </w:tc>
        <w:tc>
          <w:tcPr>
            <w:tcW w:w="360" w:type="dxa"/>
            <w:vAlign w:val="bottom"/>
            <w:tcBorders>
              <w:top w:val="single" w:sz="8" w:color="00539B"/>
              <w:bottom w:val="single" w:sz="8" w:color="00539B"/>
            </w:tcBorders>
          </w:tcPr>
          <w:p>
            <w:pPr>
              <w:spacing w:after="0"/>
              <w:rPr>
                <w:sz w:val="19"/>
                <w:szCs w:val="19"/>
                <w:color w:val="auto"/>
              </w:rPr>
            </w:pPr>
          </w:p>
        </w:tc>
        <w:tc>
          <w:tcPr>
            <w:tcW w:w="1180" w:type="dxa"/>
            <w:vAlign w:val="bottom"/>
            <w:tcBorders>
              <w:top w:val="single" w:sz="8" w:color="00539B"/>
              <w:bottom w:val="single" w:sz="8" w:color="00539B"/>
            </w:tcBorders>
          </w:tcPr>
          <w:p>
            <w:pPr>
              <w:jc w:val="right"/>
              <w:ind w:right="528"/>
              <w:spacing w:after="0"/>
              <w:rPr>
                <w:sz w:val="20"/>
                <w:szCs w:val="20"/>
                <w:color w:val="auto"/>
              </w:rPr>
            </w:pPr>
            <w:r>
              <w:rPr>
                <w:rFonts w:ascii="Arial" w:cs="Arial" w:eastAsia="Arial" w:hAnsi="Arial"/>
                <w:sz w:val="14"/>
                <w:szCs w:val="14"/>
                <w:color w:val="auto"/>
              </w:rPr>
              <w:t>2023</w:t>
            </w:r>
          </w:p>
        </w:tc>
      </w:tr>
      <w:tr>
        <w:trPr>
          <w:trHeight w:val="192"/>
        </w:trPr>
        <w:tc>
          <w:tcPr>
            <w:tcW w:w="6640" w:type="dxa"/>
            <w:vAlign w:val="bottom"/>
          </w:tcPr>
          <w:p>
            <w:pPr>
              <w:ind w:left="20"/>
              <w:spacing w:after="0"/>
              <w:rPr>
                <w:sz w:val="20"/>
                <w:szCs w:val="20"/>
                <w:color w:val="auto"/>
              </w:rPr>
            </w:pPr>
            <w:r>
              <w:rPr>
                <w:rFonts w:ascii="Arial" w:cs="Arial" w:eastAsia="Arial" w:hAnsi="Arial"/>
                <w:sz w:val="14"/>
                <w:szCs w:val="14"/>
                <w:color w:val="auto"/>
              </w:rPr>
              <w:t>Income taxes</w:t>
            </w:r>
          </w:p>
        </w:tc>
        <w:tc>
          <w:tcPr>
            <w:tcW w:w="340" w:type="dxa"/>
            <w:vAlign w:val="bottom"/>
            <w:shd w:val="clear" w:color="auto" w:fill="E0E3F1"/>
          </w:tcPr>
          <w:p>
            <w:pPr>
              <w:spacing w:after="0"/>
              <w:rPr>
                <w:sz w:val="16"/>
                <w:szCs w:val="16"/>
                <w:color w:val="auto"/>
              </w:rPr>
            </w:pPr>
          </w:p>
        </w:tc>
        <w:tc>
          <w:tcPr>
            <w:tcW w:w="1160" w:type="dxa"/>
            <w:vAlign w:val="bottom"/>
            <w:shd w:val="clear" w:color="auto" w:fill="E0E3F1"/>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03"/>
        </w:trPr>
        <w:tc>
          <w:tcPr>
            <w:tcW w:w="6640" w:type="dxa"/>
            <w:vAlign w:val="bottom"/>
          </w:tcPr>
          <w:p>
            <w:pPr>
              <w:ind w:left="140"/>
              <w:spacing w:after="0"/>
              <w:rPr>
                <w:sz w:val="20"/>
                <w:szCs w:val="20"/>
                <w:color w:val="auto"/>
              </w:rPr>
            </w:pPr>
            <w:r>
              <w:rPr>
                <w:rFonts w:ascii="Arial" w:cs="Arial" w:eastAsia="Arial" w:hAnsi="Arial"/>
                <w:sz w:val="14"/>
                <w:szCs w:val="14"/>
                <w:color w:val="auto"/>
              </w:rPr>
              <w:t>Current</w:t>
            </w:r>
          </w:p>
        </w:tc>
        <w:tc>
          <w:tcPr>
            <w:tcW w:w="340" w:type="dxa"/>
            <w:vAlign w:val="bottom"/>
            <w:shd w:val="clear" w:color="auto" w:fill="E0E3F1"/>
          </w:tcPr>
          <w:p>
            <w:pPr>
              <w:spacing w:after="0"/>
              <w:rPr>
                <w:sz w:val="17"/>
                <w:szCs w:val="17"/>
                <w:color w:val="auto"/>
              </w:rPr>
            </w:pPr>
          </w:p>
        </w:tc>
        <w:tc>
          <w:tcPr>
            <w:tcW w:w="1160" w:type="dxa"/>
            <w:vAlign w:val="bottom"/>
            <w:shd w:val="clear" w:color="auto" w:fill="E0E3F1"/>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6640" w:type="dxa"/>
            <w:vAlign w:val="bottom"/>
          </w:tcPr>
          <w:p>
            <w:pPr>
              <w:ind w:left="360"/>
              <w:spacing w:after="0"/>
              <w:rPr>
                <w:sz w:val="20"/>
                <w:szCs w:val="20"/>
                <w:color w:val="auto"/>
              </w:rPr>
            </w:pPr>
            <w:r>
              <w:rPr>
                <w:rFonts w:ascii="Arial" w:cs="Arial" w:eastAsia="Arial" w:hAnsi="Arial"/>
                <w:sz w:val="14"/>
                <w:szCs w:val="14"/>
                <w:color w:val="auto"/>
              </w:rPr>
              <w:t>Federal</w:t>
            </w:r>
          </w:p>
        </w:tc>
        <w:tc>
          <w:tcPr>
            <w:tcW w:w="340" w:type="dxa"/>
            <w:vAlign w:val="bottom"/>
            <w:shd w:val="clear" w:color="auto" w:fill="E0E3F1"/>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76.6</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103.0</w:t>
            </w:r>
          </w:p>
        </w:tc>
        <w:tc>
          <w:tcPr>
            <w:tcW w:w="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82.4</w:t>
            </w:r>
          </w:p>
        </w:tc>
      </w:tr>
      <w:tr>
        <w:trPr>
          <w:trHeight w:val="203"/>
        </w:trPr>
        <w:tc>
          <w:tcPr>
            <w:tcW w:w="6640" w:type="dxa"/>
            <w:vAlign w:val="bottom"/>
          </w:tcPr>
          <w:p>
            <w:pPr>
              <w:ind w:left="360"/>
              <w:spacing w:after="0"/>
              <w:rPr>
                <w:sz w:val="20"/>
                <w:szCs w:val="20"/>
                <w:color w:val="auto"/>
              </w:rPr>
            </w:pPr>
            <w:r>
              <w:rPr>
                <w:rFonts w:ascii="Arial" w:cs="Arial" w:eastAsia="Arial" w:hAnsi="Arial"/>
                <w:sz w:val="14"/>
                <w:szCs w:val="14"/>
                <w:color w:val="auto"/>
              </w:rPr>
              <w:t>State</w:t>
            </w:r>
          </w:p>
        </w:tc>
        <w:tc>
          <w:tcPr>
            <w:tcW w:w="340" w:type="dxa"/>
            <w:vAlign w:val="bottom"/>
            <w:shd w:val="clear" w:color="auto" w:fill="E0E3F1"/>
          </w:tcPr>
          <w:p>
            <w:pPr>
              <w:spacing w:after="0"/>
              <w:rPr>
                <w:sz w:val="17"/>
                <w:szCs w:val="17"/>
                <w:color w:val="auto"/>
              </w:rPr>
            </w:pPr>
          </w:p>
        </w:tc>
        <w:tc>
          <w:tcPr>
            <w:tcW w:w="11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17.0</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16.6</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15.1</w:t>
            </w:r>
          </w:p>
        </w:tc>
      </w:tr>
      <w:tr>
        <w:trPr>
          <w:trHeight w:val="207"/>
        </w:trPr>
        <w:tc>
          <w:tcPr>
            <w:tcW w:w="6640" w:type="dxa"/>
            <w:vAlign w:val="bottom"/>
            <w:tcBorders>
              <w:bottom w:val="single" w:sz="8" w:color="00539B"/>
            </w:tcBorders>
          </w:tcPr>
          <w:p>
            <w:pPr>
              <w:ind w:left="360"/>
              <w:spacing w:after="0"/>
              <w:rPr>
                <w:sz w:val="20"/>
                <w:szCs w:val="20"/>
                <w:color w:val="auto"/>
              </w:rPr>
            </w:pPr>
            <w:r>
              <w:rPr>
                <w:rFonts w:ascii="Arial" w:cs="Arial" w:eastAsia="Arial" w:hAnsi="Arial"/>
                <w:sz w:val="14"/>
                <w:szCs w:val="14"/>
                <w:color w:val="auto"/>
              </w:rPr>
              <w:t>International</w:t>
            </w:r>
          </w:p>
        </w:tc>
        <w:tc>
          <w:tcPr>
            <w:tcW w:w="340" w:type="dxa"/>
            <w:vAlign w:val="bottom"/>
            <w:tcBorders>
              <w:bottom w:val="single" w:sz="8" w:color="00539B"/>
            </w:tcBorders>
            <w:shd w:val="clear" w:color="auto" w:fill="E0E3F1"/>
          </w:tcPr>
          <w:p>
            <w:pPr>
              <w:spacing w:after="0"/>
              <w:rPr>
                <w:sz w:val="17"/>
                <w:szCs w:val="17"/>
                <w:color w:val="auto"/>
              </w:rPr>
            </w:pPr>
          </w:p>
        </w:tc>
        <w:tc>
          <w:tcPr>
            <w:tcW w:w="116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108.7</w:t>
            </w:r>
          </w:p>
        </w:tc>
        <w:tc>
          <w:tcPr>
            <w:tcW w:w="360" w:type="dxa"/>
            <w:vAlign w:val="bottom"/>
            <w:tcBorders>
              <w:bottom w:val="single" w:sz="8" w:color="00539B"/>
            </w:tcBorders>
          </w:tcPr>
          <w:p>
            <w:pPr>
              <w:spacing w:after="0"/>
              <w:rPr>
                <w:sz w:val="17"/>
                <w:szCs w:val="17"/>
                <w:color w:val="auto"/>
              </w:rPr>
            </w:pPr>
          </w:p>
        </w:tc>
        <w:tc>
          <w:tcPr>
            <w:tcW w:w="116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94.7</w:t>
            </w:r>
          </w:p>
        </w:tc>
        <w:tc>
          <w:tcPr>
            <w:tcW w:w="360" w:type="dxa"/>
            <w:vAlign w:val="bottom"/>
            <w:tcBorders>
              <w:bottom w:val="single" w:sz="8" w:color="00539B"/>
            </w:tcBorders>
          </w:tcPr>
          <w:p>
            <w:pPr>
              <w:spacing w:after="0"/>
              <w:rPr>
                <w:sz w:val="17"/>
                <w:szCs w:val="17"/>
                <w:color w:val="auto"/>
              </w:rPr>
            </w:pPr>
          </w:p>
        </w:tc>
        <w:tc>
          <w:tcPr>
            <w:tcW w:w="118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82.4</w:t>
            </w:r>
          </w:p>
        </w:tc>
      </w:tr>
      <w:tr>
        <w:trPr>
          <w:trHeight w:val="196"/>
        </w:trPr>
        <w:tc>
          <w:tcPr>
            <w:tcW w:w="6640" w:type="dxa"/>
            <w:vAlign w:val="bottom"/>
            <w:tcBorders>
              <w:bottom w:val="single" w:sz="8" w:color="00539B"/>
            </w:tcBorders>
          </w:tcPr>
          <w:p>
            <w:pPr>
              <w:spacing w:after="0"/>
              <w:rPr>
                <w:sz w:val="17"/>
                <w:szCs w:val="17"/>
                <w:color w:val="auto"/>
              </w:rPr>
            </w:pPr>
          </w:p>
        </w:tc>
        <w:tc>
          <w:tcPr>
            <w:tcW w:w="340" w:type="dxa"/>
            <w:vAlign w:val="bottom"/>
            <w:tcBorders>
              <w:bottom w:val="single" w:sz="8" w:color="00539B"/>
            </w:tcBorders>
            <w:shd w:val="clear" w:color="auto" w:fill="E0E3F1"/>
          </w:tcPr>
          <w:p>
            <w:pPr>
              <w:spacing w:after="0"/>
              <w:rPr>
                <w:sz w:val="17"/>
                <w:szCs w:val="17"/>
                <w:color w:val="auto"/>
              </w:rPr>
            </w:pPr>
          </w:p>
        </w:tc>
        <w:tc>
          <w:tcPr>
            <w:tcW w:w="116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202.3</w:t>
            </w:r>
          </w:p>
        </w:tc>
        <w:tc>
          <w:tcPr>
            <w:tcW w:w="360" w:type="dxa"/>
            <w:vAlign w:val="bottom"/>
            <w:tcBorders>
              <w:bottom w:val="single" w:sz="8" w:color="00539B"/>
            </w:tcBorders>
          </w:tcPr>
          <w:p>
            <w:pPr>
              <w:spacing w:after="0"/>
              <w:rPr>
                <w:sz w:val="17"/>
                <w:szCs w:val="17"/>
                <w:color w:val="auto"/>
              </w:rPr>
            </w:pPr>
          </w:p>
        </w:tc>
        <w:tc>
          <w:tcPr>
            <w:tcW w:w="116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214.3</w:t>
            </w:r>
          </w:p>
        </w:tc>
        <w:tc>
          <w:tcPr>
            <w:tcW w:w="360" w:type="dxa"/>
            <w:vAlign w:val="bottom"/>
            <w:tcBorders>
              <w:bottom w:val="single" w:sz="8" w:color="00539B"/>
            </w:tcBorders>
          </w:tcPr>
          <w:p>
            <w:pPr>
              <w:spacing w:after="0"/>
              <w:rPr>
                <w:sz w:val="17"/>
                <w:szCs w:val="17"/>
                <w:color w:val="auto"/>
              </w:rPr>
            </w:pPr>
          </w:p>
        </w:tc>
        <w:tc>
          <w:tcPr>
            <w:tcW w:w="118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179.9</w:t>
            </w:r>
          </w:p>
        </w:tc>
      </w:tr>
      <w:tr>
        <w:trPr>
          <w:trHeight w:val="192"/>
        </w:trPr>
        <w:tc>
          <w:tcPr>
            <w:tcW w:w="6640" w:type="dxa"/>
            <w:vAlign w:val="bottom"/>
          </w:tcPr>
          <w:p>
            <w:pPr>
              <w:ind w:left="140"/>
              <w:spacing w:after="0"/>
              <w:rPr>
                <w:sz w:val="20"/>
                <w:szCs w:val="20"/>
                <w:color w:val="auto"/>
              </w:rPr>
            </w:pPr>
            <w:r>
              <w:rPr>
                <w:rFonts w:ascii="Arial" w:cs="Arial" w:eastAsia="Arial" w:hAnsi="Arial"/>
                <w:sz w:val="14"/>
                <w:szCs w:val="14"/>
                <w:color w:val="auto"/>
              </w:rPr>
              <w:t>Deferred</w:t>
            </w:r>
          </w:p>
        </w:tc>
        <w:tc>
          <w:tcPr>
            <w:tcW w:w="340" w:type="dxa"/>
            <w:vAlign w:val="bottom"/>
            <w:shd w:val="clear" w:color="auto" w:fill="E0E3F1"/>
          </w:tcPr>
          <w:p>
            <w:pPr>
              <w:spacing w:after="0"/>
              <w:rPr>
                <w:sz w:val="16"/>
                <w:szCs w:val="16"/>
                <w:color w:val="auto"/>
              </w:rPr>
            </w:pPr>
          </w:p>
        </w:tc>
        <w:tc>
          <w:tcPr>
            <w:tcW w:w="1160" w:type="dxa"/>
            <w:vAlign w:val="bottom"/>
            <w:shd w:val="clear" w:color="auto" w:fill="E0E3F1"/>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03"/>
        </w:trPr>
        <w:tc>
          <w:tcPr>
            <w:tcW w:w="6640" w:type="dxa"/>
            <w:vAlign w:val="bottom"/>
          </w:tcPr>
          <w:p>
            <w:pPr>
              <w:ind w:left="360"/>
              <w:spacing w:after="0"/>
              <w:rPr>
                <w:sz w:val="20"/>
                <w:szCs w:val="20"/>
                <w:color w:val="auto"/>
              </w:rPr>
            </w:pPr>
            <w:r>
              <w:rPr>
                <w:rFonts w:ascii="Arial" w:cs="Arial" w:eastAsia="Arial" w:hAnsi="Arial"/>
                <w:sz w:val="14"/>
                <w:szCs w:val="14"/>
                <w:color w:val="auto"/>
              </w:rPr>
              <w:t>Federal</w:t>
            </w:r>
          </w:p>
        </w:tc>
        <w:tc>
          <w:tcPr>
            <w:tcW w:w="340" w:type="dxa"/>
            <w:vAlign w:val="bottom"/>
            <w:shd w:val="clear" w:color="auto" w:fill="E0E3F1"/>
          </w:tcPr>
          <w:p>
            <w:pPr>
              <w:spacing w:after="0"/>
              <w:rPr>
                <w:sz w:val="17"/>
                <w:szCs w:val="17"/>
                <w:color w:val="auto"/>
              </w:rPr>
            </w:pPr>
          </w:p>
        </w:tc>
        <w:tc>
          <w:tcPr>
            <w:tcW w:w="11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2.6</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(15.2)</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203"/>
        </w:trPr>
        <w:tc>
          <w:tcPr>
            <w:tcW w:w="6640" w:type="dxa"/>
            <w:vAlign w:val="bottom"/>
          </w:tcPr>
          <w:p>
            <w:pPr>
              <w:ind w:left="360"/>
              <w:spacing w:after="0"/>
              <w:rPr>
                <w:sz w:val="20"/>
                <w:szCs w:val="20"/>
                <w:color w:val="auto"/>
              </w:rPr>
            </w:pPr>
            <w:r>
              <w:rPr>
                <w:rFonts w:ascii="Arial" w:cs="Arial" w:eastAsia="Arial" w:hAnsi="Arial"/>
                <w:sz w:val="14"/>
                <w:szCs w:val="14"/>
                <w:color w:val="auto"/>
              </w:rPr>
              <w:t>State</w:t>
            </w:r>
          </w:p>
        </w:tc>
        <w:tc>
          <w:tcPr>
            <w:tcW w:w="340" w:type="dxa"/>
            <w:vAlign w:val="bottom"/>
            <w:shd w:val="clear" w:color="auto" w:fill="E0E3F1"/>
          </w:tcPr>
          <w:p>
            <w:pPr>
              <w:spacing w:after="0"/>
              <w:rPr>
                <w:sz w:val="17"/>
                <w:szCs w:val="17"/>
                <w:color w:val="auto"/>
              </w:rPr>
            </w:pPr>
          </w:p>
        </w:tc>
        <w:tc>
          <w:tcPr>
            <w:tcW w:w="11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(9.6)</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(6.3)</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207"/>
        </w:trPr>
        <w:tc>
          <w:tcPr>
            <w:tcW w:w="6640" w:type="dxa"/>
            <w:vAlign w:val="bottom"/>
            <w:tcBorders>
              <w:bottom w:val="single" w:sz="8" w:color="00539B"/>
            </w:tcBorders>
          </w:tcPr>
          <w:p>
            <w:pPr>
              <w:ind w:left="360"/>
              <w:spacing w:after="0"/>
              <w:rPr>
                <w:sz w:val="20"/>
                <w:szCs w:val="20"/>
                <w:color w:val="auto"/>
              </w:rPr>
            </w:pPr>
            <w:r>
              <w:rPr>
                <w:rFonts w:ascii="Arial" w:cs="Arial" w:eastAsia="Arial" w:hAnsi="Arial"/>
                <w:sz w:val="14"/>
                <w:szCs w:val="14"/>
                <w:color w:val="auto"/>
              </w:rPr>
              <w:t>International</w:t>
            </w:r>
          </w:p>
        </w:tc>
        <w:tc>
          <w:tcPr>
            <w:tcW w:w="340" w:type="dxa"/>
            <w:vAlign w:val="bottom"/>
            <w:tcBorders>
              <w:bottom w:val="single" w:sz="8" w:color="00539B"/>
            </w:tcBorders>
            <w:shd w:val="clear" w:color="auto" w:fill="E0E3F1"/>
          </w:tcPr>
          <w:p>
            <w:pPr>
              <w:spacing w:after="0"/>
              <w:rPr>
                <w:sz w:val="17"/>
                <w:szCs w:val="17"/>
                <w:color w:val="auto"/>
              </w:rPr>
            </w:pPr>
          </w:p>
        </w:tc>
        <w:tc>
          <w:tcPr>
            <w:tcW w:w="116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0.5</w:t>
            </w:r>
          </w:p>
        </w:tc>
        <w:tc>
          <w:tcPr>
            <w:tcW w:w="360" w:type="dxa"/>
            <w:vAlign w:val="bottom"/>
            <w:tcBorders>
              <w:bottom w:val="single" w:sz="8" w:color="00539B"/>
            </w:tcBorders>
          </w:tcPr>
          <w:p>
            <w:pPr>
              <w:spacing w:after="0"/>
              <w:rPr>
                <w:sz w:val="17"/>
                <w:szCs w:val="17"/>
                <w:color w:val="auto"/>
              </w:rPr>
            </w:pPr>
          </w:p>
        </w:tc>
        <w:tc>
          <w:tcPr>
            <w:tcW w:w="116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(8.8)</w:t>
            </w:r>
          </w:p>
        </w:tc>
        <w:tc>
          <w:tcPr>
            <w:tcW w:w="360" w:type="dxa"/>
            <w:vAlign w:val="bottom"/>
            <w:tcBorders>
              <w:bottom w:val="single" w:sz="8" w:color="00539B"/>
            </w:tcBorders>
          </w:tcPr>
          <w:p>
            <w:pPr>
              <w:spacing w:after="0"/>
              <w:rPr>
                <w:sz w:val="17"/>
                <w:szCs w:val="17"/>
                <w:color w:val="auto"/>
              </w:rPr>
            </w:pPr>
          </w:p>
        </w:tc>
        <w:tc>
          <w:tcPr>
            <w:tcW w:w="118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(5.9)</w:t>
            </w:r>
          </w:p>
        </w:tc>
      </w:tr>
      <w:tr>
        <w:trPr>
          <w:trHeight w:val="196"/>
        </w:trPr>
        <w:tc>
          <w:tcPr>
            <w:tcW w:w="6640" w:type="dxa"/>
            <w:vAlign w:val="bottom"/>
            <w:tcBorders>
              <w:bottom w:val="single" w:sz="8" w:color="00539B"/>
            </w:tcBorders>
          </w:tcPr>
          <w:p>
            <w:pPr>
              <w:spacing w:after="0"/>
              <w:rPr>
                <w:sz w:val="17"/>
                <w:szCs w:val="17"/>
                <w:color w:val="auto"/>
              </w:rPr>
            </w:pPr>
          </w:p>
        </w:tc>
        <w:tc>
          <w:tcPr>
            <w:tcW w:w="340" w:type="dxa"/>
            <w:vAlign w:val="bottom"/>
            <w:tcBorders>
              <w:bottom w:val="single" w:sz="8" w:color="00539B"/>
            </w:tcBorders>
            <w:shd w:val="clear" w:color="auto" w:fill="E0E3F1"/>
          </w:tcPr>
          <w:p>
            <w:pPr>
              <w:spacing w:after="0"/>
              <w:rPr>
                <w:sz w:val="17"/>
                <w:szCs w:val="17"/>
                <w:color w:val="auto"/>
              </w:rPr>
            </w:pPr>
          </w:p>
        </w:tc>
        <w:tc>
          <w:tcPr>
            <w:tcW w:w="116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(6.5)</w:t>
            </w:r>
          </w:p>
        </w:tc>
        <w:tc>
          <w:tcPr>
            <w:tcW w:w="360" w:type="dxa"/>
            <w:vAlign w:val="bottom"/>
            <w:tcBorders>
              <w:bottom w:val="single" w:sz="8" w:color="00539B"/>
            </w:tcBorders>
          </w:tcPr>
          <w:p>
            <w:pPr>
              <w:spacing w:after="0"/>
              <w:rPr>
                <w:sz w:val="17"/>
                <w:szCs w:val="17"/>
                <w:color w:val="auto"/>
              </w:rPr>
            </w:pPr>
          </w:p>
        </w:tc>
        <w:tc>
          <w:tcPr>
            <w:tcW w:w="116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(30.3)</w:t>
            </w:r>
          </w:p>
        </w:tc>
        <w:tc>
          <w:tcPr>
            <w:tcW w:w="360" w:type="dxa"/>
            <w:vAlign w:val="bottom"/>
            <w:tcBorders>
              <w:bottom w:val="single" w:sz="8" w:color="00539B"/>
            </w:tcBorders>
          </w:tcPr>
          <w:p>
            <w:pPr>
              <w:spacing w:after="0"/>
              <w:rPr>
                <w:sz w:val="17"/>
                <w:szCs w:val="17"/>
                <w:color w:val="auto"/>
              </w:rPr>
            </w:pPr>
          </w:p>
        </w:tc>
        <w:tc>
          <w:tcPr>
            <w:tcW w:w="118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(5.4)</w:t>
            </w:r>
          </w:p>
        </w:tc>
      </w:tr>
      <w:tr>
        <w:trPr>
          <w:trHeight w:val="207"/>
        </w:trPr>
        <w:tc>
          <w:tcPr>
            <w:tcW w:w="664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Total income tax expense</w:t>
            </w:r>
          </w:p>
        </w:tc>
        <w:tc>
          <w:tcPr>
            <w:tcW w:w="340" w:type="dxa"/>
            <w:vAlign w:val="bottom"/>
            <w:tcBorders>
              <w:bottom w:val="single" w:sz="8" w:color="00539B"/>
            </w:tcBorders>
            <w:shd w:val="clear" w:color="auto" w:fill="E0E3F1"/>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195.8</w:t>
            </w:r>
          </w:p>
        </w:tc>
        <w:tc>
          <w:tcPr>
            <w:tcW w:w="360" w:type="dxa"/>
            <w:vAlign w:val="bottom"/>
            <w:tcBorders>
              <w:bottom w:val="single" w:sz="8" w:color="00539B"/>
            </w:tcBorders>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184.0</w:t>
            </w:r>
          </w:p>
        </w:tc>
        <w:tc>
          <w:tcPr>
            <w:tcW w:w="360" w:type="dxa"/>
            <w:vAlign w:val="bottom"/>
            <w:tcBorders>
              <w:bottom w:val="single" w:sz="8" w:color="00539B"/>
            </w:tcBorders>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174.5</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income from consolidated operations before income taxes for the years ended November 30 follow:</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640" w:type="dxa"/>
            <w:vAlign w:val="bottom"/>
            <w:tcBorders>
              <w:top w:val="single" w:sz="8" w:color="00539B"/>
              <w:bottom w:val="single" w:sz="8" w:color="00539B"/>
            </w:tcBorders>
          </w:tcPr>
          <w:p>
            <w:pPr>
              <w:jc w:val="right"/>
              <w:ind w:right="5968"/>
              <w:spacing w:after="0"/>
              <w:rPr>
                <w:sz w:val="20"/>
                <w:szCs w:val="20"/>
                <w:color w:val="auto"/>
              </w:rPr>
            </w:pPr>
            <w:r>
              <w:rPr>
                <w:rFonts w:ascii="Arial" w:cs="Arial" w:eastAsia="Arial" w:hAnsi="Arial"/>
                <w:sz w:val="14"/>
                <w:szCs w:val="14"/>
                <w:color w:val="auto"/>
              </w:rPr>
              <w:t>(millions)</w:t>
            </w:r>
          </w:p>
        </w:tc>
        <w:tc>
          <w:tcPr>
            <w:tcW w:w="360" w:type="dxa"/>
            <w:vAlign w:val="bottom"/>
            <w:tcBorders>
              <w:top w:val="single" w:sz="8" w:color="00539B"/>
              <w:bottom w:val="single" w:sz="8" w:color="00539B"/>
            </w:tcBorders>
            <w:shd w:val="clear" w:color="auto" w:fill="E0E3F1"/>
          </w:tcPr>
          <w:p>
            <w:pPr>
              <w:spacing w:after="0"/>
              <w:rPr>
                <w:sz w:val="19"/>
                <w:szCs w:val="19"/>
                <w:color w:val="auto"/>
              </w:rPr>
            </w:pPr>
          </w:p>
        </w:tc>
        <w:tc>
          <w:tcPr>
            <w:tcW w:w="1160" w:type="dxa"/>
            <w:vAlign w:val="bottom"/>
            <w:tcBorders>
              <w:top w:val="single" w:sz="8" w:color="00539B"/>
              <w:bottom w:val="single" w:sz="8" w:color="00539B"/>
            </w:tcBorders>
            <w:shd w:val="clear" w:color="auto" w:fill="E0E3F1"/>
          </w:tcPr>
          <w:p>
            <w:pPr>
              <w:jc w:val="right"/>
              <w:ind w:right="528"/>
              <w:spacing w:after="0"/>
              <w:rPr>
                <w:sz w:val="20"/>
                <w:szCs w:val="20"/>
                <w:color w:val="auto"/>
              </w:rPr>
            </w:pPr>
            <w:r>
              <w:rPr>
                <w:rFonts w:ascii="Arial" w:cs="Arial" w:eastAsia="Arial" w:hAnsi="Arial"/>
                <w:sz w:val="14"/>
                <w:szCs w:val="14"/>
                <w:color w:val="auto"/>
              </w:rPr>
              <w:t>2025</w:t>
            </w:r>
          </w:p>
        </w:tc>
        <w:tc>
          <w:tcPr>
            <w:tcW w:w="340" w:type="dxa"/>
            <w:vAlign w:val="bottom"/>
            <w:tcBorders>
              <w:top w:val="single" w:sz="8" w:color="00539B"/>
              <w:bottom w:val="single" w:sz="8" w:color="00539B"/>
            </w:tcBorders>
          </w:tcPr>
          <w:p>
            <w:pPr>
              <w:spacing w:after="0"/>
              <w:rPr>
                <w:sz w:val="19"/>
                <w:szCs w:val="19"/>
                <w:color w:val="auto"/>
              </w:rPr>
            </w:pPr>
          </w:p>
        </w:tc>
        <w:tc>
          <w:tcPr>
            <w:tcW w:w="1140" w:type="dxa"/>
            <w:vAlign w:val="bottom"/>
            <w:tcBorders>
              <w:top w:val="single" w:sz="8" w:color="00539B"/>
              <w:bottom w:val="single" w:sz="8" w:color="00539B"/>
            </w:tcBorders>
          </w:tcPr>
          <w:p>
            <w:pPr>
              <w:jc w:val="right"/>
              <w:ind w:right="488"/>
              <w:spacing w:after="0"/>
              <w:rPr>
                <w:sz w:val="20"/>
                <w:szCs w:val="20"/>
                <w:color w:val="auto"/>
              </w:rPr>
            </w:pPr>
            <w:r>
              <w:rPr>
                <w:rFonts w:ascii="Arial" w:cs="Arial" w:eastAsia="Arial" w:hAnsi="Arial"/>
                <w:sz w:val="14"/>
                <w:szCs w:val="14"/>
                <w:color w:val="auto"/>
              </w:rPr>
              <w:t>2024</w:t>
            </w:r>
          </w:p>
        </w:tc>
        <w:tc>
          <w:tcPr>
            <w:tcW w:w="380" w:type="dxa"/>
            <w:vAlign w:val="bottom"/>
            <w:tcBorders>
              <w:top w:val="single" w:sz="8" w:color="00539B"/>
              <w:bottom w:val="single" w:sz="8" w:color="00539B"/>
            </w:tcBorders>
          </w:tcPr>
          <w:p>
            <w:pPr>
              <w:spacing w:after="0"/>
              <w:rPr>
                <w:sz w:val="19"/>
                <w:szCs w:val="19"/>
                <w:color w:val="auto"/>
              </w:rPr>
            </w:pPr>
          </w:p>
        </w:tc>
        <w:tc>
          <w:tcPr>
            <w:tcW w:w="1180" w:type="dxa"/>
            <w:vAlign w:val="bottom"/>
            <w:tcBorders>
              <w:top w:val="single" w:sz="8" w:color="00539B"/>
              <w:bottom w:val="single" w:sz="8" w:color="00539B"/>
            </w:tcBorders>
          </w:tcPr>
          <w:p>
            <w:pPr>
              <w:jc w:val="right"/>
              <w:ind w:right="528"/>
              <w:spacing w:after="0"/>
              <w:rPr>
                <w:sz w:val="20"/>
                <w:szCs w:val="20"/>
                <w:color w:val="auto"/>
              </w:rPr>
            </w:pPr>
            <w:r>
              <w:rPr>
                <w:rFonts w:ascii="Arial" w:cs="Arial" w:eastAsia="Arial" w:hAnsi="Arial"/>
                <w:sz w:val="14"/>
                <w:szCs w:val="14"/>
                <w:color w:val="auto"/>
              </w:rPr>
              <w:t>2023</w:t>
            </w:r>
          </w:p>
        </w:tc>
      </w:tr>
      <w:tr>
        <w:trPr>
          <w:trHeight w:val="192"/>
        </w:trPr>
        <w:tc>
          <w:tcPr>
            <w:tcW w:w="6640" w:type="dxa"/>
            <w:vAlign w:val="bottom"/>
          </w:tcPr>
          <w:p>
            <w:pPr>
              <w:jc w:val="right"/>
              <w:ind w:right="5628"/>
              <w:spacing w:after="0"/>
              <w:rPr>
                <w:sz w:val="20"/>
                <w:szCs w:val="20"/>
                <w:color w:val="auto"/>
              </w:rPr>
            </w:pPr>
            <w:r>
              <w:rPr>
                <w:rFonts w:ascii="Arial" w:cs="Arial" w:eastAsia="Arial" w:hAnsi="Arial"/>
                <w:sz w:val="14"/>
                <w:szCs w:val="14"/>
                <w:color w:val="auto"/>
              </w:rPr>
              <w:t>Pretax income</w:t>
            </w:r>
          </w:p>
        </w:tc>
        <w:tc>
          <w:tcPr>
            <w:tcW w:w="360" w:type="dxa"/>
            <w:vAlign w:val="bottom"/>
            <w:shd w:val="clear" w:color="auto" w:fill="E0E3F1"/>
          </w:tcPr>
          <w:p>
            <w:pPr>
              <w:spacing w:after="0"/>
              <w:rPr>
                <w:sz w:val="16"/>
                <w:szCs w:val="16"/>
                <w:color w:val="auto"/>
              </w:rPr>
            </w:pPr>
          </w:p>
        </w:tc>
        <w:tc>
          <w:tcPr>
            <w:tcW w:w="1160" w:type="dxa"/>
            <w:vAlign w:val="bottom"/>
            <w:shd w:val="clear" w:color="auto" w:fill="E0E3F1"/>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03"/>
        </w:trPr>
        <w:tc>
          <w:tcPr>
            <w:tcW w:w="6640" w:type="dxa"/>
            <w:vAlign w:val="bottom"/>
          </w:tcPr>
          <w:p>
            <w:pPr>
              <w:jc w:val="right"/>
              <w:ind w:right="5548"/>
              <w:spacing w:after="0"/>
              <w:rPr>
                <w:sz w:val="20"/>
                <w:szCs w:val="20"/>
                <w:color w:val="auto"/>
              </w:rPr>
            </w:pPr>
            <w:r>
              <w:rPr>
                <w:rFonts w:ascii="Arial" w:cs="Arial" w:eastAsia="Arial" w:hAnsi="Arial"/>
                <w:sz w:val="14"/>
                <w:szCs w:val="14"/>
                <w:color w:val="auto"/>
              </w:rPr>
              <w:t>United States</w:t>
            </w:r>
          </w:p>
        </w:tc>
        <w:tc>
          <w:tcPr>
            <w:tcW w:w="360" w:type="dxa"/>
            <w:vAlign w:val="bottom"/>
            <w:shd w:val="clear" w:color="auto" w:fill="E0E3F1"/>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620.4</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634.8</w:t>
            </w:r>
          </w:p>
        </w:tc>
        <w:tc>
          <w:tcPr>
            <w:tcW w:w="3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569.6</w:t>
            </w:r>
          </w:p>
        </w:tc>
      </w:tr>
      <w:tr>
        <w:trPr>
          <w:trHeight w:val="207"/>
        </w:trPr>
        <w:tc>
          <w:tcPr>
            <w:tcW w:w="6640" w:type="dxa"/>
            <w:vAlign w:val="bottom"/>
            <w:tcBorders>
              <w:bottom w:val="single" w:sz="8" w:color="00539B"/>
            </w:tcBorders>
          </w:tcPr>
          <w:p>
            <w:pPr>
              <w:jc w:val="right"/>
              <w:ind w:right="5628"/>
              <w:spacing w:after="0"/>
              <w:rPr>
                <w:sz w:val="20"/>
                <w:szCs w:val="20"/>
                <w:color w:val="auto"/>
              </w:rPr>
            </w:pPr>
            <w:r>
              <w:rPr>
                <w:rFonts w:ascii="Arial" w:cs="Arial" w:eastAsia="Arial" w:hAnsi="Arial"/>
                <w:sz w:val="14"/>
                <w:szCs w:val="14"/>
                <w:color w:val="auto"/>
              </w:rPr>
              <w:t>International</w:t>
            </w:r>
          </w:p>
        </w:tc>
        <w:tc>
          <w:tcPr>
            <w:tcW w:w="360" w:type="dxa"/>
            <w:vAlign w:val="bottom"/>
            <w:tcBorders>
              <w:bottom w:val="single" w:sz="8" w:color="00539B"/>
            </w:tcBorders>
            <w:shd w:val="clear" w:color="auto" w:fill="E0E3F1"/>
          </w:tcPr>
          <w:p>
            <w:pPr>
              <w:spacing w:after="0"/>
              <w:rPr>
                <w:sz w:val="17"/>
                <w:szCs w:val="17"/>
                <w:color w:val="auto"/>
              </w:rPr>
            </w:pPr>
          </w:p>
        </w:tc>
        <w:tc>
          <w:tcPr>
            <w:tcW w:w="116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292.6</w:t>
            </w:r>
          </w:p>
        </w:tc>
        <w:tc>
          <w:tcPr>
            <w:tcW w:w="340" w:type="dxa"/>
            <w:vAlign w:val="bottom"/>
            <w:tcBorders>
              <w:bottom w:val="single" w:sz="8" w:color="00539B"/>
            </w:tcBorders>
          </w:tcPr>
          <w:p>
            <w:pPr>
              <w:spacing w:after="0"/>
              <w:rPr>
                <w:sz w:val="17"/>
                <w:szCs w:val="17"/>
                <w:color w:val="auto"/>
              </w:rPr>
            </w:pPr>
          </w:p>
        </w:tc>
        <w:tc>
          <w:tcPr>
            <w:tcW w:w="114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263.5</w:t>
            </w:r>
          </w:p>
        </w:tc>
        <w:tc>
          <w:tcPr>
            <w:tcW w:w="380" w:type="dxa"/>
            <w:vAlign w:val="bottom"/>
            <w:tcBorders>
              <w:bottom w:val="single" w:sz="8" w:color="00539B"/>
            </w:tcBorders>
          </w:tcPr>
          <w:p>
            <w:pPr>
              <w:spacing w:after="0"/>
              <w:rPr>
                <w:sz w:val="17"/>
                <w:szCs w:val="17"/>
                <w:color w:val="auto"/>
              </w:rPr>
            </w:pPr>
          </w:p>
        </w:tc>
        <w:tc>
          <w:tcPr>
            <w:tcW w:w="118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229.1</w:t>
            </w:r>
          </w:p>
        </w:tc>
      </w:tr>
      <w:tr>
        <w:trPr>
          <w:trHeight w:val="207"/>
        </w:trPr>
        <w:tc>
          <w:tcPr>
            <w:tcW w:w="6640" w:type="dxa"/>
            <w:vAlign w:val="bottom"/>
            <w:tcBorders>
              <w:bottom w:val="single" w:sz="8" w:color="00539B"/>
            </w:tcBorders>
          </w:tcPr>
          <w:p>
            <w:pPr>
              <w:spacing w:after="0"/>
              <w:rPr>
                <w:sz w:val="18"/>
                <w:szCs w:val="18"/>
                <w:color w:val="auto"/>
              </w:rPr>
            </w:pPr>
          </w:p>
        </w:tc>
        <w:tc>
          <w:tcPr>
            <w:tcW w:w="360" w:type="dxa"/>
            <w:vAlign w:val="bottom"/>
            <w:tcBorders>
              <w:bottom w:val="single" w:sz="8" w:color="00539B"/>
            </w:tcBorders>
            <w:shd w:val="clear" w:color="auto" w:fill="E0E3F1"/>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913.0</w:t>
            </w:r>
          </w:p>
        </w:tc>
        <w:tc>
          <w:tcPr>
            <w:tcW w:w="340" w:type="dxa"/>
            <w:vAlign w:val="bottom"/>
            <w:tcBorders>
              <w:bottom w:val="single" w:sz="8" w:color="00539B"/>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898.3</w:t>
            </w:r>
          </w:p>
        </w:tc>
        <w:tc>
          <w:tcPr>
            <w:tcW w:w="380" w:type="dxa"/>
            <w:vAlign w:val="bottom"/>
            <w:tcBorders>
              <w:bottom w:val="single" w:sz="8" w:color="00539B"/>
            </w:tcBorders>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798.7</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U.S. federal statutory rate with the effective tax rate for the years ended November 30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Borders>
              <w:bottom w:val="single" w:sz="8" w:color="00539B"/>
            </w:tcBorders>
          </w:tcPr>
          <w:p>
            <w:pPr>
              <w:spacing w:after="0"/>
              <w:rPr>
                <w:sz w:val="17"/>
                <w:szCs w:val="17"/>
                <w:color w:val="auto"/>
              </w:rPr>
            </w:pPr>
          </w:p>
        </w:tc>
        <w:tc>
          <w:tcPr>
            <w:tcW w:w="1040" w:type="dxa"/>
            <w:vAlign w:val="bottom"/>
            <w:tcBorders>
              <w:bottom w:val="single" w:sz="8" w:color="00539B"/>
            </w:tcBorders>
            <w:shd w:val="clear" w:color="auto" w:fill="E0E3F1"/>
          </w:tcPr>
          <w:p>
            <w:pPr>
              <w:jc w:val="right"/>
              <w:ind w:right="8"/>
              <w:spacing w:after="0"/>
              <w:rPr>
                <w:sz w:val="20"/>
                <w:szCs w:val="20"/>
                <w:color w:val="auto"/>
              </w:rPr>
            </w:pPr>
            <w:r>
              <w:rPr>
                <w:rFonts w:ascii="Arial" w:cs="Arial" w:eastAsia="Arial" w:hAnsi="Arial"/>
                <w:sz w:val="14"/>
                <w:szCs w:val="14"/>
                <w:color w:val="auto"/>
              </w:rPr>
              <w:t>2025</w:t>
            </w:r>
          </w:p>
        </w:tc>
        <w:tc>
          <w:tcPr>
            <w:tcW w:w="420" w:type="dxa"/>
            <w:vAlign w:val="bottom"/>
            <w:tcBorders>
              <w:bottom w:val="single" w:sz="8" w:color="00539B"/>
            </w:tcBorders>
            <w:shd w:val="clear" w:color="auto" w:fill="E0E3F1"/>
          </w:tcPr>
          <w:p>
            <w:pPr>
              <w:spacing w:after="0"/>
              <w:rPr>
                <w:sz w:val="17"/>
                <w:szCs w:val="17"/>
                <w:color w:val="auto"/>
              </w:rPr>
            </w:pPr>
          </w:p>
        </w:tc>
        <w:tc>
          <w:tcPr>
            <w:tcW w:w="140" w:type="dxa"/>
            <w:vAlign w:val="bottom"/>
            <w:tcBorders>
              <w:bottom w:val="single" w:sz="8" w:color="00539B"/>
            </w:tcBorders>
            <w:shd w:val="clear" w:color="auto" w:fill="E0E3F1"/>
          </w:tcPr>
          <w:p>
            <w:pPr>
              <w:spacing w:after="0"/>
              <w:rPr>
                <w:sz w:val="17"/>
                <w:szCs w:val="17"/>
                <w:color w:val="auto"/>
              </w:rPr>
            </w:pPr>
          </w:p>
        </w:tc>
        <w:tc>
          <w:tcPr>
            <w:tcW w:w="1900" w:type="dxa"/>
            <w:vAlign w:val="bottom"/>
            <w:tcBorders>
              <w:bottom w:val="single" w:sz="8" w:color="00539B"/>
            </w:tcBorders>
          </w:tcPr>
          <w:p>
            <w:pPr>
              <w:jc w:val="right"/>
              <w:ind w:right="868"/>
              <w:spacing w:after="0"/>
              <w:rPr>
                <w:sz w:val="20"/>
                <w:szCs w:val="20"/>
                <w:color w:val="auto"/>
              </w:rPr>
            </w:pPr>
            <w:r>
              <w:rPr>
                <w:rFonts w:ascii="Arial" w:cs="Arial" w:eastAsia="Arial" w:hAnsi="Arial"/>
                <w:sz w:val="14"/>
                <w:szCs w:val="14"/>
                <w:color w:val="auto"/>
              </w:rPr>
              <w:t>2024</w:t>
            </w:r>
          </w:p>
        </w:tc>
        <w:tc>
          <w:tcPr>
            <w:tcW w:w="1300" w:type="dxa"/>
            <w:vAlign w:val="bottom"/>
            <w:tcBorders>
              <w:bottom w:val="single" w:sz="8" w:color="00539B"/>
            </w:tcBorders>
          </w:tcPr>
          <w:p>
            <w:pPr>
              <w:jc w:val="right"/>
              <w:ind w:right="568"/>
              <w:spacing w:after="0"/>
              <w:rPr>
                <w:sz w:val="20"/>
                <w:szCs w:val="20"/>
                <w:color w:val="auto"/>
              </w:rPr>
            </w:pPr>
            <w:r>
              <w:rPr>
                <w:rFonts w:ascii="Arial" w:cs="Arial" w:eastAsia="Arial" w:hAnsi="Arial"/>
                <w:sz w:val="14"/>
                <w:szCs w:val="14"/>
                <w:color w:val="auto"/>
              </w:rPr>
              <w:t>2023</w:t>
            </w:r>
          </w:p>
        </w:tc>
      </w:tr>
      <w:tr>
        <w:trPr>
          <w:trHeight w:val="188"/>
        </w:trPr>
        <w:tc>
          <w:tcPr>
            <w:tcW w:w="6400" w:type="dxa"/>
            <w:vAlign w:val="bottom"/>
          </w:tcPr>
          <w:p>
            <w:pPr>
              <w:ind w:left="20"/>
              <w:spacing w:after="0"/>
              <w:rPr>
                <w:sz w:val="20"/>
                <w:szCs w:val="20"/>
                <w:color w:val="auto"/>
              </w:rPr>
            </w:pPr>
            <w:r>
              <w:rPr>
                <w:rFonts w:ascii="Arial" w:cs="Arial" w:eastAsia="Arial" w:hAnsi="Arial"/>
                <w:sz w:val="14"/>
                <w:szCs w:val="14"/>
                <w:color w:val="auto"/>
              </w:rPr>
              <w:t>Federal statutory tax rate</w:t>
            </w:r>
          </w:p>
        </w:tc>
        <w:tc>
          <w:tcPr>
            <w:tcW w:w="1040" w:type="dxa"/>
            <w:vAlign w:val="bottom"/>
            <w:shd w:val="clear" w:color="auto" w:fill="E0E3F1"/>
          </w:tcPr>
          <w:p>
            <w:pPr>
              <w:spacing w:after="0"/>
              <w:rPr>
                <w:sz w:val="16"/>
                <w:szCs w:val="16"/>
                <w:color w:val="auto"/>
              </w:rPr>
            </w:pPr>
          </w:p>
        </w:tc>
        <w:tc>
          <w:tcPr>
            <w:tcW w:w="420" w:type="dxa"/>
            <w:vAlign w:val="bottom"/>
            <w:shd w:val="clear" w:color="auto" w:fill="E0E3F1"/>
          </w:tcPr>
          <w:p>
            <w:pPr>
              <w:jc w:val="right"/>
              <w:spacing w:after="0"/>
              <w:rPr>
                <w:sz w:val="20"/>
                <w:szCs w:val="20"/>
                <w:color w:val="auto"/>
              </w:rPr>
            </w:pPr>
            <w:r>
              <w:rPr>
                <w:rFonts w:ascii="Arial" w:cs="Arial" w:eastAsia="Arial" w:hAnsi="Arial"/>
                <w:sz w:val="14"/>
                <w:szCs w:val="14"/>
                <w:color w:val="auto"/>
              </w:rPr>
              <w:t>21.0</w:t>
            </w:r>
          </w:p>
        </w:tc>
        <w:tc>
          <w:tcPr>
            <w:tcW w:w="140" w:type="dxa"/>
            <w:vAlign w:val="bottom"/>
            <w:shd w:val="clear" w:color="auto" w:fill="E0E3F1"/>
          </w:tcPr>
          <w:p>
            <w:pPr>
              <w:jc w:val="right"/>
              <w:spacing w:after="0"/>
              <w:rPr>
                <w:sz w:val="20"/>
                <w:szCs w:val="20"/>
                <w:color w:val="auto"/>
              </w:rPr>
            </w:pPr>
            <w:r>
              <w:rPr>
                <w:rFonts w:ascii="Arial" w:cs="Arial" w:eastAsia="Arial" w:hAnsi="Arial"/>
                <w:sz w:val="14"/>
                <w:szCs w:val="14"/>
                <w:color w:val="auto"/>
                <w:w w:val="79"/>
              </w:rPr>
              <w:t>%</w:t>
            </w:r>
          </w:p>
        </w:tc>
        <w:tc>
          <w:tcPr>
            <w:tcW w:w="1900" w:type="dxa"/>
            <w:vAlign w:val="bottom"/>
          </w:tcPr>
          <w:p>
            <w:pPr>
              <w:jc w:val="right"/>
              <w:ind w:right="248"/>
              <w:spacing w:after="0"/>
              <w:rPr>
                <w:sz w:val="20"/>
                <w:szCs w:val="20"/>
                <w:color w:val="auto"/>
              </w:rPr>
            </w:pPr>
            <w:r>
              <w:rPr>
                <w:rFonts w:ascii="Arial" w:cs="Arial" w:eastAsia="Arial" w:hAnsi="Arial"/>
                <w:sz w:val="14"/>
                <w:szCs w:val="14"/>
                <w:color w:val="auto"/>
              </w:rPr>
              <w:t>21.0 %</w:t>
            </w:r>
          </w:p>
        </w:tc>
        <w:tc>
          <w:tcPr>
            <w:tcW w:w="1300" w:type="dxa"/>
            <w:vAlign w:val="bottom"/>
          </w:tcPr>
          <w:p>
            <w:pPr>
              <w:jc w:val="right"/>
              <w:spacing w:after="0"/>
              <w:rPr>
                <w:sz w:val="20"/>
                <w:szCs w:val="20"/>
                <w:color w:val="auto"/>
              </w:rPr>
            </w:pPr>
            <w:r>
              <w:rPr>
                <w:rFonts w:ascii="Arial" w:cs="Arial" w:eastAsia="Arial" w:hAnsi="Arial"/>
                <w:sz w:val="14"/>
                <w:szCs w:val="14"/>
                <w:color w:val="auto"/>
              </w:rPr>
              <w:t>21.0 %</w:t>
            </w:r>
          </w:p>
        </w:tc>
      </w:tr>
      <w:tr>
        <w:trPr>
          <w:trHeight w:val="203"/>
        </w:trPr>
        <w:tc>
          <w:tcPr>
            <w:tcW w:w="6400" w:type="dxa"/>
            <w:vAlign w:val="bottom"/>
          </w:tcPr>
          <w:p>
            <w:pPr>
              <w:ind w:left="20"/>
              <w:spacing w:after="0"/>
              <w:rPr>
                <w:sz w:val="20"/>
                <w:szCs w:val="20"/>
                <w:color w:val="auto"/>
              </w:rPr>
            </w:pPr>
            <w:r>
              <w:rPr>
                <w:rFonts w:ascii="Arial" w:cs="Arial" w:eastAsia="Arial" w:hAnsi="Arial"/>
                <w:sz w:val="14"/>
                <w:szCs w:val="14"/>
                <w:color w:val="auto"/>
              </w:rPr>
              <w:t>State income taxes, net of federal benefits</w:t>
            </w:r>
          </w:p>
        </w:tc>
        <w:tc>
          <w:tcPr>
            <w:tcW w:w="1040" w:type="dxa"/>
            <w:vAlign w:val="bottom"/>
            <w:shd w:val="clear" w:color="auto" w:fill="E0E3F1"/>
          </w:tcPr>
          <w:p>
            <w:pPr>
              <w:spacing w:after="0"/>
              <w:rPr>
                <w:sz w:val="17"/>
                <w:szCs w:val="17"/>
                <w:color w:val="auto"/>
              </w:rPr>
            </w:pPr>
          </w:p>
        </w:tc>
        <w:tc>
          <w:tcPr>
            <w:tcW w:w="420" w:type="dxa"/>
            <w:vAlign w:val="bottom"/>
            <w:shd w:val="clear" w:color="auto" w:fill="E0E3F1"/>
          </w:tcPr>
          <w:p>
            <w:pPr>
              <w:jc w:val="right"/>
              <w:spacing w:after="0"/>
              <w:rPr>
                <w:sz w:val="20"/>
                <w:szCs w:val="20"/>
                <w:color w:val="auto"/>
              </w:rPr>
            </w:pPr>
            <w:r>
              <w:rPr>
                <w:rFonts w:ascii="Arial" w:cs="Arial" w:eastAsia="Arial" w:hAnsi="Arial"/>
                <w:sz w:val="14"/>
                <w:szCs w:val="14"/>
                <w:color w:val="auto"/>
              </w:rPr>
              <w:t>0.7</w:t>
            </w:r>
          </w:p>
        </w:tc>
        <w:tc>
          <w:tcPr>
            <w:tcW w:w="140" w:type="dxa"/>
            <w:vAlign w:val="bottom"/>
            <w:shd w:val="clear" w:color="auto" w:fill="E0E3F1"/>
          </w:tcPr>
          <w:p>
            <w:pPr>
              <w:spacing w:after="0"/>
              <w:rPr>
                <w:sz w:val="17"/>
                <w:szCs w:val="17"/>
                <w:color w:val="auto"/>
              </w:rPr>
            </w:pPr>
          </w:p>
        </w:tc>
        <w:tc>
          <w:tcPr>
            <w:tcW w:w="1900" w:type="dxa"/>
            <w:vAlign w:val="bottom"/>
          </w:tcPr>
          <w:p>
            <w:pPr>
              <w:jc w:val="right"/>
              <w:ind w:right="428"/>
              <w:spacing w:after="0"/>
              <w:rPr>
                <w:sz w:val="20"/>
                <w:szCs w:val="20"/>
                <w:color w:val="auto"/>
              </w:rPr>
            </w:pPr>
            <w:r>
              <w:rPr>
                <w:rFonts w:ascii="Arial" w:cs="Arial" w:eastAsia="Arial" w:hAnsi="Arial"/>
                <w:sz w:val="14"/>
                <w:szCs w:val="14"/>
                <w:color w:val="auto"/>
              </w:rPr>
              <w:t>0.9</w:t>
            </w:r>
          </w:p>
        </w:tc>
        <w:tc>
          <w:tcPr>
            <w:tcW w:w="1300" w:type="dxa"/>
            <w:vAlign w:val="bottom"/>
          </w:tcPr>
          <w:p>
            <w:pPr>
              <w:jc w:val="right"/>
              <w:ind w:right="108"/>
              <w:spacing w:after="0"/>
              <w:rPr>
                <w:sz w:val="20"/>
                <w:szCs w:val="20"/>
                <w:color w:val="auto"/>
              </w:rPr>
            </w:pPr>
            <w:r>
              <w:rPr>
                <w:rFonts w:ascii="Arial" w:cs="Arial" w:eastAsia="Arial" w:hAnsi="Arial"/>
                <w:sz w:val="14"/>
                <w:szCs w:val="14"/>
                <w:color w:val="auto"/>
              </w:rPr>
              <w:t>1.9</w:t>
            </w:r>
          </w:p>
        </w:tc>
      </w:tr>
      <w:tr>
        <w:trPr>
          <w:trHeight w:val="203"/>
        </w:trPr>
        <w:tc>
          <w:tcPr>
            <w:tcW w:w="6400" w:type="dxa"/>
            <w:vAlign w:val="bottom"/>
          </w:tcPr>
          <w:p>
            <w:pPr>
              <w:ind w:left="20"/>
              <w:spacing w:after="0"/>
              <w:rPr>
                <w:sz w:val="20"/>
                <w:szCs w:val="20"/>
                <w:color w:val="auto"/>
              </w:rPr>
            </w:pPr>
            <w:r>
              <w:rPr>
                <w:rFonts w:ascii="Arial" w:cs="Arial" w:eastAsia="Arial" w:hAnsi="Arial"/>
                <w:sz w:val="14"/>
                <w:szCs w:val="14"/>
                <w:color w:val="auto"/>
              </w:rPr>
              <w:t>International tax at different effective rates</w:t>
            </w:r>
          </w:p>
        </w:tc>
        <w:tc>
          <w:tcPr>
            <w:tcW w:w="1040" w:type="dxa"/>
            <w:vAlign w:val="bottom"/>
            <w:shd w:val="clear" w:color="auto" w:fill="E0E3F1"/>
          </w:tcPr>
          <w:p>
            <w:pPr>
              <w:spacing w:after="0"/>
              <w:rPr>
                <w:sz w:val="17"/>
                <w:szCs w:val="17"/>
                <w:color w:val="auto"/>
              </w:rPr>
            </w:pPr>
          </w:p>
        </w:tc>
        <w:tc>
          <w:tcPr>
            <w:tcW w:w="420" w:type="dxa"/>
            <w:vAlign w:val="bottom"/>
            <w:shd w:val="clear" w:color="auto" w:fill="E0E3F1"/>
          </w:tcPr>
          <w:p>
            <w:pPr>
              <w:jc w:val="right"/>
              <w:spacing w:after="0"/>
              <w:rPr>
                <w:sz w:val="20"/>
                <w:szCs w:val="20"/>
                <w:color w:val="auto"/>
              </w:rPr>
            </w:pPr>
            <w:r>
              <w:rPr>
                <w:rFonts w:ascii="Arial" w:cs="Arial" w:eastAsia="Arial" w:hAnsi="Arial"/>
                <w:sz w:val="14"/>
                <w:szCs w:val="14"/>
                <w:color w:val="auto"/>
              </w:rPr>
              <w:t>0.7</w:t>
            </w:r>
          </w:p>
        </w:tc>
        <w:tc>
          <w:tcPr>
            <w:tcW w:w="140" w:type="dxa"/>
            <w:vAlign w:val="bottom"/>
            <w:shd w:val="clear" w:color="auto" w:fill="E0E3F1"/>
          </w:tcPr>
          <w:p>
            <w:pPr>
              <w:spacing w:after="0"/>
              <w:rPr>
                <w:sz w:val="17"/>
                <w:szCs w:val="17"/>
                <w:color w:val="auto"/>
              </w:rPr>
            </w:pPr>
          </w:p>
        </w:tc>
        <w:tc>
          <w:tcPr>
            <w:tcW w:w="1900" w:type="dxa"/>
            <w:vAlign w:val="bottom"/>
          </w:tcPr>
          <w:p>
            <w:pPr>
              <w:jc w:val="right"/>
              <w:ind w:right="428"/>
              <w:spacing w:after="0"/>
              <w:rPr>
                <w:sz w:val="20"/>
                <w:szCs w:val="20"/>
                <w:color w:val="auto"/>
              </w:rPr>
            </w:pPr>
            <w:r>
              <w:rPr>
                <w:rFonts w:ascii="Arial" w:cs="Arial" w:eastAsia="Arial" w:hAnsi="Arial"/>
                <w:sz w:val="14"/>
                <w:szCs w:val="14"/>
                <w:color w:val="auto"/>
              </w:rPr>
              <w:t>0.6</w:t>
            </w:r>
          </w:p>
        </w:tc>
        <w:tc>
          <w:tcPr>
            <w:tcW w:w="1300" w:type="dxa"/>
            <w:vAlign w:val="bottom"/>
          </w:tcPr>
          <w:p>
            <w:pPr>
              <w:jc w:val="right"/>
              <w:ind w:right="108"/>
              <w:spacing w:after="0"/>
              <w:rPr>
                <w:sz w:val="20"/>
                <w:szCs w:val="20"/>
                <w:color w:val="auto"/>
              </w:rPr>
            </w:pPr>
            <w:r>
              <w:rPr>
                <w:rFonts w:ascii="Arial" w:cs="Arial" w:eastAsia="Arial" w:hAnsi="Arial"/>
                <w:sz w:val="14"/>
                <w:szCs w:val="14"/>
                <w:color w:val="auto"/>
              </w:rPr>
              <w:t>0.3</w:t>
            </w:r>
          </w:p>
        </w:tc>
      </w:tr>
      <w:tr>
        <w:trPr>
          <w:trHeight w:val="203"/>
        </w:trPr>
        <w:tc>
          <w:tcPr>
            <w:tcW w:w="6400" w:type="dxa"/>
            <w:vAlign w:val="bottom"/>
          </w:tcPr>
          <w:p>
            <w:pPr>
              <w:ind w:left="20"/>
              <w:spacing w:after="0"/>
              <w:rPr>
                <w:sz w:val="20"/>
                <w:szCs w:val="20"/>
                <w:color w:val="auto"/>
              </w:rPr>
            </w:pPr>
            <w:r>
              <w:rPr>
                <w:rFonts w:ascii="Arial" w:cs="Arial" w:eastAsia="Arial" w:hAnsi="Arial"/>
                <w:sz w:val="14"/>
                <w:szCs w:val="14"/>
                <w:color w:val="auto"/>
              </w:rPr>
              <w:t>U.S. tax on remitted and unremitted earnings</w:t>
            </w:r>
          </w:p>
        </w:tc>
        <w:tc>
          <w:tcPr>
            <w:tcW w:w="1040" w:type="dxa"/>
            <w:vAlign w:val="bottom"/>
            <w:shd w:val="clear" w:color="auto" w:fill="E0E3F1"/>
          </w:tcPr>
          <w:p>
            <w:pPr>
              <w:spacing w:after="0"/>
              <w:rPr>
                <w:sz w:val="17"/>
                <w:szCs w:val="17"/>
                <w:color w:val="auto"/>
              </w:rPr>
            </w:pPr>
          </w:p>
        </w:tc>
        <w:tc>
          <w:tcPr>
            <w:tcW w:w="420" w:type="dxa"/>
            <w:vAlign w:val="bottom"/>
            <w:shd w:val="clear" w:color="auto" w:fill="E0E3F1"/>
          </w:tcPr>
          <w:p>
            <w:pPr>
              <w:jc w:val="right"/>
              <w:spacing w:after="0"/>
              <w:rPr>
                <w:sz w:val="20"/>
                <w:szCs w:val="20"/>
                <w:color w:val="auto"/>
              </w:rPr>
            </w:pPr>
            <w:r>
              <w:rPr>
                <w:rFonts w:ascii="Arial" w:cs="Arial" w:eastAsia="Arial" w:hAnsi="Arial"/>
                <w:sz w:val="14"/>
                <w:szCs w:val="14"/>
                <w:color w:val="auto"/>
              </w:rPr>
              <w:t>2.1</w:t>
            </w:r>
          </w:p>
        </w:tc>
        <w:tc>
          <w:tcPr>
            <w:tcW w:w="140" w:type="dxa"/>
            <w:vAlign w:val="bottom"/>
            <w:shd w:val="clear" w:color="auto" w:fill="E0E3F1"/>
          </w:tcPr>
          <w:p>
            <w:pPr>
              <w:spacing w:after="0"/>
              <w:rPr>
                <w:sz w:val="17"/>
                <w:szCs w:val="17"/>
                <w:color w:val="auto"/>
              </w:rPr>
            </w:pPr>
          </w:p>
        </w:tc>
        <w:tc>
          <w:tcPr>
            <w:tcW w:w="1900" w:type="dxa"/>
            <w:vAlign w:val="bottom"/>
          </w:tcPr>
          <w:p>
            <w:pPr>
              <w:jc w:val="right"/>
              <w:ind w:right="428"/>
              <w:spacing w:after="0"/>
              <w:rPr>
                <w:sz w:val="20"/>
                <w:szCs w:val="20"/>
                <w:color w:val="auto"/>
              </w:rPr>
            </w:pPr>
            <w:r>
              <w:rPr>
                <w:rFonts w:ascii="Arial" w:cs="Arial" w:eastAsia="Arial" w:hAnsi="Arial"/>
                <w:sz w:val="14"/>
                <w:szCs w:val="14"/>
                <w:color w:val="auto"/>
              </w:rPr>
              <w:t>1.8</w:t>
            </w:r>
          </w:p>
        </w:tc>
        <w:tc>
          <w:tcPr>
            <w:tcW w:w="1300" w:type="dxa"/>
            <w:vAlign w:val="bottom"/>
          </w:tcPr>
          <w:p>
            <w:pPr>
              <w:jc w:val="right"/>
              <w:ind w:right="108"/>
              <w:spacing w:after="0"/>
              <w:rPr>
                <w:sz w:val="20"/>
                <w:szCs w:val="20"/>
                <w:color w:val="auto"/>
              </w:rPr>
            </w:pPr>
            <w:r>
              <w:rPr>
                <w:rFonts w:ascii="Arial" w:cs="Arial" w:eastAsia="Arial" w:hAnsi="Arial"/>
                <w:sz w:val="14"/>
                <w:szCs w:val="14"/>
                <w:color w:val="auto"/>
              </w:rPr>
              <w:t>0.9</w:t>
            </w:r>
          </w:p>
        </w:tc>
      </w:tr>
      <w:tr>
        <w:trPr>
          <w:trHeight w:val="203"/>
        </w:trPr>
        <w:tc>
          <w:tcPr>
            <w:tcW w:w="6400" w:type="dxa"/>
            <w:vAlign w:val="bottom"/>
          </w:tcPr>
          <w:p>
            <w:pPr>
              <w:ind w:left="20"/>
              <w:spacing w:after="0"/>
              <w:rPr>
                <w:sz w:val="20"/>
                <w:szCs w:val="20"/>
                <w:color w:val="auto"/>
              </w:rPr>
            </w:pPr>
            <w:r>
              <w:rPr>
                <w:rFonts w:ascii="Arial" w:cs="Arial" w:eastAsia="Arial" w:hAnsi="Arial"/>
                <w:sz w:val="14"/>
                <w:szCs w:val="14"/>
                <w:color w:val="auto"/>
              </w:rPr>
              <w:t>Changes in prior year tax contingencies</w:t>
            </w:r>
          </w:p>
        </w:tc>
        <w:tc>
          <w:tcPr>
            <w:tcW w:w="1040" w:type="dxa"/>
            <w:vAlign w:val="bottom"/>
            <w:shd w:val="clear" w:color="auto" w:fill="E0E3F1"/>
          </w:tcPr>
          <w:p>
            <w:pPr>
              <w:spacing w:after="0"/>
              <w:rPr>
                <w:sz w:val="17"/>
                <w:szCs w:val="17"/>
                <w:color w:val="auto"/>
              </w:rPr>
            </w:pPr>
          </w:p>
        </w:tc>
        <w:tc>
          <w:tcPr>
            <w:tcW w:w="420" w:type="dxa"/>
            <w:vAlign w:val="bottom"/>
            <w:shd w:val="clear" w:color="auto" w:fill="E0E3F1"/>
          </w:tcPr>
          <w:p>
            <w:pPr>
              <w:jc w:val="right"/>
              <w:spacing w:after="0"/>
              <w:rPr>
                <w:sz w:val="20"/>
                <w:szCs w:val="20"/>
                <w:color w:val="auto"/>
              </w:rPr>
            </w:pPr>
            <w:r>
              <w:rPr>
                <w:rFonts w:ascii="Arial" w:cs="Arial" w:eastAsia="Arial" w:hAnsi="Arial"/>
                <w:sz w:val="14"/>
                <w:szCs w:val="14"/>
                <w:color w:val="auto"/>
              </w:rPr>
              <w:t>(1.1)</w:t>
            </w:r>
          </w:p>
        </w:tc>
        <w:tc>
          <w:tcPr>
            <w:tcW w:w="140" w:type="dxa"/>
            <w:vAlign w:val="bottom"/>
            <w:shd w:val="clear" w:color="auto" w:fill="E0E3F1"/>
          </w:tcPr>
          <w:p>
            <w:pPr>
              <w:spacing w:after="0"/>
              <w:rPr>
                <w:sz w:val="17"/>
                <w:szCs w:val="17"/>
                <w:color w:val="auto"/>
              </w:rPr>
            </w:pPr>
          </w:p>
        </w:tc>
        <w:tc>
          <w:tcPr>
            <w:tcW w:w="1900" w:type="dxa"/>
            <w:vAlign w:val="bottom"/>
          </w:tcPr>
          <w:p>
            <w:pPr>
              <w:jc w:val="right"/>
              <w:ind w:right="388"/>
              <w:spacing w:after="0"/>
              <w:rPr>
                <w:sz w:val="20"/>
                <w:szCs w:val="20"/>
                <w:color w:val="auto"/>
              </w:rPr>
            </w:pPr>
            <w:r>
              <w:rPr>
                <w:rFonts w:ascii="Arial" w:cs="Arial" w:eastAsia="Arial" w:hAnsi="Arial"/>
                <w:sz w:val="14"/>
                <w:szCs w:val="14"/>
                <w:color w:val="auto"/>
              </w:rPr>
              <w:t>(1.4)</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(0.8)</w:t>
            </w:r>
          </w:p>
        </w:tc>
      </w:tr>
      <w:tr>
        <w:trPr>
          <w:trHeight w:val="203"/>
        </w:trPr>
        <w:tc>
          <w:tcPr>
            <w:tcW w:w="6400" w:type="dxa"/>
            <w:vAlign w:val="bottom"/>
          </w:tcPr>
          <w:p>
            <w:pPr>
              <w:ind w:left="20"/>
              <w:spacing w:after="0"/>
              <w:rPr>
                <w:sz w:val="20"/>
                <w:szCs w:val="20"/>
                <w:color w:val="auto"/>
              </w:rPr>
            </w:pPr>
            <w:r>
              <w:rPr>
                <w:rFonts w:ascii="Arial" w:cs="Arial" w:eastAsia="Arial" w:hAnsi="Arial"/>
                <w:sz w:val="14"/>
                <w:szCs w:val="14"/>
                <w:color w:val="auto"/>
              </w:rPr>
              <w:t>Legal entity reorganization</w:t>
            </w:r>
          </w:p>
        </w:tc>
        <w:tc>
          <w:tcPr>
            <w:tcW w:w="1040" w:type="dxa"/>
            <w:vAlign w:val="bottom"/>
            <w:shd w:val="clear" w:color="auto" w:fill="E0E3F1"/>
          </w:tcPr>
          <w:p>
            <w:pPr>
              <w:spacing w:after="0"/>
              <w:rPr>
                <w:sz w:val="17"/>
                <w:szCs w:val="17"/>
                <w:color w:val="auto"/>
              </w:rPr>
            </w:pPr>
          </w:p>
        </w:tc>
        <w:tc>
          <w:tcPr>
            <w:tcW w:w="420" w:type="dxa"/>
            <w:vAlign w:val="bottom"/>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E0E3F1"/>
          </w:tcPr>
          <w:p>
            <w:pPr>
              <w:spacing w:after="0"/>
              <w:rPr>
                <w:sz w:val="17"/>
                <w:szCs w:val="17"/>
                <w:color w:val="auto"/>
              </w:rPr>
            </w:pPr>
          </w:p>
        </w:tc>
        <w:tc>
          <w:tcPr>
            <w:tcW w:w="1900" w:type="dxa"/>
            <w:vAlign w:val="bottom"/>
          </w:tcPr>
          <w:p>
            <w:pPr>
              <w:jc w:val="right"/>
              <w:ind w:right="388"/>
              <w:spacing w:after="0"/>
              <w:rPr>
                <w:sz w:val="20"/>
                <w:szCs w:val="20"/>
                <w:color w:val="auto"/>
              </w:rPr>
            </w:pPr>
            <w:r>
              <w:rPr>
                <w:rFonts w:ascii="Arial" w:cs="Arial" w:eastAsia="Arial" w:hAnsi="Arial"/>
                <w:sz w:val="14"/>
                <w:szCs w:val="14"/>
                <w:color w:val="auto"/>
              </w:rPr>
              <w:t>(2.3)</w:t>
            </w:r>
          </w:p>
        </w:tc>
        <w:tc>
          <w:tcPr>
            <w:tcW w:w="130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203"/>
        </w:trPr>
        <w:tc>
          <w:tcPr>
            <w:tcW w:w="6400" w:type="dxa"/>
            <w:vAlign w:val="bottom"/>
          </w:tcPr>
          <w:p>
            <w:pPr>
              <w:ind w:left="20"/>
              <w:spacing w:after="0"/>
              <w:rPr>
                <w:sz w:val="20"/>
                <w:szCs w:val="20"/>
                <w:color w:val="auto"/>
              </w:rPr>
            </w:pPr>
            <w:r>
              <w:rPr>
                <w:rFonts w:ascii="Arial" w:cs="Arial" w:eastAsia="Arial" w:hAnsi="Arial"/>
                <w:sz w:val="14"/>
                <w:szCs w:val="14"/>
                <w:color w:val="auto"/>
              </w:rPr>
              <w:t>Valuation allowances</w:t>
            </w:r>
          </w:p>
        </w:tc>
        <w:tc>
          <w:tcPr>
            <w:tcW w:w="1040" w:type="dxa"/>
            <w:vAlign w:val="bottom"/>
            <w:shd w:val="clear" w:color="auto" w:fill="E0E3F1"/>
          </w:tcPr>
          <w:p>
            <w:pPr>
              <w:spacing w:after="0"/>
              <w:rPr>
                <w:sz w:val="17"/>
                <w:szCs w:val="17"/>
                <w:color w:val="auto"/>
              </w:rPr>
            </w:pPr>
          </w:p>
        </w:tc>
        <w:tc>
          <w:tcPr>
            <w:tcW w:w="420" w:type="dxa"/>
            <w:vAlign w:val="bottom"/>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E0E3F1"/>
          </w:tcPr>
          <w:p>
            <w:pPr>
              <w:spacing w:after="0"/>
              <w:rPr>
                <w:sz w:val="17"/>
                <w:szCs w:val="17"/>
                <w:color w:val="auto"/>
              </w:rPr>
            </w:pPr>
          </w:p>
        </w:tc>
        <w:tc>
          <w:tcPr>
            <w:tcW w:w="1900" w:type="dxa"/>
            <w:vAlign w:val="bottom"/>
          </w:tcPr>
          <w:p>
            <w:pPr>
              <w:jc w:val="right"/>
              <w:ind w:right="428"/>
              <w:spacing w:after="0"/>
              <w:rPr>
                <w:sz w:val="20"/>
                <w:szCs w:val="20"/>
                <w:color w:val="auto"/>
              </w:rPr>
            </w:pPr>
            <w:r>
              <w:rPr>
                <w:rFonts w:ascii="Arial" w:cs="Arial" w:eastAsia="Arial" w:hAnsi="Arial"/>
                <w:sz w:val="14"/>
                <w:szCs w:val="14"/>
                <w:color w:val="auto"/>
              </w:rPr>
              <w:t>0.7</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(0.4)</w:t>
            </w:r>
          </w:p>
        </w:tc>
      </w:tr>
      <w:tr>
        <w:trPr>
          <w:trHeight w:val="203"/>
        </w:trPr>
        <w:tc>
          <w:tcPr>
            <w:tcW w:w="6400" w:type="dxa"/>
            <w:vAlign w:val="bottom"/>
          </w:tcPr>
          <w:p>
            <w:pPr>
              <w:ind w:left="20"/>
              <w:spacing w:after="0"/>
              <w:rPr>
                <w:sz w:val="20"/>
                <w:szCs w:val="20"/>
                <w:color w:val="auto"/>
              </w:rPr>
            </w:pPr>
            <w:r>
              <w:rPr>
                <w:rFonts w:ascii="Arial" w:cs="Arial" w:eastAsia="Arial" w:hAnsi="Arial"/>
                <w:sz w:val="14"/>
                <w:szCs w:val="14"/>
                <w:color w:val="auto"/>
              </w:rPr>
              <w:t>U.S. research credits</w:t>
            </w:r>
          </w:p>
        </w:tc>
        <w:tc>
          <w:tcPr>
            <w:tcW w:w="1040" w:type="dxa"/>
            <w:vAlign w:val="bottom"/>
            <w:shd w:val="clear" w:color="auto" w:fill="E0E3F1"/>
          </w:tcPr>
          <w:p>
            <w:pPr>
              <w:spacing w:after="0"/>
              <w:rPr>
                <w:sz w:val="17"/>
                <w:szCs w:val="17"/>
                <w:color w:val="auto"/>
              </w:rPr>
            </w:pPr>
          </w:p>
        </w:tc>
        <w:tc>
          <w:tcPr>
            <w:tcW w:w="420" w:type="dxa"/>
            <w:vAlign w:val="bottom"/>
            <w:shd w:val="clear" w:color="auto" w:fill="E0E3F1"/>
          </w:tcPr>
          <w:p>
            <w:pPr>
              <w:jc w:val="right"/>
              <w:spacing w:after="0"/>
              <w:rPr>
                <w:sz w:val="20"/>
                <w:szCs w:val="20"/>
                <w:color w:val="auto"/>
              </w:rPr>
            </w:pPr>
            <w:r>
              <w:rPr>
                <w:rFonts w:ascii="Arial" w:cs="Arial" w:eastAsia="Arial" w:hAnsi="Arial"/>
                <w:sz w:val="14"/>
                <w:szCs w:val="14"/>
                <w:color w:val="auto"/>
              </w:rPr>
              <w:t>(1.4)</w:t>
            </w:r>
          </w:p>
        </w:tc>
        <w:tc>
          <w:tcPr>
            <w:tcW w:w="140" w:type="dxa"/>
            <w:vAlign w:val="bottom"/>
            <w:shd w:val="clear" w:color="auto" w:fill="E0E3F1"/>
          </w:tcPr>
          <w:p>
            <w:pPr>
              <w:spacing w:after="0"/>
              <w:rPr>
                <w:sz w:val="17"/>
                <w:szCs w:val="17"/>
                <w:color w:val="auto"/>
              </w:rPr>
            </w:pPr>
          </w:p>
        </w:tc>
        <w:tc>
          <w:tcPr>
            <w:tcW w:w="1900" w:type="dxa"/>
            <w:vAlign w:val="bottom"/>
          </w:tcPr>
          <w:p>
            <w:pPr>
              <w:jc w:val="right"/>
              <w:ind w:right="388"/>
              <w:spacing w:after="0"/>
              <w:rPr>
                <w:sz w:val="20"/>
                <w:szCs w:val="20"/>
                <w:color w:val="auto"/>
              </w:rPr>
            </w:pPr>
            <w:r>
              <w:rPr>
                <w:rFonts w:ascii="Arial" w:cs="Arial" w:eastAsia="Arial" w:hAnsi="Arial"/>
                <w:sz w:val="14"/>
                <w:szCs w:val="14"/>
                <w:color w:val="auto"/>
              </w:rPr>
              <w:t>(1.3)</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(1.5)</w:t>
            </w:r>
          </w:p>
        </w:tc>
      </w:tr>
      <w:tr>
        <w:trPr>
          <w:trHeight w:val="207"/>
        </w:trPr>
        <w:tc>
          <w:tcPr>
            <w:tcW w:w="640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Other, net</w:t>
            </w:r>
          </w:p>
        </w:tc>
        <w:tc>
          <w:tcPr>
            <w:tcW w:w="1040" w:type="dxa"/>
            <w:vAlign w:val="bottom"/>
            <w:tcBorders>
              <w:bottom w:val="single" w:sz="8" w:color="00539B"/>
            </w:tcBorders>
            <w:shd w:val="clear" w:color="auto" w:fill="E0E3F1"/>
          </w:tcPr>
          <w:p>
            <w:pPr>
              <w:spacing w:after="0"/>
              <w:rPr>
                <w:sz w:val="17"/>
                <w:szCs w:val="17"/>
                <w:color w:val="auto"/>
              </w:rPr>
            </w:pPr>
          </w:p>
        </w:tc>
        <w:tc>
          <w:tcPr>
            <w:tcW w:w="42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(0.6)</w:t>
            </w:r>
          </w:p>
        </w:tc>
        <w:tc>
          <w:tcPr>
            <w:tcW w:w="140" w:type="dxa"/>
            <w:vAlign w:val="bottom"/>
            <w:tcBorders>
              <w:bottom w:val="single" w:sz="8" w:color="00539B"/>
            </w:tcBorders>
            <w:shd w:val="clear" w:color="auto" w:fill="E0E3F1"/>
          </w:tcPr>
          <w:p>
            <w:pPr>
              <w:spacing w:after="0"/>
              <w:rPr>
                <w:sz w:val="17"/>
                <w:szCs w:val="17"/>
                <w:color w:val="auto"/>
              </w:rPr>
            </w:pPr>
          </w:p>
        </w:tc>
        <w:tc>
          <w:tcPr>
            <w:tcW w:w="1900" w:type="dxa"/>
            <w:vAlign w:val="bottom"/>
            <w:tcBorders>
              <w:bottom w:val="single" w:sz="8" w:color="00539B"/>
            </w:tcBorders>
          </w:tcPr>
          <w:p>
            <w:pPr>
              <w:jc w:val="right"/>
              <w:ind w:right="428"/>
              <w:spacing w:after="0"/>
              <w:rPr>
                <w:sz w:val="20"/>
                <w:szCs w:val="20"/>
                <w:color w:val="auto"/>
              </w:rPr>
            </w:pPr>
            <w:r>
              <w:rPr>
                <w:rFonts w:ascii="Arial" w:cs="Arial" w:eastAsia="Arial" w:hAnsi="Arial"/>
                <w:sz w:val="14"/>
                <w:szCs w:val="14"/>
                <w:color w:val="auto"/>
              </w:rPr>
              <w:t>0.5</w:t>
            </w:r>
          </w:p>
        </w:tc>
        <w:tc>
          <w:tcPr>
            <w:tcW w:w="1300" w:type="dxa"/>
            <w:vAlign w:val="bottom"/>
            <w:tcBorders>
              <w:bottom w:val="single" w:sz="8" w:color="00539B"/>
            </w:tcBorders>
          </w:tcPr>
          <w:p>
            <w:pPr>
              <w:jc w:val="right"/>
              <w:ind w:right="108"/>
              <w:spacing w:after="0"/>
              <w:rPr>
                <w:sz w:val="20"/>
                <w:szCs w:val="20"/>
                <w:color w:val="auto"/>
              </w:rPr>
            </w:pPr>
            <w:r>
              <w:rPr>
                <w:rFonts w:ascii="Arial" w:cs="Arial" w:eastAsia="Arial" w:hAnsi="Arial"/>
                <w:sz w:val="14"/>
                <w:szCs w:val="14"/>
                <w:color w:val="auto"/>
              </w:rPr>
              <w:t>0.4</w:t>
            </w:r>
          </w:p>
        </w:tc>
      </w:tr>
      <w:tr>
        <w:trPr>
          <w:trHeight w:val="207"/>
        </w:trPr>
        <w:tc>
          <w:tcPr>
            <w:tcW w:w="640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Total</w:t>
            </w:r>
          </w:p>
        </w:tc>
        <w:tc>
          <w:tcPr>
            <w:tcW w:w="1040" w:type="dxa"/>
            <w:vAlign w:val="bottom"/>
            <w:tcBorders>
              <w:bottom w:val="single" w:sz="8" w:color="00539B"/>
            </w:tcBorders>
            <w:shd w:val="clear" w:color="auto" w:fill="E0E3F1"/>
          </w:tcPr>
          <w:p>
            <w:pPr>
              <w:spacing w:after="0"/>
              <w:rPr>
                <w:sz w:val="18"/>
                <w:szCs w:val="18"/>
                <w:color w:val="auto"/>
              </w:rPr>
            </w:pPr>
          </w:p>
        </w:tc>
        <w:tc>
          <w:tcPr>
            <w:tcW w:w="42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21.4</w:t>
            </w:r>
          </w:p>
        </w:tc>
        <w:tc>
          <w:tcPr>
            <w:tcW w:w="14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w w:val="79"/>
              </w:rPr>
              <w:t>%</w:t>
            </w:r>
          </w:p>
        </w:tc>
        <w:tc>
          <w:tcPr>
            <w:tcW w:w="1900" w:type="dxa"/>
            <w:vAlign w:val="bottom"/>
            <w:tcBorders>
              <w:bottom w:val="single" w:sz="8" w:color="00539B"/>
            </w:tcBorders>
          </w:tcPr>
          <w:p>
            <w:pPr>
              <w:jc w:val="right"/>
              <w:ind w:right="248"/>
              <w:spacing w:after="0"/>
              <w:rPr>
                <w:sz w:val="20"/>
                <w:szCs w:val="20"/>
                <w:color w:val="auto"/>
              </w:rPr>
            </w:pPr>
            <w:r>
              <w:rPr>
                <w:rFonts w:ascii="Arial" w:cs="Arial" w:eastAsia="Arial" w:hAnsi="Arial"/>
                <w:sz w:val="14"/>
                <w:szCs w:val="14"/>
                <w:color w:val="auto"/>
              </w:rPr>
              <w:t>20.5 %</w:t>
            </w:r>
          </w:p>
        </w:tc>
        <w:tc>
          <w:tcPr>
            <w:tcW w:w="130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21.8 %</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6" w:right="379" w:bottom="1440" w:gutter="0" w:footer="0" w:header="0"/>
        </w:sectPr>
      </w:pPr>
    </w:p>
    <w:bookmarkStart w:id="76" w:name="page77"/>
    <w:bookmarkEnd w:id="76"/>
    <w:p>
      <w:pPr>
        <w:spacing w:after="0"/>
        <w:rPr>
          <w:sz w:val="20"/>
          <w:szCs w:val="20"/>
          <w:color w:val="auto"/>
        </w:rPr>
      </w:pPr>
      <w:r>
        <w:rPr>
          <w:rFonts w:ascii="Arial" w:cs="Arial" w:eastAsia="Arial" w:hAnsi="Arial"/>
          <w:sz w:val="18"/>
          <w:szCs w:val="18"/>
          <w:color w:val="auto"/>
        </w:rPr>
        <w:t>Deferred tax assets and liabilities are comprised of the following as of November 30:</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820" w:type="dxa"/>
            <w:vAlign w:val="bottom"/>
            <w:tcBorders>
              <w:top w:val="single" w:sz="8" w:color="00539B"/>
              <w:bottom w:val="single" w:sz="8" w:color="00539B"/>
            </w:tcBorders>
          </w:tcPr>
          <w:p>
            <w:pPr>
              <w:ind w:left="20"/>
              <w:spacing w:after="0"/>
              <w:rPr>
                <w:sz w:val="20"/>
                <w:szCs w:val="20"/>
                <w:color w:val="auto"/>
              </w:rPr>
            </w:pPr>
            <w:r>
              <w:rPr>
                <w:rFonts w:ascii="Arial" w:cs="Arial" w:eastAsia="Arial" w:hAnsi="Arial"/>
                <w:sz w:val="14"/>
                <w:szCs w:val="14"/>
                <w:color w:val="auto"/>
              </w:rPr>
              <w:t>(millions)</w:t>
            </w:r>
          </w:p>
        </w:tc>
        <w:tc>
          <w:tcPr>
            <w:tcW w:w="380" w:type="dxa"/>
            <w:vAlign w:val="bottom"/>
            <w:tcBorders>
              <w:top w:val="single" w:sz="8" w:color="00539B"/>
              <w:bottom w:val="single" w:sz="8" w:color="00539B"/>
            </w:tcBorders>
            <w:shd w:val="clear" w:color="auto" w:fill="E0E3F1"/>
          </w:tcPr>
          <w:p>
            <w:pPr>
              <w:spacing w:after="0"/>
              <w:rPr>
                <w:sz w:val="19"/>
                <w:szCs w:val="19"/>
                <w:color w:val="auto"/>
              </w:rPr>
            </w:pPr>
          </w:p>
        </w:tc>
        <w:tc>
          <w:tcPr>
            <w:tcW w:w="1320" w:type="dxa"/>
            <w:vAlign w:val="bottom"/>
            <w:tcBorders>
              <w:top w:val="single" w:sz="8" w:color="00539B"/>
              <w:bottom w:val="single" w:sz="8" w:color="00539B"/>
            </w:tcBorders>
            <w:shd w:val="clear" w:color="auto" w:fill="E0E3F1"/>
          </w:tcPr>
          <w:p>
            <w:pPr>
              <w:jc w:val="right"/>
              <w:ind w:right="628"/>
              <w:spacing w:after="0"/>
              <w:rPr>
                <w:sz w:val="20"/>
                <w:szCs w:val="20"/>
                <w:color w:val="auto"/>
              </w:rPr>
            </w:pPr>
            <w:r>
              <w:rPr>
                <w:rFonts w:ascii="Arial" w:cs="Arial" w:eastAsia="Arial" w:hAnsi="Arial"/>
                <w:sz w:val="14"/>
                <w:szCs w:val="14"/>
                <w:color w:val="auto"/>
              </w:rPr>
              <w:t>2025</w:t>
            </w:r>
          </w:p>
        </w:tc>
        <w:tc>
          <w:tcPr>
            <w:tcW w:w="380" w:type="dxa"/>
            <w:vAlign w:val="bottom"/>
            <w:tcBorders>
              <w:top w:val="single" w:sz="8" w:color="00539B"/>
              <w:bottom w:val="single" w:sz="8" w:color="00539B"/>
            </w:tcBorders>
          </w:tcPr>
          <w:p>
            <w:pPr>
              <w:spacing w:after="0"/>
              <w:rPr>
                <w:sz w:val="19"/>
                <w:szCs w:val="19"/>
                <w:color w:val="auto"/>
              </w:rPr>
            </w:pPr>
          </w:p>
        </w:tc>
        <w:tc>
          <w:tcPr>
            <w:tcW w:w="1320" w:type="dxa"/>
            <w:vAlign w:val="bottom"/>
            <w:tcBorders>
              <w:top w:val="single" w:sz="8" w:color="00539B"/>
              <w:bottom w:val="single" w:sz="8" w:color="00539B"/>
            </w:tcBorders>
          </w:tcPr>
          <w:p>
            <w:pPr>
              <w:jc w:val="right"/>
              <w:ind w:right="628"/>
              <w:spacing w:after="0"/>
              <w:rPr>
                <w:sz w:val="20"/>
                <w:szCs w:val="20"/>
                <w:color w:val="auto"/>
              </w:rPr>
            </w:pPr>
            <w:r>
              <w:rPr>
                <w:rFonts w:ascii="Arial" w:cs="Arial" w:eastAsia="Arial" w:hAnsi="Arial"/>
                <w:sz w:val="14"/>
                <w:szCs w:val="14"/>
                <w:color w:val="auto"/>
              </w:rPr>
              <w:t>2024</w:t>
            </w:r>
          </w:p>
        </w:tc>
      </w:tr>
      <w:tr>
        <w:trPr>
          <w:trHeight w:val="192"/>
        </w:trPr>
        <w:tc>
          <w:tcPr>
            <w:tcW w:w="7820" w:type="dxa"/>
            <w:vAlign w:val="bottom"/>
          </w:tcPr>
          <w:p>
            <w:pPr>
              <w:ind w:left="20"/>
              <w:spacing w:after="0"/>
              <w:rPr>
                <w:sz w:val="20"/>
                <w:szCs w:val="20"/>
                <w:color w:val="auto"/>
              </w:rPr>
            </w:pPr>
            <w:r>
              <w:rPr>
                <w:rFonts w:ascii="Arial" w:cs="Arial" w:eastAsia="Arial" w:hAnsi="Arial"/>
                <w:sz w:val="14"/>
                <w:szCs w:val="14"/>
                <w:color w:val="auto"/>
              </w:rPr>
              <w:t>Deferred tax assets</w:t>
            </w:r>
          </w:p>
        </w:tc>
        <w:tc>
          <w:tcPr>
            <w:tcW w:w="380" w:type="dxa"/>
            <w:vAlign w:val="bottom"/>
            <w:shd w:val="clear" w:color="auto" w:fill="E0E3F1"/>
          </w:tcPr>
          <w:p>
            <w:pPr>
              <w:spacing w:after="0"/>
              <w:rPr>
                <w:sz w:val="16"/>
                <w:szCs w:val="16"/>
                <w:color w:val="auto"/>
              </w:rPr>
            </w:pPr>
          </w:p>
        </w:tc>
        <w:tc>
          <w:tcPr>
            <w:tcW w:w="1320" w:type="dxa"/>
            <w:vAlign w:val="bottom"/>
            <w:shd w:val="clear" w:color="auto" w:fill="E0E3F1"/>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03"/>
        </w:trPr>
        <w:tc>
          <w:tcPr>
            <w:tcW w:w="7820" w:type="dxa"/>
            <w:vAlign w:val="bottom"/>
          </w:tcPr>
          <w:p>
            <w:pPr>
              <w:ind w:left="140"/>
              <w:spacing w:after="0"/>
              <w:rPr>
                <w:sz w:val="20"/>
                <w:szCs w:val="20"/>
                <w:color w:val="auto"/>
              </w:rPr>
            </w:pPr>
            <w:r>
              <w:rPr>
                <w:rFonts w:ascii="Arial" w:cs="Arial" w:eastAsia="Arial" w:hAnsi="Arial"/>
                <w:sz w:val="14"/>
                <w:szCs w:val="14"/>
                <w:color w:val="auto"/>
              </w:rPr>
              <w:t>Employee benefit liabilities</w:t>
            </w:r>
          </w:p>
        </w:tc>
        <w:tc>
          <w:tcPr>
            <w:tcW w:w="380" w:type="dxa"/>
            <w:vAlign w:val="bottom"/>
            <w:shd w:val="clear" w:color="auto" w:fill="E0E3F1"/>
          </w:tcPr>
          <w:p>
            <w:pPr>
              <w:jc w:val="right"/>
              <w:ind w:right="228"/>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E0E3F1"/>
          </w:tcPr>
          <w:p>
            <w:pPr>
              <w:jc w:val="right"/>
              <w:ind w:right="8"/>
              <w:spacing w:after="0"/>
              <w:rPr>
                <w:sz w:val="20"/>
                <w:szCs w:val="20"/>
                <w:color w:val="auto"/>
              </w:rPr>
            </w:pPr>
            <w:r>
              <w:rPr>
                <w:rFonts w:ascii="Arial" w:cs="Arial" w:eastAsia="Arial" w:hAnsi="Arial"/>
                <w:sz w:val="14"/>
                <w:szCs w:val="14"/>
                <w:color w:val="auto"/>
              </w:rPr>
              <w:t>39.4</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48.9</w:t>
            </w:r>
          </w:p>
        </w:tc>
      </w:tr>
      <w:tr>
        <w:trPr>
          <w:trHeight w:val="203"/>
        </w:trPr>
        <w:tc>
          <w:tcPr>
            <w:tcW w:w="7820" w:type="dxa"/>
            <w:vAlign w:val="bottom"/>
          </w:tcPr>
          <w:p>
            <w:pPr>
              <w:ind w:left="140"/>
              <w:spacing w:after="0"/>
              <w:rPr>
                <w:sz w:val="20"/>
                <w:szCs w:val="20"/>
                <w:color w:val="auto"/>
              </w:rPr>
            </w:pPr>
            <w:r>
              <w:rPr>
                <w:rFonts w:ascii="Arial" w:cs="Arial" w:eastAsia="Arial" w:hAnsi="Arial"/>
                <w:sz w:val="14"/>
                <w:szCs w:val="14"/>
                <w:color w:val="auto"/>
              </w:rPr>
              <w:t>Other accrued liabilities</w:t>
            </w:r>
          </w:p>
        </w:tc>
        <w:tc>
          <w:tcPr>
            <w:tcW w:w="380" w:type="dxa"/>
            <w:vAlign w:val="bottom"/>
            <w:shd w:val="clear" w:color="auto" w:fill="E0E3F1"/>
          </w:tcPr>
          <w:p>
            <w:pPr>
              <w:spacing w:after="0"/>
              <w:rPr>
                <w:sz w:val="17"/>
                <w:szCs w:val="17"/>
                <w:color w:val="auto"/>
              </w:rPr>
            </w:pPr>
          </w:p>
        </w:tc>
        <w:tc>
          <w:tcPr>
            <w:tcW w:w="1320" w:type="dxa"/>
            <w:vAlign w:val="bottom"/>
            <w:shd w:val="clear" w:color="auto" w:fill="E0E3F1"/>
          </w:tcPr>
          <w:p>
            <w:pPr>
              <w:jc w:val="right"/>
              <w:ind w:right="8"/>
              <w:spacing w:after="0"/>
              <w:rPr>
                <w:sz w:val="20"/>
                <w:szCs w:val="20"/>
                <w:color w:val="auto"/>
              </w:rPr>
            </w:pPr>
            <w:r>
              <w:rPr>
                <w:rFonts w:ascii="Arial" w:cs="Arial" w:eastAsia="Arial" w:hAnsi="Arial"/>
                <w:sz w:val="14"/>
                <w:szCs w:val="14"/>
                <w:color w:val="auto"/>
              </w:rPr>
              <w:t>37.9</w:t>
            </w:r>
          </w:p>
        </w:tc>
        <w:tc>
          <w:tcPr>
            <w:tcW w:w="38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36.0</w:t>
            </w:r>
          </w:p>
        </w:tc>
      </w:tr>
      <w:tr>
        <w:trPr>
          <w:trHeight w:val="203"/>
        </w:trPr>
        <w:tc>
          <w:tcPr>
            <w:tcW w:w="7820" w:type="dxa"/>
            <w:vAlign w:val="bottom"/>
          </w:tcPr>
          <w:p>
            <w:pPr>
              <w:ind w:left="140"/>
              <w:spacing w:after="0"/>
              <w:rPr>
                <w:sz w:val="20"/>
                <w:szCs w:val="20"/>
                <w:color w:val="auto"/>
              </w:rPr>
            </w:pPr>
            <w:r>
              <w:rPr>
                <w:rFonts w:ascii="Arial" w:cs="Arial" w:eastAsia="Arial" w:hAnsi="Arial"/>
                <w:sz w:val="14"/>
                <w:szCs w:val="14"/>
                <w:color w:val="auto"/>
              </w:rPr>
              <w:t>Inventory</w:t>
            </w:r>
          </w:p>
        </w:tc>
        <w:tc>
          <w:tcPr>
            <w:tcW w:w="380" w:type="dxa"/>
            <w:vAlign w:val="bottom"/>
            <w:shd w:val="clear" w:color="auto" w:fill="E0E3F1"/>
          </w:tcPr>
          <w:p>
            <w:pPr>
              <w:spacing w:after="0"/>
              <w:rPr>
                <w:sz w:val="17"/>
                <w:szCs w:val="17"/>
                <w:color w:val="auto"/>
              </w:rPr>
            </w:pPr>
          </w:p>
        </w:tc>
        <w:tc>
          <w:tcPr>
            <w:tcW w:w="1320" w:type="dxa"/>
            <w:vAlign w:val="bottom"/>
            <w:shd w:val="clear" w:color="auto" w:fill="E0E3F1"/>
          </w:tcPr>
          <w:p>
            <w:pPr>
              <w:jc w:val="right"/>
              <w:ind w:right="8"/>
              <w:spacing w:after="0"/>
              <w:rPr>
                <w:sz w:val="20"/>
                <w:szCs w:val="20"/>
                <w:color w:val="auto"/>
              </w:rPr>
            </w:pPr>
            <w:r>
              <w:rPr>
                <w:rFonts w:ascii="Arial" w:cs="Arial" w:eastAsia="Arial" w:hAnsi="Arial"/>
                <w:sz w:val="14"/>
                <w:szCs w:val="14"/>
                <w:color w:val="auto"/>
              </w:rPr>
              <w:t>17.9</w:t>
            </w:r>
          </w:p>
        </w:tc>
        <w:tc>
          <w:tcPr>
            <w:tcW w:w="38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18.3</w:t>
            </w:r>
          </w:p>
        </w:tc>
      </w:tr>
      <w:tr>
        <w:trPr>
          <w:trHeight w:val="203"/>
        </w:trPr>
        <w:tc>
          <w:tcPr>
            <w:tcW w:w="7820" w:type="dxa"/>
            <w:vAlign w:val="bottom"/>
          </w:tcPr>
          <w:p>
            <w:pPr>
              <w:ind w:left="140"/>
              <w:spacing w:after="0"/>
              <w:rPr>
                <w:sz w:val="20"/>
                <w:szCs w:val="20"/>
                <w:color w:val="auto"/>
              </w:rPr>
            </w:pPr>
            <w:r>
              <w:rPr>
                <w:rFonts w:ascii="Arial" w:cs="Arial" w:eastAsia="Arial" w:hAnsi="Arial"/>
                <w:sz w:val="14"/>
                <w:szCs w:val="14"/>
                <w:color w:val="auto"/>
              </w:rPr>
              <w:t>Tax loss and credit carryforwards</w:t>
            </w:r>
          </w:p>
        </w:tc>
        <w:tc>
          <w:tcPr>
            <w:tcW w:w="380" w:type="dxa"/>
            <w:vAlign w:val="bottom"/>
            <w:shd w:val="clear" w:color="auto" w:fill="E0E3F1"/>
          </w:tcPr>
          <w:p>
            <w:pPr>
              <w:spacing w:after="0"/>
              <w:rPr>
                <w:sz w:val="17"/>
                <w:szCs w:val="17"/>
                <w:color w:val="auto"/>
              </w:rPr>
            </w:pPr>
          </w:p>
        </w:tc>
        <w:tc>
          <w:tcPr>
            <w:tcW w:w="1320" w:type="dxa"/>
            <w:vAlign w:val="bottom"/>
            <w:shd w:val="clear" w:color="auto" w:fill="E0E3F1"/>
          </w:tcPr>
          <w:p>
            <w:pPr>
              <w:jc w:val="right"/>
              <w:ind w:right="8"/>
              <w:spacing w:after="0"/>
              <w:rPr>
                <w:sz w:val="20"/>
                <w:szCs w:val="20"/>
                <w:color w:val="auto"/>
              </w:rPr>
            </w:pPr>
            <w:r>
              <w:rPr>
                <w:rFonts w:ascii="Arial" w:cs="Arial" w:eastAsia="Arial" w:hAnsi="Arial"/>
                <w:sz w:val="14"/>
                <w:szCs w:val="14"/>
                <w:color w:val="auto"/>
              </w:rPr>
              <w:t>76.4</w:t>
            </w:r>
          </w:p>
        </w:tc>
        <w:tc>
          <w:tcPr>
            <w:tcW w:w="38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69.0</w:t>
            </w:r>
          </w:p>
        </w:tc>
      </w:tr>
      <w:tr>
        <w:trPr>
          <w:trHeight w:val="203"/>
        </w:trPr>
        <w:tc>
          <w:tcPr>
            <w:tcW w:w="7820" w:type="dxa"/>
            <w:vAlign w:val="bottom"/>
          </w:tcPr>
          <w:p>
            <w:pPr>
              <w:ind w:left="140"/>
              <w:spacing w:after="0"/>
              <w:rPr>
                <w:sz w:val="20"/>
                <w:szCs w:val="20"/>
                <w:color w:val="auto"/>
              </w:rPr>
            </w:pPr>
            <w:r>
              <w:rPr>
                <w:rFonts w:ascii="Arial" w:cs="Arial" w:eastAsia="Arial" w:hAnsi="Arial"/>
                <w:sz w:val="14"/>
                <w:szCs w:val="14"/>
                <w:color w:val="auto"/>
              </w:rPr>
              <w:t>Lease liabilities</w:t>
            </w:r>
          </w:p>
        </w:tc>
        <w:tc>
          <w:tcPr>
            <w:tcW w:w="380" w:type="dxa"/>
            <w:vAlign w:val="bottom"/>
            <w:shd w:val="clear" w:color="auto" w:fill="E0E3F1"/>
          </w:tcPr>
          <w:p>
            <w:pPr>
              <w:spacing w:after="0"/>
              <w:rPr>
                <w:sz w:val="17"/>
                <w:szCs w:val="17"/>
                <w:color w:val="auto"/>
              </w:rPr>
            </w:pPr>
          </w:p>
        </w:tc>
        <w:tc>
          <w:tcPr>
            <w:tcW w:w="1320" w:type="dxa"/>
            <w:vAlign w:val="bottom"/>
            <w:shd w:val="clear" w:color="auto" w:fill="E0E3F1"/>
          </w:tcPr>
          <w:p>
            <w:pPr>
              <w:jc w:val="right"/>
              <w:ind w:right="8"/>
              <w:spacing w:after="0"/>
              <w:rPr>
                <w:sz w:val="20"/>
                <w:szCs w:val="20"/>
                <w:color w:val="auto"/>
              </w:rPr>
            </w:pPr>
            <w:r>
              <w:rPr>
                <w:rFonts w:ascii="Arial" w:cs="Arial" w:eastAsia="Arial" w:hAnsi="Arial"/>
                <w:sz w:val="14"/>
                <w:szCs w:val="14"/>
                <w:color w:val="auto"/>
              </w:rPr>
              <w:t>10.9</w:t>
            </w:r>
          </w:p>
        </w:tc>
        <w:tc>
          <w:tcPr>
            <w:tcW w:w="38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10.6</w:t>
            </w:r>
          </w:p>
        </w:tc>
      </w:tr>
      <w:tr>
        <w:trPr>
          <w:trHeight w:val="203"/>
        </w:trPr>
        <w:tc>
          <w:tcPr>
            <w:tcW w:w="7820" w:type="dxa"/>
            <w:vAlign w:val="bottom"/>
          </w:tcPr>
          <w:p>
            <w:pPr>
              <w:ind w:left="140"/>
              <w:spacing w:after="0"/>
              <w:rPr>
                <w:sz w:val="20"/>
                <w:szCs w:val="20"/>
                <w:color w:val="auto"/>
              </w:rPr>
            </w:pPr>
            <w:r>
              <w:rPr>
                <w:rFonts w:ascii="Arial" w:cs="Arial" w:eastAsia="Arial" w:hAnsi="Arial"/>
                <w:sz w:val="14"/>
                <w:szCs w:val="14"/>
                <w:color w:val="auto"/>
              </w:rPr>
              <w:t>Research expenditures</w:t>
            </w:r>
          </w:p>
        </w:tc>
        <w:tc>
          <w:tcPr>
            <w:tcW w:w="380" w:type="dxa"/>
            <w:vAlign w:val="bottom"/>
            <w:shd w:val="clear" w:color="auto" w:fill="E0E3F1"/>
          </w:tcPr>
          <w:p>
            <w:pPr>
              <w:spacing w:after="0"/>
              <w:rPr>
                <w:sz w:val="17"/>
                <w:szCs w:val="17"/>
                <w:color w:val="auto"/>
              </w:rPr>
            </w:pPr>
          </w:p>
        </w:tc>
        <w:tc>
          <w:tcPr>
            <w:tcW w:w="1320" w:type="dxa"/>
            <w:vAlign w:val="bottom"/>
            <w:shd w:val="clear" w:color="auto" w:fill="E0E3F1"/>
          </w:tcPr>
          <w:p>
            <w:pPr>
              <w:jc w:val="right"/>
              <w:ind w:right="8"/>
              <w:spacing w:after="0"/>
              <w:rPr>
                <w:sz w:val="20"/>
                <w:szCs w:val="20"/>
                <w:color w:val="auto"/>
              </w:rPr>
            </w:pPr>
            <w:r>
              <w:rPr>
                <w:rFonts w:ascii="Arial" w:cs="Arial" w:eastAsia="Arial" w:hAnsi="Arial"/>
                <w:sz w:val="14"/>
                <w:szCs w:val="14"/>
                <w:color w:val="auto"/>
              </w:rPr>
              <w:t>86.3</w:t>
            </w:r>
          </w:p>
        </w:tc>
        <w:tc>
          <w:tcPr>
            <w:tcW w:w="38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64.0</w:t>
            </w:r>
          </w:p>
        </w:tc>
      </w:tr>
      <w:tr>
        <w:trPr>
          <w:trHeight w:val="203"/>
        </w:trPr>
        <w:tc>
          <w:tcPr>
            <w:tcW w:w="7820" w:type="dxa"/>
            <w:vAlign w:val="bottom"/>
          </w:tcPr>
          <w:p>
            <w:pPr>
              <w:ind w:left="140"/>
              <w:spacing w:after="0"/>
              <w:rPr>
                <w:sz w:val="20"/>
                <w:szCs w:val="20"/>
                <w:color w:val="auto"/>
              </w:rPr>
            </w:pPr>
            <w:r>
              <w:rPr>
                <w:rFonts w:ascii="Arial" w:cs="Arial" w:eastAsia="Arial" w:hAnsi="Arial"/>
                <w:sz w:val="14"/>
                <w:szCs w:val="14"/>
                <w:color w:val="auto"/>
              </w:rPr>
              <w:t>Other</w:t>
            </w:r>
          </w:p>
        </w:tc>
        <w:tc>
          <w:tcPr>
            <w:tcW w:w="380" w:type="dxa"/>
            <w:vAlign w:val="bottom"/>
            <w:shd w:val="clear" w:color="auto" w:fill="E0E3F1"/>
          </w:tcPr>
          <w:p>
            <w:pPr>
              <w:spacing w:after="0"/>
              <w:rPr>
                <w:sz w:val="17"/>
                <w:szCs w:val="17"/>
                <w:color w:val="auto"/>
              </w:rPr>
            </w:pPr>
          </w:p>
        </w:tc>
        <w:tc>
          <w:tcPr>
            <w:tcW w:w="1320" w:type="dxa"/>
            <w:vAlign w:val="bottom"/>
            <w:shd w:val="clear" w:color="auto" w:fill="E0E3F1"/>
          </w:tcPr>
          <w:p>
            <w:pPr>
              <w:jc w:val="right"/>
              <w:ind w:right="8"/>
              <w:spacing w:after="0"/>
              <w:rPr>
                <w:sz w:val="20"/>
                <w:szCs w:val="20"/>
                <w:color w:val="auto"/>
              </w:rPr>
            </w:pPr>
            <w:r>
              <w:rPr>
                <w:rFonts w:ascii="Arial" w:cs="Arial" w:eastAsia="Arial" w:hAnsi="Arial"/>
                <w:sz w:val="14"/>
                <w:szCs w:val="14"/>
                <w:color w:val="auto"/>
              </w:rPr>
              <w:t>27.8</w:t>
            </w:r>
          </w:p>
        </w:tc>
        <w:tc>
          <w:tcPr>
            <w:tcW w:w="38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28.0</w:t>
            </w:r>
          </w:p>
        </w:tc>
      </w:tr>
      <w:tr>
        <w:trPr>
          <w:trHeight w:val="206"/>
        </w:trPr>
        <w:tc>
          <w:tcPr>
            <w:tcW w:w="7820" w:type="dxa"/>
            <w:vAlign w:val="bottom"/>
            <w:tcBorders>
              <w:bottom w:val="single" w:sz="8" w:color="00539B"/>
            </w:tcBorders>
          </w:tcPr>
          <w:p>
            <w:pPr>
              <w:ind w:left="140"/>
              <w:spacing w:after="0"/>
              <w:rPr>
                <w:sz w:val="20"/>
                <w:szCs w:val="20"/>
                <w:color w:val="auto"/>
              </w:rPr>
            </w:pPr>
            <w:r>
              <w:rPr>
                <w:rFonts w:ascii="Arial" w:cs="Arial" w:eastAsia="Arial" w:hAnsi="Arial"/>
                <w:sz w:val="14"/>
                <w:szCs w:val="14"/>
                <w:color w:val="auto"/>
              </w:rPr>
              <w:t>Valuation allowance</w:t>
            </w:r>
          </w:p>
        </w:tc>
        <w:tc>
          <w:tcPr>
            <w:tcW w:w="380" w:type="dxa"/>
            <w:vAlign w:val="bottom"/>
            <w:tcBorders>
              <w:bottom w:val="single" w:sz="8" w:color="00539B"/>
            </w:tcBorders>
            <w:shd w:val="clear" w:color="auto" w:fill="E0E3F1"/>
          </w:tcPr>
          <w:p>
            <w:pPr>
              <w:spacing w:after="0"/>
              <w:rPr>
                <w:sz w:val="17"/>
                <w:szCs w:val="17"/>
                <w:color w:val="auto"/>
              </w:rPr>
            </w:pPr>
          </w:p>
        </w:tc>
        <w:tc>
          <w:tcPr>
            <w:tcW w:w="132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(41.1)</w:t>
            </w:r>
          </w:p>
        </w:tc>
        <w:tc>
          <w:tcPr>
            <w:tcW w:w="380" w:type="dxa"/>
            <w:vAlign w:val="bottom"/>
            <w:tcBorders>
              <w:bottom w:val="single" w:sz="8" w:color="00539B"/>
            </w:tcBorders>
          </w:tcPr>
          <w:p>
            <w:pPr>
              <w:spacing w:after="0"/>
              <w:rPr>
                <w:sz w:val="17"/>
                <w:szCs w:val="17"/>
                <w:color w:val="auto"/>
              </w:rPr>
            </w:pPr>
          </w:p>
        </w:tc>
        <w:tc>
          <w:tcPr>
            <w:tcW w:w="132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(33.5)</w:t>
            </w:r>
          </w:p>
        </w:tc>
      </w:tr>
      <w:tr>
        <w:trPr>
          <w:trHeight w:val="196"/>
        </w:trPr>
        <w:tc>
          <w:tcPr>
            <w:tcW w:w="7820" w:type="dxa"/>
            <w:vAlign w:val="bottom"/>
            <w:tcBorders>
              <w:bottom w:val="single" w:sz="8" w:color="00539B"/>
            </w:tcBorders>
          </w:tcPr>
          <w:p>
            <w:pPr>
              <w:spacing w:after="0"/>
              <w:rPr>
                <w:sz w:val="17"/>
                <w:szCs w:val="17"/>
                <w:color w:val="auto"/>
              </w:rPr>
            </w:pPr>
          </w:p>
        </w:tc>
        <w:tc>
          <w:tcPr>
            <w:tcW w:w="380" w:type="dxa"/>
            <w:vAlign w:val="bottom"/>
            <w:tcBorders>
              <w:bottom w:val="single" w:sz="8" w:color="00539B"/>
            </w:tcBorders>
            <w:shd w:val="clear" w:color="auto" w:fill="E0E3F1"/>
          </w:tcPr>
          <w:p>
            <w:pPr>
              <w:spacing w:after="0"/>
              <w:rPr>
                <w:sz w:val="17"/>
                <w:szCs w:val="17"/>
                <w:color w:val="auto"/>
              </w:rPr>
            </w:pPr>
          </w:p>
        </w:tc>
        <w:tc>
          <w:tcPr>
            <w:tcW w:w="1320" w:type="dxa"/>
            <w:vAlign w:val="bottom"/>
            <w:tcBorders>
              <w:bottom w:val="single" w:sz="8" w:color="00539B"/>
            </w:tcBorders>
            <w:shd w:val="clear" w:color="auto" w:fill="E0E3F1"/>
          </w:tcPr>
          <w:p>
            <w:pPr>
              <w:jc w:val="right"/>
              <w:ind w:right="8"/>
              <w:spacing w:after="0"/>
              <w:rPr>
                <w:sz w:val="20"/>
                <w:szCs w:val="20"/>
                <w:color w:val="auto"/>
              </w:rPr>
            </w:pPr>
            <w:r>
              <w:rPr>
                <w:rFonts w:ascii="Arial" w:cs="Arial" w:eastAsia="Arial" w:hAnsi="Arial"/>
                <w:sz w:val="14"/>
                <w:szCs w:val="14"/>
                <w:color w:val="auto"/>
              </w:rPr>
              <w:t>255.5</w:t>
            </w:r>
          </w:p>
        </w:tc>
        <w:tc>
          <w:tcPr>
            <w:tcW w:w="380" w:type="dxa"/>
            <w:vAlign w:val="bottom"/>
            <w:tcBorders>
              <w:bottom w:val="single" w:sz="8" w:color="00539B"/>
            </w:tcBorders>
          </w:tcPr>
          <w:p>
            <w:pPr>
              <w:spacing w:after="0"/>
              <w:rPr>
                <w:sz w:val="17"/>
                <w:szCs w:val="17"/>
                <w:color w:val="auto"/>
              </w:rPr>
            </w:pPr>
          </w:p>
        </w:tc>
        <w:tc>
          <w:tcPr>
            <w:tcW w:w="1320" w:type="dxa"/>
            <w:vAlign w:val="bottom"/>
            <w:tcBorders>
              <w:bottom w:val="single" w:sz="8" w:color="00539B"/>
            </w:tcBorders>
          </w:tcPr>
          <w:p>
            <w:pPr>
              <w:jc w:val="right"/>
              <w:ind w:right="8"/>
              <w:spacing w:after="0"/>
              <w:rPr>
                <w:sz w:val="20"/>
                <w:szCs w:val="20"/>
                <w:color w:val="auto"/>
              </w:rPr>
            </w:pPr>
            <w:r>
              <w:rPr>
                <w:rFonts w:ascii="Arial" w:cs="Arial" w:eastAsia="Arial" w:hAnsi="Arial"/>
                <w:sz w:val="14"/>
                <w:szCs w:val="14"/>
                <w:color w:val="auto"/>
              </w:rPr>
              <w:t>241.3</w:t>
            </w:r>
          </w:p>
        </w:tc>
      </w:tr>
      <w:tr>
        <w:trPr>
          <w:trHeight w:val="192"/>
        </w:trPr>
        <w:tc>
          <w:tcPr>
            <w:tcW w:w="7820" w:type="dxa"/>
            <w:vAlign w:val="bottom"/>
          </w:tcPr>
          <w:p>
            <w:pPr>
              <w:ind w:left="20"/>
              <w:spacing w:after="0"/>
              <w:rPr>
                <w:sz w:val="20"/>
                <w:szCs w:val="20"/>
                <w:color w:val="auto"/>
              </w:rPr>
            </w:pPr>
            <w:r>
              <w:rPr>
                <w:rFonts w:ascii="Arial" w:cs="Arial" w:eastAsia="Arial" w:hAnsi="Arial"/>
                <w:sz w:val="14"/>
                <w:szCs w:val="14"/>
                <w:color w:val="auto"/>
              </w:rPr>
              <w:t>Deferred tax liabilities</w:t>
            </w:r>
          </w:p>
        </w:tc>
        <w:tc>
          <w:tcPr>
            <w:tcW w:w="380" w:type="dxa"/>
            <w:vAlign w:val="bottom"/>
            <w:shd w:val="clear" w:color="auto" w:fill="E0E3F1"/>
          </w:tcPr>
          <w:p>
            <w:pPr>
              <w:spacing w:after="0"/>
              <w:rPr>
                <w:sz w:val="16"/>
                <w:szCs w:val="16"/>
                <w:color w:val="auto"/>
              </w:rPr>
            </w:pPr>
          </w:p>
        </w:tc>
        <w:tc>
          <w:tcPr>
            <w:tcW w:w="1320" w:type="dxa"/>
            <w:vAlign w:val="bottom"/>
            <w:shd w:val="clear" w:color="auto" w:fill="E0E3F1"/>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03"/>
        </w:trPr>
        <w:tc>
          <w:tcPr>
            <w:tcW w:w="7820" w:type="dxa"/>
            <w:vAlign w:val="bottom"/>
          </w:tcPr>
          <w:p>
            <w:pPr>
              <w:ind w:left="140"/>
              <w:spacing w:after="0"/>
              <w:rPr>
                <w:sz w:val="20"/>
                <w:szCs w:val="20"/>
                <w:color w:val="auto"/>
              </w:rPr>
            </w:pPr>
            <w:r>
              <w:rPr>
                <w:rFonts w:ascii="Arial" w:cs="Arial" w:eastAsia="Arial" w:hAnsi="Arial"/>
                <w:sz w:val="14"/>
                <w:szCs w:val="14"/>
                <w:color w:val="auto"/>
              </w:rPr>
              <w:t>Depreciation</w:t>
            </w:r>
          </w:p>
        </w:tc>
        <w:tc>
          <w:tcPr>
            <w:tcW w:w="380" w:type="dxa"/>
            <w:vAlign w:val="bottom"/>
            <w:shd w:val="clear" w:color="auto" w:fill="E0E3F1"/>
          </w:tcPr>
          <w:p>
            <w:pPr>
              <w:spacing w:after="0"/>
              <w:rPr>
                <w:sz w:val="17"/>
                <w:szCs w:val="17"/>
                <w:color w:val="auto"/>
              </w:rPr>
            </w:pPr>
          </w:p>
        </w:tc>
        <w:tc>
          <w:tcPr>
            <w:tcW w:w="1320" w:type="dxa"/>
            <w:vAlign w:val="bottom"/>
            <w:shd w:val="clear" w:color="auto" w:fill="E0E3F1"/>
          </w:tcPr>
          <w:p>
            <w:pPr>
              <w:jc w:val="right"/>
              <w:ind w:right="8"/>
              <w:spacing w:after="0"/>
              <w:rPr>
                <w:sz w:val="20"/>
                <w:szCs w:val="20"/>
                <w:color w:val="auto"/>
              </w:rPr>
            </w:pPr>
            <w:r>
              <w:rPr>
                <w:rFonts w:ascii="Arial" w:cs="Arial" w:eastAsia="Arial" w:hAnsi="Arial"/>
                <w:sz w:val="14"/>
                <w:szCs w:val="14"/>
                <w:color w:val="auto"/>
              </w:rPr>
              <w:t>107.7</w:t>
            </w:r>
          </w:p>
        </w:tc>
        <w:tc>
          <w:tcPr>
            <w:tcW w:w="38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96.8</w:t>
            </w:r>
          </w:p>
        </w:tc>
      </w:tr>
      <w:tr>
        <w:trPr>
          <w:trHeight w:val="203"/>
        </w:trPr>
        <w:tc>
          <w:tcPr>
            <w:tcW w:w="7820" w:type="dxa"/>
            <w:vAlign w:val="bottom"/>
          </w:tcPr>
          <w:p>
            <w:pPr>
              <w:ind w:left="140"/>
              <w:spacing w:after="0"/>
              <w:rPr>
                <w:sz w:val="20"/>
                <w:szCs w:val="20"/>
                <w:color w:val="auto"/>
              </w:rPr>
            </w:pPr>
            <w:r>
              <w:rPr>
                <w:rFonts w:ascii="Arial" w:cs="Arial" w:eastAsia="Arial" w:hAnsi="Arial"/>
                <w:sz w:val="14"/>
                <w:szCs w:val="14"/>
                <w:color w:val="auto"/>
              </w:rPr>
              <w:t>Intangible assets</w:t>
            </w:r>
          </w:p>
        </w:tc>
        <w:tc>
          <w:tcPr>
            <w:tcW w:w="380" w:type="dxa"/>
            <w:vAlign w:val="bottom"/>
            <w:shd w:val="clear" w:color="auto" w:fill="E0E3F1"/>
          </w:tcPr>
          <w:p>
            <w:pPr>
              <w:spacing w:after="0"/>
              <w:rPr>
                <w:sz w:val="17"/>
                <w:szCs w:val="17"/>
                <w:color w:val="auto"/>
              </w:rPr>
            </w:pPr>
          </w:p>
        </w:tc>
        <w:tc>
          <w:tcPr>
            <w:tcW w:w="1320" w:type="dxa"/>
            <w:vAlign w:val="bottom"/>
            <w:shd w:val="clear" w:color="auto" w:fill="E0E3F1"/>
          </w:tcPr>
          <w:p>
            <w:pPr>
              <w:jc w:val="right"/>
              <w:ind w:right="8"/>
              <w:spacing w:after="0"/>
              <w:rPr>
                <w:sz w:val="20"/>
                <w:szCs w:val="20"/>
                <w:color w:val="auto"/>
              </w:rPr>
            </w:pPr>
            <w:r>
              <w:rPr>
                <w:rFonts w:ascii="Arial" w:cs="Arial" w:eastAsia="Arial" w:hAnsi="Arial"/>
                <w:sz w:val="14"/>
                <w:szCs w:val="14"/>
                <w:color w:val="auto"/>
              </w:rPr>
              <w:t>852.1</w:t>
            </w:r>
          </w:p>
        </w:tc>
        <w:tc>
          <w:tcPr>
            <w:tcW w:w="38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849.5</w:t>
            </w:r>
          </w:p>
        </w:tc>
      </w:tr>
      <w:tr>
        <w:trPr>
          <w:trHeight w:val="203"/>
        </w:trPr>
        <w:tc>
          <w:tcPr>
            <w:tcW w:w="7820" w:type="dxa"/>
            <w:vAlign w:val="bottom"/>
          </w:tcPr>
          <w:p>
            <w:pPr>
              <w:ind w:left="140"/>
              <w:spacing w:after="0"/>
              <w:rPr>
                <w:sz w:val="20"/>
                <w:szCs w:val="20"/>
                <w:color w:val="auto"/>
              </w:rPr>
            </w:pPr>
            <w:r>
              <w:rPr>
                <w:rFonts w:ascii="Arial" w:cs="Arial" w:eastAsia="Arial" w:hAnsi="Arial"/>
                <w:sz w:val="14"/>
                <w:szCs w:val="14"/>
                <w:color w:val="auto"/>
              </w:rPr>
              <w:t>Lease ROU assets</w:t>
            </w:r>
          </w:p>
        </w:tc>
        <w:tc>
          <w:tcPr>
            <w:tcW w:w="380" w:type="dxa"/>
            <w:vAlign w:val="bottom"/>
            <w:shd w:val="clear" w:color="auto" w:fill="E0E3F1"/>
          </w:tcPr>
          <w:p>
            <w:pPr>
              <w:spacing w:after="0"/>
              <w:rPr>
                <w:sz w:val="17"/>
                <w:szCs w:val="17"/>
                <w:color w:val="auto"/>
              </w:rPr>
            </w:pPr>
          </w:p>
        </w:tc>
        <w:tc>
          <w:tcPr>
            <w:tcW w:w="1320" w:type="dxa"/>
            <w:vAlign w:val="bottom"/>
            <w:shd w:val="clear" w:color="auto" w:fill="E0E3F1"/>
          </w:tcPr>
          <w:p>
            <w:pPr>
              <w:jc w:val="right"/>
              <w:ind w:right="8"/>
              <w:spacing w:after="0"/>
              <w:rPr>
                <w:sz w:val="20"/>
                <w:szCs w:val="20"/>
                <w:color w:val="auto"/>
              </w:rPr>
            </w:pPr>
            <w:r>
              <w:rPr>
                <w:rFonts w:ascii="Arial" w:cs="Arial" w:eastAsia="Arial" w:hAnsi="Arial"/>
                <w:sz w:val="14"/>
                <w:szCs w:val="14"/>
                <w:color w:val="auto"/>
              </w:rPr>
              <w:t>20.0</w:t>
            </w:r>
          </w:p>
        </w:tc>
        <w:tc>
          <w:tcPr>
            <w:tcW w:w="38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16.1</w:t>
            </w:r>
          </w:p>
        </w:tc>
      </w:tr>
      <w:tr>
        <w:trPr>
          <w:trHeight w:val="207"/>
        </w:trPr>
        <w:tc>
          <w:tcPr>
            <w:tcW w:w="7820" w:type="dxa"/>
            <w:vAlign w:val="bottom"/>
            <w:tcBorders>
              <w:bottom w:val="single" w:sz="8" w:color="00539B"/>
            </w:tcBorders>
          </w:tcPr>
          <w:p>
            <w:pPr>
              <w:ind w:left="140"/>
              <w:spacing w:after="0"/>
              <w:rPr>
                <w:sz w:val="20"/>
                <w:szCs w:val="20"/>
                <w:color w:val="auto"/>
              </w:rPr>
            </w:pPr>
            <w:r>
              <w:rPr>
                <w:rFonts w:ascii="Arial" w:cs="Arial" w:eastAsia="Arial" w:hAnsi="Arial"/>
                <w:sz w:val="14"/>
                <w:szCs w:val="14"/>
                <w:color w:val="auto"/>
              </w:rPr>
              <w:t>Other</w:t>
            </w:r>
          </w:p>
        </w:tc>
        <w:tc>
          <w:tcPr>
            <w:tcW w:w="380" w:type="dxa"/>
            <w:vAlign w:val="bottom"/>
            <w:tcBorders>
              <w:bottom w:val="single" w:sz="8" w:color="00539B"/>
            </w:tcBorders>
            <w:shd w:val="clear" w:color="auto" w:fill="E0E3F1"/>
          </w:tcPr>
          <w:p>
            <w:pPr>
              <w:spacing w:after="0"/>
              <w:rPr>
                <w:sz w:val="17"/>
                <w:szCs w:val="17"/>
                <w:color w:val="auto"/>
              </w:rPr>
            </w:pPr>
          </w:p>
        </w:tc>
        <w:tc>
          <w:tcPr>
            <w:tcW w:w="1320" w:type="dxa"/>
            <w:vAlign w:val="bottom"/>
            <w:tcBorders>
              <w:bottom w:val="single" w:sz="8" w:color="00539B"/>
            </w:tcBorders>
            <w:shd w:val="clear" w:color="auto" w:fill="E0E3F1"/>
          </w:tcPr>
          <w:p>
            <w:pPr>
              <w:jc w:val="right"/>
              <w:ind w:right="8"/>
              <w:spacing w:after="0"/>
              <w:rPr>
                <w:sz w:val="20"/>
                <w:szCs w:val="20"/>
                <w:color w:val="auto"/>
              </w:rPr>
            </w:pPr>
            <w:r>
              <w:rPr>
                <w:rFonts w:ascii="Arial" w:cs="Arial" w:eastAsia="Arial" w:hAnsi="Arial"/>
                <w:sz w:val="14"/>
                <w:szCs w:val="14"/>
                <w:color w:val="auto"/>
              </w:rPr>
              <w:t>12.6</w:t>
            </w:r>
          </w:p>
        </w:tc>
        <w:tc>
          <w:tcPr>
            <w:tcW w:w="380" w:type="dxa"/>
            <w:vAlign w:val="bottom"/>
            <w:tcBorders>
              <w:bottom w:val="single" w:sz="8" w:color="00539B"/>
            </w:tcBorders>
          </w:tcPr>
          <w:p>
            <w:pPr>
              <w:spacing w:after="0"/>
              <w:rPr>
                <w:sz w:val="17"/>
                <w:szCs w:val="17"/>
                <w:color w:val="auto"/>
              </w:rPr>
            </w:pPr>
          </w:p>
        </w:tc>
        <w:tc>
          <w:tcPr>
            <w:tcW w:w="1320" w:type="dxa"/>
            <w:vAlign w:val="bottom"/>
            <w:tcBorders>
              <w:bottom w:val="single" w:sz="8" w:color="00539B"/>
            </w:tcBorders>
          </w:tcPr>
          <w:p>
            <w:pPr>
              <w:jc w:val="right"/>
              <w:ind w:right="8"/>
              <w:spacing w:after="0"/>
              <w:rPr>
                <w:sz w:val="20"/>
                <w:szCs w:val="20"/>
                <w:color w:val="auto"/>
              </w:rPr>
            </w:pPr>
            <w:r>
              <w:rPr>
                <w:rFonts w:ascii="Arial" w:cs="Arial" w:eastAsia="Arial" w:hAnsi="Arial"/>
                <w:sz w:val="14"/>
                <w:szCs w:val="14"/>
                <w:color w:val="auto"/>
              </w:rPr>
              <w:t>19.7</w:t>
            </w:r>
          </w:p>
        </w:tc>
      </w:tr>
      <w:tr>
        <w:trPr>
          <w:trHeight w:val="196"/>
        </w:trPr>
        <w:tc>
          <w:tcPr>
            <w:tcW w:w="7820" w:type="dxa"/>
            <w:vAlign w:val="bottom"/>
            <w:tcBorders>
              <w:bottom w:val="single" w:sz="8" w:color="00539B"/>
            </w:tcBorders>
          </w:tcPr>
          <w:p>
            <w:pPr>
              <w:spacing w:after="0"/>
              <w:rPr>
                <w:sz w:val="17"/>
                <w:szCs w:val="17"/>
                <w:color w:val="auto"/>
              </w:rPr>
            </w:pPr>
          </w:p>
        </w:tc>
        <w:tc>
          <w:tcPr>
            <w:tcW w:w="380" w:type="dxa"/>
            <w:vAlign w:val="bottom"/>
            <w:tcBorders>
              <w:bottom w:val="single" w:sz="8" w:color="00539B"/>
            </w:tcBorders>
            <w:shd w:val="clear" w:color="auto" w:fill="E0E3F1"/>
          </w:tcPr>
          <w:p>
            <w:pPr>
              <w:spacing w:after="0"/>
              <w:rPr>
                <w:sz w:val="17"/>
                <w:szCs w:val="17"/>
                <w:color w:val="auto"/>
              </w:rPr>
            </w:pPr>
          </w:p>
        </w:tc>
        <w:tc>
          <w:tcPr>
            <w:tcW w:w="1320" w:type="dxa"/>
            <w:vAlign w:val="bottom"/>
            <w:tcBorders>
              <w:bottom w:val="single" w:sz="8" w:color="00539B"/>
            </w:tcBorders>
            <w:shd w:val="clear" w:color="auto" w:fill="E0E3F1"/>
          </w:tcPr>
          <w:p>
            <w:pPr>
              <w:jc w:val="right"/>
              <w:ind w:right="8"/>
              <w:spacing w:after="0"/>
              <w:rPr>
                <w:sz w:val="20"/>
                <w:szCs w:val="20"/>
                <w:color w:val="auto"/>
              </w:rPr>
            </w:pPr>
            <w:r>
              <w:rPr>
                <w:rFonts w:ascii="Arial" w:cs="Arial" w:eastAsia="Arial" w:hAnsi="Arial"/>
                <w:sz w:val="14"/>
                <w:szCs w:val="14"/>
                <w:color w:val="auto"/>
              </w:rPr>
              <w:t>992.4</w:t>
            </w:r>
          </w:p>
        </w:tc>
        <w:tc>
          <w:tcPr>
            <w:tcW w:w="380" w:type="dxa"/>
            <w:vAlign w:val="bottom"/>
            <w:tcBorders>
              <w:bottom w:val="single" w:sz="8" w:color="00539B"/>
            </w:tcBorders>
          </w:tcPr>
          <w:p>
            <w:pPr>
              <w:spacing w:after="0"/>
              <w:rPr>
                <w:sz w:val="17"/>
                <w:szCs w:val="17"/>
                <w:color w:val="auto"/>
              </w:rPr>
            </w:pPr>
          </w:p>
        </w:tc>
        <w:tc>
          <w:tcPr>
            <w:tcW w:w="1320" w:type="dxa"/>
            <w:vAlign w:val="bottom"/>
            <w:tcBorders>
              <w:bottom w:val="single" w:sz="8" w:color="00539B"/>
            </w:tcBorders>
          </w:tcPr>
          <w:p>
            <w:pPr>
              <w:jc w:val="right"/>
              <w:ind w:right="8"/>
              <w:spacing w:after="0"/>
              <w:rPr>
                <w:sz w:val="20"/>
                <w:szCs w:val="20"/>
                <w:color w:val="auto"/>
              </w:rPr>
            </w:pPr>
            <w:r>
              <w:rPr>
                <w:rFonts w:ascii="Arial" w:cs="Arial" w:eastAsia="Arial" w:hAnsi="Arial"/>
                <w:sz w:val="14"/>
                <w:szCs w:val="14"/>
                <w:color w:val="auto"/>
              </w:rPr>
              <w:t>982.1</w:t>
            </w:r>
          </w:p>
        </w:tc>
      </w:tr>
      <w:tr>
        <w:trPr>
          <w:trHeight w:val="207"/>
        </w:trPr>
        <w:tc>
          <w:tcPr>
            <w:tcW w:w="782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Net deferred tax liability</w:t>
            </w:r>
          </w:p>
        </w:tc>
        <w:tc>
          <w:tcPr>
            <w:tcW w:w="380" w:type="dxa"/>
            <w:vAlign w:val="bottom"/>
            <w:tcBorders>
              <w:bottom w:val="single" w:sz="8" w:color="00539B"/>
            </w:tcBorders>
            <w:shd w:val="clear" w:color="auto" w:fill="E0E3F1"/>
          </w:tcPr>
          <w:p>
            <w:pPr>
              <w:jc w:val="right"/>
              <w:ind w:right="228"/>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(736.9)</w:t>
            </w:r>
          </w:p>
        </w:tc>
        <w:tc>
          <w:tcPr>
            <w:tcW w:w="380" w:type="dxa"/>
            <w:vAlign w:val="bottom"/>
            <w:tcBorders>
              <w:bottom w:val="single" w:sz="8" w:color="00539B"/>
            </w:tcBorders>
          </w:tcPr>
          <w:p>
            <w:pPr>
              <w:jc w:val="right"/>
              <w:ind w:right="20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(740.8)</w:t>
            </w:r>
          </w:p>
        </w:tc>
      </w:tr>
    </w:tbl>
    <w:p>
      <w:pPr>
        <w:spacing w:after="0" w:line="238"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At November 30, 2025, we have tax loss carryforwards of $166.5 million. Of these carryforwards, $4.9 million expire in 2026, $13.8 million from 2027 through 2028, $35.5 million from 2029 through 2042, and $112.3 million may be carried forward indefinitely. At November 30, 2025, we also have U.S. foreign tax credit carryforwards of $32.5 million. Of these carryforwards, $6.4 million expires in 2030, $8.1 million from 2031 through 2032, and $18.0 million from 2033 through 2035.</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A valuation allowance has been provided to cover deferred tax assets that are not more likely than not realizable. The net increase of</w:t>
      </w:r>
    </w:p>
    <w:p>
      <w:pPr>
        <w:spacing w:after="0" w:line="27"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color w:val="auto"/>
        </w:rPr>
        <w:t>$7.6 million in the valuation allowance from November 30, 2024 to November 30, 2025 resulted primarily from the net increase of valuation allowances for net operating losses and other tax attributes in the U.S. and certain non-U.S. jurisdictions.</w:t>
      </w:r>
    </w:p>
    <w:p>
      <w:pPr>
        <w:spacing w:after="0" w:line="117"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Income taxes are not provided for unremitted earnings of our non-U.S. subsidiaries and joint ventures where our intention is to reinvest those earnings indefinitely. As of November 30, 2025, we have $ 1.7 billion of earnings that are considered indefinitely reinvested. We have not provided any deferred taxes with respect to items such as foreign withholding taxes, other income taxes, or foreign exchange gain or loss with respect to those earnings. It is not practicable for us to determine the amount of unrecognized tax expense on these reinvested international earnings.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our gross unrecognized tax benefits for the years ended November 30:</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740" w:type="dxa"/>
            <w:vAlign w:val="bottom"/>
            <w:tcBorders>
              <w:top w:val="single" w:sz="8" w:color="00539B"/>
              <w:bottom w:val="single" w:sz="8" w:color="00539B"/>
            </w:tcBorders>
          </w:tcPr>
          <w:p>
            <w:pPr>
              <w:ind w:left="20"/>
              <w:spacing w:after="0"/>
              <w:rPr>
                <w:sz w:val="20"/>
                <w:szCs w:val="20"/>
                <w:color w:val="auto"/>
              </w:rPr>
            </w:pPr>
            <w:r>
              <w:rPr>
                <w:rFonts w:ascii="Arial" w:cs="Arial" w:eastAsia="Arial" w:hAnsi="Arial"/>
                <w:sz w:val="14"/>
                <w:szCs w:val="14"/>
                <w:color w:val="auto"/>
              </w:rPr>
              <w:t>(millions)</w:t>
            </w:r>
          </w:p>
        </w:tc>
        <w:tc>
          <w:tcPr>
            <w:tcW w:w="340" w:type="dxa"/>
            <w:vAlign w:val="bottom"/>
            <w:tcBorders>
              <w:top w:val="single" w:sz="8" w:color="00539B"/>
              <w:bottom w:val="single" w:sz="8" w:color="00539B"/>
            </w:tcBorders>
            <w:shd w:val="clear" w:color="auto" w:fill="E0E3F1"/>
          </w:tcPr>
          <w:p>
            <w:pPr>
              <w:spacing w:after="0"/>
              <w:rPr>
                <w:sz w:val="19"/>
                <w:szCs w:val="19"/>
                <w:color w:val="auto"/>
              </w:rPr>
            </w:pPr>
          </w:p>
        </w:tc>
        <w:tc>
          <w:tcPr>
            <w:tcW w:w="1160" w:type="dxa"/>
            <w:vAlign w:val="bottom"/>
            <w:tcBorders>
              <w:top w:val="single" w:sz="8" w:color="00539B"/>
              <w:bottom w:val="single" w:sz="8" w:color="00539B"/>
            </w:tcBorders>
            <w:shd w:val="clear" w:color="auto" w:fill="E0E3F1"/>
          </w:tcPr>
          <w:p>
            <w:pPr>
              <w:jc w:val="right"/>
              <w:ind w:right="508"/>
              <w:spacing w:after="0"/>
              <w:rPr>
                <w:sz w:val="20"/>
                <w:szCs w:val="20"/>
                <w:color w:val="auto"/>
              </w:rPr>
            </w:pPr>
            <w:r>
              <w:rPr>
                <w:rFonts w:ascii="Arial" w:cs="Arial" w:eastAsia="Arial" w:hAnsi="Arial"/>
                <w:sz w:val="14"/>
                <w:szCs w:val="14"/>
                <w:color w:val="auto"/>
              </w:rPr>
              <w:t>2025</w:t>
            </w:r>
          </w:p>
        </w:tc>
        <w:tc>
          <w:tcPr>
            <w:tcW w:w="340" w:type="dxa"/>
            <w:vAlign w:val="bottom"/>
            <w:tcBorders>
              <w:top w:val="single" w:sz="8" w:color="00539B"/>
              <w:bottom w:val="single" w:sz="8" w:color="00539B"/>
            </w:tcBorders>
          </w:tcPr>
          <w:p>
            <w:pPr>
              <w:spacing w:after="0"/>
              <w:rPr>
                <w:sz w:val="19"/>
                <w:szCs w:val="19"/>
                <w:color w:val="auto"/>
              </w:rPr>
            </w:pPr>
          </w:p>
        </w:tc>
        <w:tc>
          <w:tcPr>
            <w:tcW w:w="1160" w:type="dxa"/>
            <w:vAlign w:val="bottom"/>
            <w:tcBorders>
              <w:top w:val="single" w:sz="8" w:color="00539B"/>
              <w:bottom w:val="single" w:sz="8" w:color="00539B"/>
            </w:tcBorders>
          </w:tcPr>
          <w:p>
            <w:pPr>
              <w:jc w:val="right"/>
              <w:ind w:right="508"/>
              <w:spacing w:after="0"/>
              <w:rPr>
                <w:sz w:val="20"/>
                <w:szCs w:val="20"/>
                <w:color w:val="auto"/>
              </w:rPr>
            </w:pPr>
            <w:r>
              <w:rPr>
                <w:rFonts w:ascii="Arial" w:cs="Arial" w:eastAsia="Arial" w:hAnsi="Arial"/>
                <w:sz w:val="14"/>
                <w:szCs w:val="14"/>
                <w:color w:val="auto"/>
              </w:rPr>
              <w:t>2024</w:t>
            </w:r>
          </w:p>
        </w:tc>
        <w:tc>
          <w:tcPr>
            <w:tcW w:w="340" w:type="dxa"/>
            <w:vAlign w:val="bottom"/>
            <w:tcBorders>
              <w:top w:val="single" w:sz="8" w:color="00539B"/>
              <w:bottom w:val="single" w:sz="8" w:color="00539B"/>
            </w:tcBorders>
          </w:tcPr>
          <w:p>
            <w:pPr>
              <w:spacing w:after="0"/>
              <w:rPr>
                <w:sz w:val="19"/>
                <w:szCs w:val="19"/>
                <w:color w:val="auto"/>
              </w:rPr>
            </w:pPr>
          </w:p>
        </w:tc>
        <w:tc>
          <w:tcPr>
            <w:tcW w:w="1160" w:type="dxa"/>
            <w:vAlign w:val="bottom"/>
            <w:tcBorders>
              <w:top w:val="single" w:sz="8" w:color="00539B"/>
              <w:bottom w:val="single" w:sz="8" w:color="00539B"/>
            </w:tcBorders>
          </w:tcPr>
          <w:p>
            <w:pPr>
              <w:jc w:val="right"/>
              <w:ind w:right="508"/>
              <w:spacing w:after="0"/>
              <w:rPr>
                <w:sz w:val="20"/>
                <w:szCs w:val="20"/>
                <w:color w:val="auto"/>
              </w:rPr>
            </w:pPr>
            <w:r>
              <w:rPr>
                <w:rFonts w:ascii="Arial" w:cs="Arial" w:eastAsia="Arial" w:hAnsi="Arial"/>
                <w:sz w:val="14"/>
                <w:szCs w:val="14"/>
                <w:color w:val="auto"/>
              </w:rPr>
              <w:t>2023</w:t>
            </w:r>
          </w:p>
        </w:tc>
      </w:tr>
      <w:tr>
        <w:trPr>
          <w:trHeight w:val="192"/>
        </w:trPr>
        <w:tc>
          <w:tcPr>
            <w:tcW w:w="6740" w:type="dxa"/>
            <w:vAlign w:val="bottom"/>
          </w:tcPr>
          <w:p>
            <w:pPr>
              <w:ind w:left="20"/>
              <w:spacing w:after="0"/>
              <w:rPr>
                <w:sz w:val="20"/>
                <w:szCs w:val="20"/>
                <w:color w:val="auto"/>
              </w:rPr>
            </w:pPr>
            <w:r>
              <w:rPr>
                <w:rFonts w:ascii="Arial" w:cs="Arial" w:eastAsia="Arial" w:hAnsi="Arial"/>
                <w:sz w:val="14"/>
                <w:szCs w:val="14"/>
                <w:color w:val="auto"/>
              </w:rPr>
              <w:t>Balance at beginning of year</w:t>
            </w:r>
          </w:p>
        </w:tc>
        <w:tc>
          <w:tcPr>
            <w:tcW w:w="340" w:type="dxa"/>
            <w:vAlign w:val="bottom"/>
            <w:shd w:val="clear" w:color="auto" w:fill="E0E3F1"/>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17.8</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24.0</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25.1</w:t>
            </w:r>
          </w:p>
        </w:tc>
      </w:tr>
      <w:tr>
        <w:trPr>
          <w:trHeight w:val="203"/>
        </w:trPr>
        <w:tc>
          <w:tcPr>
            <w:tcW w:w="6740" w:type="dxa"/>
            <w:vAlign w:val="bottom"/>
          </w:tcPr>
          <w:p>
            <w:pPr>
              <w:ind w:left="20"/>
              <w:spacing w:after="0"/>
              <w:rPr>
                <w:sz w:val="20"/>
                <w:szCs w:val="20"/>
                <w:color w:val="auto"/>
              </w:rPr>
            </w:pPr>
            <w:r>
              <w:rPr>
                <w:rFonts w:ascii="Arial" w:cs="Arial" w:eastAsia="Arial" w:hAnsi="Arial"/>
                <w:sz w:val="14"/>
                <w:szCs w:val="14"/>
                <w:color w:val="auto"/>
              </w:rPr>
              <w:t>Additions for current year tax positions</w:t>
            </w:r>
          </w:p>
        </w:tc>
        <w:tc>
          <w:tcPr>
            <w:tcW w:w="340" w:type="dxa"/>
            <w:vAlign w:val="bottom"/>
            <w:shd w:val="clear" w:color="auto" w:fill="E0E3F1"/>
          </w:tcPr>
          <w:p>
            <w:pPr>
              <w:spacing w:after="0"/>
              <w:rPr>
                <w:sz w:val="17"/>
                <w:szCs w:val="17"/>
                <w:color w:val="auto"/>
              </w:rPr>
            </w:pPr>
          </w:p>
        </w:tc>
        <w:tc>
          <w:tcPr>
            <w:tcW w:w="11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2.9</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4.4</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203"/>
        </w:trPr>
        <w:tc>
          <w:tcPr>
            <w:tcW w:w="6740" w:type="dxa"/>
            <w:vAlign w:val="bottom"/>
          </w:tcPr>
          <w:p>
            <w:pPr>
              <w:ind w:left="20"/>
              <w:spacing w:after="0"/>
              <w:rPr>
                <w:sz w:val="20"/>
                <w:szCs w:val="20"/>
                <w:color w:val="auto"/>
              </w:rPr>
            </w:pPr>
            <w:r>
              <w:rPr>
                <w:rFonts w:ascii="Arial" w:cs="Arial" w:eastAsia="Arial" w:hAnsi="Arial"/>
                <w:sz w:val="14"/>
                <w:szCs w:val="14"/>
                <w:color w:val="auto"/>
              </w:rPr>
              <w:t>Additions for prior year tax positions</w:t>
            </w:r>
          </w:p>
        </w:tc>
        <w:tc>
          <w:tcPr>
            <w:tcW w:w="340" w:type="dxa"/>
            <w:vAlign w:val="bottom"/>
            <w:shd w:val="clear" w:color="auto" w:fill="E0E3F1"/>
          </w:tcPr>
          <w:p>
            <w:pPr>
              <w:spacing w:after="0"/>
              <w:rPr>
                <w:sz w:val="17"/>
                <w:szCs w:val="17"/>
                <w:color w:val="auto"/>
              </w:rPr>
            </w:pPr>
          </w:p>
        </w:tc>
        <w:tc>
          <w:tcPr>
            <w:tcW w:w="11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0.1</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03"/>
        </w:trPr>
        <w:tc>
          <w:tcPr>
            <w:tcW w:w="6740" w:type="dxa"/>
            <w:vAlign w:val="bottom"/>
          </w:tcPr>
          <w:p>
            <w:pPr>
              <w:ind w:left="20"/>
              <w:spacing w:after="0"/>
              <w:rPr>
                <w:sz w:val="20"/>
                <w:szCs w:val="20"/>
                <w:color w:val="auto"/>
              </w:rPr>
            </w:pPr>
            <w:r>
              <w:rPr>
                <w:rFonts w:ascii="Arial" w:cs="Arial" w:eastAsia="Arial" w:hAnsi="Arial"/>
                <w:sz w:val="14"/>
                <w:szCs w:val="14"/>
                <w:color w:val="auto"/>
              </w:rPr>
              <w:t>Reductions of prior year tax positions</w:t>
            </w:r>
          </w:p>
        </w:tc>
        <w:tc>
          <w:tcPr>
            <w:tcW w:w="340" w:type="dxa"/>
            <w:vAlign w:val="bottom"/>
            <w:shd w:val="clear" w:color="auto" w:fill="E0E3F1"/>
          </w:tcPr>
          <w:p>
            <w:pPr>
              <w:spacing w:after="0"/>
              <w:rPr>
                <w:sz w:val="17"/>
                <w:szCs w:val="17"/>
                <w:color w:val="auto"/>
              </w:rPr>
            </w:pPr>
          </w:p>
        </w:tc>
        <w:tc>
          <w:tcPr>
            <w:tcW w:w="11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(4.0)</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203"/>
        </w:trPr>
        <w:tc>
          <w:tcPr>
            <w:tcW w:w="6740" w:type="dxa"/>
            <w:vAlign w:val="bottom"/>
          </w:tcPr>
          <w:p>
            <w:pPr>
              <w:ind w:left="20"/>
              <w:spacing w:after="0"/>
              <w:rPr>
                <w:sz w:val="20"/>
                <w:szCs w:val="20"/>
                <w:color w:val="auto"/>
              </w:rPr>
            </w:pPr>
            <w:r>
              <w:rPr>
                <w:rFonts w:ascii="Arial" w:cs="Arial" w:eastAsia="Arial" w:hAnsi="Arial"/>
                <w:sz w:val="14"/>
                <w:szCs w:val="14"/>
                <w:color w:val="auto"/>
              </w:rPr>
              <w:t>Statute expirations</w:t>
            </w:r>
          </w:p>
        </w:tc>
        <w:tc>
          <w:tcPr>
            <w:tcW w:w="340" w:type="dxa"/>
            <w:vAlign w:val="bottom"/>
            <w:shd w:val="clear" w:color="auto" w:fill="E0E3F1"/>
          </w:tcPr>
          <w:p>
            <w:pPr>
              <w:spacing w:after="0"/>
              <w:rPr>
                <w:sz w:val="17"/>
                <w:szCs w:val="17"/>
                <w:color w:val="auto"/>
              </w:rPr>
            </w:pPr>
          </w:p>
        </w:tc>
        <w:tc>
          <w:tcPr>
            <w:tcW w:w="11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(4.6)</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(10.5)</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03"/>
        </w:trPr>
        <w:tc>
          <w:tcPr>
            <w:tcW w:w="6740" w:type="dxa"/>
            <w:vAlign w:val="bottom"/>
          </w:tcPr>
          <w:p>
            <w:pPr>
              <w:ind w:left="20"/>
              <w:spacing w:after="0"/>
              <w:rPr>
                <w:sz w:val="20"/>
                <w:szCs w:val="20"/>
                <w:color w:val="auto"/>
              </w:rPr>
            </w:pPr>
            <w:r>
              <w:rPr>
                <w:rFonts w:ascii="Arial" w:cs="Arial" w:eastAsia="Arial" w:hAnsi="Arial"/>
                <w:sz w:val="14"/>
                <w:szCs w:val="14"/>
                <w:color w:val="auto"/>
              </w:rPr>
              <w:t>Settlements</w:t>
            </w:r>
          </w:p>
        </w:tc>
        <w:tc>
          <w:tcPr>
            <w:tcW w:w="340" w:type="dxa"/>
            <w:vAlign w:val="bottom"/>
            <w:shd w:val="clear" w:color="auto" w:fill="E0E3F1"/>
          </w:tcPr>
          <w:p>
            <w:pPr>
              <w:spacing w:after="0"/>
              <w:rPr>
                <w:sz w:val="17"/>
                <w:szCs w:val="17"/>
                <w:color w:val="auto"/>
              </w:rPr>
            </w:pPr>
          </w:p>
        </w:tc>
        <w:tc>
          <w:tcPr>
            <w:tcW w:w="11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07"/>
        </w:trPr>
        <w:tc>
          <w:tcPr>
            <w:tcW w:w="674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Foreign currency translation</w:t>
            </w:r>
          </w:p>
        </w:tc>
        <w:tc>
          <w:tcPr>
            <w:tcW w:w="340" w:type="dxa"/>
            <w:vAlign w:val="bottom"/>
            <w:tcBorders>
              <w:bottom w:val="single" w:sz="8" w:color="00539B"/>
            </w:tcBorders>
            <w:shd w:val="clear" w:color="auto" w:fill="E0E3F1"/>
          </w:tcPr>
          <w:p>
            <w:pPr>
              <w:spacing w:after="0"/>
              <w:rPr>
                <w:sz w:val="17"/>
                <w:szCs w:val="17"/>
                <w:color w:val="auto"/>
              </w:rPr>
            </w:pPr>
          </w:p>
        </w:tc>
        <w:tc>
          <w:tcPr>
            <w:tcW w:w="116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0.1</w:t>
            </w:r>
          </w:p>
        </w:tc>
        <w:tc>
          <w:tcPr>
            <w:tcW w:w="340" w:type="dxa"/>
            <w:vAlign w:val="bottom"/>
            <w:tcBorders>
              <w:bottom w:val="single" w:sz="8" w:color="00539B"/>
            </w:tcBorders>
          </w:tcPr>
          <w:p>
            <w:pPr>
              <w:spacing w:after="0"/>
              <w:rPr>
                <w:sz w:val="17"/>
                <w:szCs w:val="17"/>
                <w:color w:val="auto"/>
              </w:rPr>
            </w:pPr>
          </w:p>
        </w:tc>
        <w:tc>
          <w:tcPr>
            <w:tcW w:w="116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(0.1)</w:t>
            </w:r>
          </w:p>
        </w:tc>
        <w:tc>
          <w:tcPr>
            <w:tcW w:w="340" w:type="dxa"/>
            <w:vAlign w:val="bottom"/>
            <w:tcBorders>
              <w:bottom w:val="single" w:sz="8" w:color="00539B"/>
            </w:tcBorders>
          </w:tcPr>
          <w:p>
            <w:pPr>
              <w:spacing w:after="0"/>
              <w:rPr>
                <w:sz w:val="17"/>
                <w:szCs w:val="17"/>
                <w:color w:val="auto"/>
              </w:rPr>
            </w:pPr>
          </w:p>
        </w:tc>
        <w:tc>
          <w:tcPr>
            <w:tcW w:w="116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(0.1)</w:t>
            </w:r>
          </w:p>
        </w:tc>
      </w:tr>
      <w:tr>
        <w:trPr>
          <w:trHeight w:val="207"/>
        </w:trPr>
        <w:tc>
          <w:tcPr>
            <w:tcW w:w="674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Balance at November 30</w:t>
            </w:r>
          </w:p>
        </w:tc>
        <w:tc>
          <w:tcPr>
            <w:tcW w:w="340" w:type="dxa"/>
            <w:vAlign w:val="bottom"/>
            <w:tcBorders>
              <w:bottom w:val="single" w:sz="8" w:color="00539B"/>
            </w:tcBorders>
            <w:shd w:val="clear" w:color="auto" w:fill="E0E3F1"/>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12.3</w:t>
            </w:r>
          </w:p>
        </w:tc>
        <w:tc>
          <w:tcPr>
            <w:tcW w:w="340" w:type="dxa"/>
            <w:vAlign w:val="bottom"/>
            <w:tcBorders>
              <w:bottom w:val="single" w:sz="8" w:color="00539B"/>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17.8</w:t>
            </w:r>
          </w:p>
        </w:tc>
        <w:tc>
          <w:tcPr>
            <w:tcW w:w="340" w:type="dxa"/>
            <w:vAlign w:val="bottom"/>
            <w:tcBorders>
              <w:bottom w:val="single" w:sz="8" w:color="00539B"/>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24.0</w:t>
            </w:r>
          </w:p>
        </w:tc>
      </w:tr>
    </w:tbl>
    <w:p>
      <w:pPr>
        <w:spacing w:after="0" w:line="238" w:lineRule="exact"/>
        <w:rPr>
          <w:sz w:val="20"/>
          <w:szCs w:val="20"/>
          <w:color w:val="auto"/>
        </w:rPr>
      </w:pPr>
    </w:p>
    <w:p>
      <w:pPr>
        <w:jc w:val="both"/>
        <w:ind w:right="40"/>
        <w:spacing w:after="0" w:line="287" w:lineRule="auto"/>
        <w:rPr>
          <w:sz w:val="20"/>
          <w:szCs w:val="20"/>
          <w:color w:val="auto"/>
        </w:rPr>
      </w:pPr>
      <w:r>
        <w:rPr>
          <w:rFonts w:ascii="Arial" w:cs="Arial" w:eastAsia="Arial" w:hAnsi="Arial"/>
          <w:sz w:val="18"/>
          <w:szCs w:val="18"/>
          <w:color w:val="auto"/>
        </w:rPr>
        <w:t>As of November 30, 2025, 2024, and 2023, if recognized, $12.3 million, $17.8 million, and $24.0 million, respectively, of the unrecognized tax benefits would affect the effective rate.</w:t>
      </w:r>
    </w:p>
    <w:p>
      <w:pPr>
        <w:spacing w:after="0" w:line="99" w:lineRule="exact"/>
        <w:rPr>
          <w:sz w:val="20"/>
          <w:szCs w:val="20"/>
          <w:color w:val="auto"/>
        </w:rPr>
      </w:pPr>
    </w:p>
    <w:p>
      <w:pPr>
        <w:jc w:val="both"/>
        <w:ind w:right="360"/>
        <w:spacing w:after="0" w:line="268" w:lineRule="auto"/>
        <w:rPr>
          <w:sz w:val="20"/>
          <w:szCs w:val="20"/>
          <w:color w:val="auto"/>
        </w:rPr>
      </w:pPr>
      <w:r>
        <w:rPr>
          <w:rFonts w:ascii="Arial" w:cs="Arial" w:eastAsia="Arial" w:hAnsi="Arial"/>
          <w:sz w:val="18"/>
          <w:szCs w:val="18"/>
          <w:color w:val="auto"/>
        </w:rPr>
        <w:t>We record interest and penalties on income taxes in income tax expense. We recognized interest and penalty expense (benefit) of $ (0.8) million, $(0.9) million, and $(0.5) million in 2025, 2024, and 2023, respectively. As of November 30, 2025 and 2024, we had accrued $2.1 million and $2.9 million, respectively, of interest and penalties related to unrecognized tax benefits.</w:t>
      </w:r>
    </w:p>
    <w:p>
      <w:pPr>
        <w:spacing w:after="0" w:line="117"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Tax settlements or statute of limitation expirations could result in a change to our uncertain tax positions. We believe that the reasonably possible total amount of unrecognized tax benefits as of November 30, 2025 that could</w:t>
      </w:r>
    </w:p>
    <w:p>
      <w:pPr>
        <w:sectPr>
          <w:pgSz w:w="11900" w:h="16838" w:orient="portrait"/>
          <w:cols w:equalWidth="0" w:num="1">
            <w:col w:w="11240"/>
          </w:cols>
          <w:pgMar w:left="320" w:top="1214" w:right="33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type w:val="continuous"/>
        </w:sectPr>
      </w:pPr>
    </w:p>
    <w:bookmarkStart w:id="77" w:name="page78"/>
    <w:bookmarkEnd w:id="77"/>
    <w:p>
      <w:pPr>
        <w:spacing w:after="0"/>
        <w:rPr>
          <w:sz w:val="20"/>
          <w:szCs w:val="20"/>
          <w:color w:val="auto"/>
        </w:rPr>
      </w:pPr>
      <w:r>
        <w:rPr>
          <w:rFonts w:ascii="Arial" w:cs="Arial" w:eastAsia="Arial" w:hAnsi="Arial"/>
          <w:sz w:val="18"/>
          <w:szCs w:val="18"/>
          <w:color w:val="auto"/>
        </w:rPr>
        <w:t>decrease in the next 12 months as a result of various statute expirations, audit closures and/or tax settlements would not be material.</w:t>
      </w:r>
    </w:p>
    <w:p>
      <w:pPr>
        <w:spacing w:after="0" w:line="171" w:lineRule="exact"/>
        <w:rPr>
          <w:sz w:val="20"/>
          <w:szCs w:val="20"/>
          <w:color w:val="auto"/>
        </w:rPr>
      </w:pPr>
    </w:p>
    <w:p>
      <w:pPr>
        <w:ind w:right="160"/>
        <w:spacing w:after="0" w:line="291" w:lineRule="auto"/>
        <w:rPr>
          <w:sz w:val="20"/>
          <w:szCs w:val="20"/>
          <w:color w:val="auto"/>
        </w:rPr>
      </w:pPr>
      <w:r>
        <w:rPr>
          <w:rFonts w:ascii="Arial" w:cs="Arial" w:eastAsia="Arial" w:hAnsi="Arial"/>
          <w:sz w:val="17"/>
          <w:szCs w:val="17"/>
          <w:color w:val="auto"/>
        </w:rPr>
        <w:t>We file income tax returns in the U.S. federal jurisdiction and various state and non-U.S. jurisdictions. The open years subject to tax audits vary depending on the tax jurisdictions. In the U.S federal jurisdiction, we are no longer subject to income tax audits by taxing authorities for years before 2022. In other major jurisdictions, we are no longer subject to income tax audits by taxing authorities for years before 2014.</w:t>
      </w:r>
    </w:p>
    <w:p>
      <w:pPr>
        <w:spacing w:after="0" w:line="99"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We are under normal recurring tax audits in the U.S. and in several jurisdictions outside the U.S. While it is often difficult to predict the final outcome or the timing of resolution of any particular uncertain tax position, we believe that our reserves for uncertain tax positions are adequate to cover existing risks and exposures.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539B"/>
        </w:rPr>
        <w:t>13. CAPITAL STOCK AND EARNINGS PER SHARE</w:t>
      </w:r>
    </w:p>
    <w:p>
      <w:pPr>
        <w:spacing w:after="0" w:line="104"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We have 640,000,000 authorized shares of each class of common stock with an established the par value for each class of common stock at $0.01 per share. The par value and additional paid in capital associated with each class of common stock is recorded in Common stock and Common stock non-voting in our consolidated balance sheet.</w:t>
      </w:r>
    </w:p>
    <w:p>
      <w:pPr>
        <w:spacing w:after="0" w:line="3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Holders of Common Stock have full voting rights except that (1) the voting rights of persons who are deemed to own beneficially 10% or more of the outstanding shares of Common Stock are limited to 10% of the votes entitled to be cast by all holders of shares of Common Stock regardless of how many shares in excess of 10% are held by such person; (2) we have the right to redeem any or all shares of Common Stock owned by such person unless such person acquires more than 90% of the outstanding shares of each class of our common stock; and (3) at such time as such person controls more than 50% of the votes entitled to be cast by the holders of outstanding shares of Common Stock, automatically, on a share-for-share basis, all shares of Common Stock Non-Voting will convert into shares of Common Stock.</w:t>
      </w:r>
    </w:p>
    <w:p>
      <w:pPr>
        <w:spacing w:after="0" w:line="129" w:lineRule="exact"/>
        <w:rPr>
          <w:sz w:val="20"/>
          <w:szCs w:val="20"/>
          <w:color w:val="auto"/>
        </w:rPr>
      </w:pPr>
    </w:p>
    <w:p>
      <w:pPr>
        <w:ind w:right="20"/>
        <w:spacing w:after="0" w:line="282" w:lineRule="auto"/>
        <w:rPr>
          <w:sz w:val="20"/>
          <w:szCs w:val="20"/>
          <w:color w:val="auto"/>
        </w:rPr>
      </w:pPr>
      <w:r>
        <w:rPr>
          <w:rFonts w:ascii="Arial" w:cs="Arial" w:eastAsia="Arial" w:hAnsi="Arial"/>
          <w:sz w:val="17"/>
          <w:szCs w:val="17"/>
          <w:color w:val="auto"/>
        </w:rPr>
        <w:t>Holders of Common Stock Non-Voting will vote as a separate class on all matters on which they are entitled to vote. Holders of Common Stock Non-Voting are entitled to vote on reverse mergers and statutory share exchanges where our capital stock is converted into other securities or property, dissolution of the Company and the sale of substantially all of our assets, as well as forward mergers and consolidation of the Company or any amendment to our charter repealing the right of the Common Stock Non-Voting to vote on any such matters.</w:t>
      </w:r>
    </w:p>
    <w:p>
      <w:pPr>
        <w:spacing w:after="0" w:line="10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reconciliation of shares outstanding used in the calculation of basic and diluted earnings per share for the years ended November 30 follows:</w:t>
      </w:r>
    </w:p>
    <w:tbl>
      <w:tblPr>
        <w:tblLayout w:type="fixed"/>
        <w:tblInd w:w="0" w:type="dxa"/>
        <w:tblCellMar>
          <w:top w:w="0" w:type="dxa"/>
          <w:left w:w="0" w:type="dxa"/>
          <w:bottom w:w="0" w:type="dxa"/>
          <w:right w:w="0" w:type="dxa"/>
        </w:tblCellMar>
      </w:tblPr>
      <w:tr>
        <w:trPr>
          <w:trHeight w:val="206"/>
        </w:trPr>
        <w:tc>
          <w:tcPr>
            <w:tcW w:w="6740" w:type="dxa"/>
            <w:vAlign w:val="bottom"/>
            <w:tcBorders>
              <w:top w:val="single" w:sz="8" w:color="00539B"/>
              <w:bottom w:val="single" w:sz="8" w:color="00539B"/>
            </w:tcBorders>
          </w:tcPr>
          <w:p>
            <w:pPr>
              <w:ind w:left="20"/>
              <w:spacing w:after="0"/>
              <w:rPr>
                <w:sz w:val="20"/>
                <w:szCs w:val="20"/>
                <w:color w:val="auto"/>
              </w:rPr>
            </w:pPr>
            <w:r>
              <w:rPr>
                <w:rFonts w:ascii="Arial" w:cs="Arial" w:eastAsia="Arial" w:hAnsi="Arial"/>
                <w:sz w:val="14"/>
                <w:szCs w:val="14"/>
                <w:color w:val="auto"/>
              </w:rPr>
              <w:t>(millions)</w:t>
            </w:r>
          </w:p>
        </w:tc>
        <w:tc>
          <w:tcPr>
            <w:tcW w:w="1500" w:type="dxa"/>
            <w:vAlign w:val="bottom"/>
            <w:tcBorders>
              <w:top w:val="single" w:sz="8" w:color="00539B"/>
              <w:bottom w:val="single" w:sz="8" w:color="00539B"/>
            </w:tcBorders>
            <w:shd w:val="clear" w:color="auto" w:fill="E0E3F1"/>
          </w:tcPr>
          <w:p>
            <w:pPr>
              <w:jc w:val="right"/>
              <w:ind w:right="508"/>
              <w:spacing w:after="0"/>
              <w:rPr>
                <w:sz w:val="20"/>
                <w:szCs w:val="20"/>
                <w:color w:val="auto"/>
              </w:rPr>
            </w:pPr>
            <w:r>
              <w:rPr>
                <w:rFonts w:ascii="Arial" w:cs="Arial" w:eastAsia="Arial" w:hAnsi="Arial"/>
                <w:sz w:val="14"/>
                <w:szCs w:val="14"/>
                <w:color w:val="auto"/>
              </w:rPr>
              <w:t>2025</w:t>
            </w:r>
          </w:p>
        </w:tc>
        <w:tc>
          <w:tcPr>
            <w:tcW w:w="1760" w:type="dxa"/>
            <w:vAlign w:val="bottom"/>
            <w:tcBorders>
              <w:top w:val="single" w:sz="8" w:color="00539B"/>
              <w:bottom w:val="single" w:sz="8" w:color="00539B"/>
            </w:tcBorders>
          </w:tcPr>
          <w:p>
            <w:pPr>
              <w:jc w:val="right"/>
              <w:ind w:right="768"/>
              <w:spacing w:after="0"/>
              <w:rPr>
                <w:sz w:val="20"/>
                <w:szCs w:val="20"/>
                <w:color w:val="auto"/>
              </w:rPr>
            </w:pPr>
            <w:r>
              <w:rPr>
                <w:rFonts w:ascii="Arial" w:cs="Arial" w:eastAsia="Arial" w:hAnsi="Arial"/>
                <w:sz w:val="14"/>
                <w:szCs w:val="14"/>
                <w:color w:val="auto"/>
              </w:rPr>
              <w:t>2024</w:t>
            </w:r>
          </w:p>
        </w:tc>
        <w:tc>
          <w:tcPr>
            <w:tcW w:w="1240" w:type="dxa"/>
            <w:vAlign w:val="bottom"/>
            <w:tcBorders>
              <w:top w:val="single" w:sz="8" w:color="00539B"/>
              <w:bottom w:val="single" w:sz="8" w:color="00539B"/>
            </w:tcBorders>
          </w:tcPr>
          <w:p>
            <w:pPr>
              <w:jc w:val="right"/>
              <w:ind w:right="508"/>
              <w:spacing w:after="0"/>
              <w:rPr>
                <w:sz w:val="20"/>
                <w:szCs w:val="20"/>
                <w:color w:val="auto"/>
              </w:rPr>
            </w:pPr>
            <w:r>
              <w:rPr>
                <w:rFonts w:ascii="Arial" w:cs="Arial" w:eastAsia="Arial" w:hAnsi="Arial"/>
                <w:sz w:val="14"/>
                <w:szCs w:val="14"/>
                <w:color w:val="auto"/>
              </w:rPr>
              <w:t>2023</w:t>
            </w:r>
          </w:p>
        </w:tc>
      </w:tr>
      <w:tr>
        <w:trPr>
          <w:trHeight w:val="192"/>
        </w:trPr>
        <w:tc>
          <w:tcPr>
            <w:tcW w:w="6740" w:type="dxa"/>
            <w:vAlign w:val="bottom"/>
          </w:tcPr>
          <w:p>
            <w:pPr>
              <w:ind w:left="20"/>
              <w:spacing w:after="0"/>
              <w:rPr>
                <w:sz w:val="20"/>
                <w:szCs w:val="20"/>
                <w:color w:val="auto"/>
              </w:rPr>
            </w:pPr>
            <w:r>
              <w:rPr>
                <w:rFonts w:ascii="Arial" w:cs="Arial" w:eastAsia="Arial" w:hAnsi="Arial"/>
                <w:sz w:val="14"/>
                <w:szCs w:val="14"/>
                <w:color w:val="auto"/>
              </w:rPr>
              <w:t>Average shares outstanding—basic</w:t>
            </w:r>
          </w:p>
        </w:tc>
        <w:tc>
          <w:tcPr>
            <w:tcW w:w="1500" w:type="dxa"/>
            <w:vAlign w:val="bottom"/>
            <w:shd w:val="clear" w:color="auto" w:fill="E0E3F1"/>
          </w:tcPr>
          <w:p>
            <w:pPr>
              <w:jc w:val="right"/>
              <w:spacing w:after="0"/>
              <w:rPr>
                <w:sz w:val="20"/>
                <w:szCs w:val="20"/>
                <w:color w:val="auto"/>
              </w:rPr>
            </w:pPr>
            <w:r>
              <w:rPr>
                <w:rFonts w:ascii="Arial" w:cs="Arial" w:eastAsia="Arial" w:hAnsi="Arial"/>
                <w:sz w:val="14"/>
                <w:szCs w:val="14"/>
                <w:color w:val="auto"/>
              </w:rPr>
              <w:t>268.5</w:t>
            </w:r>
          </w:p>
        </w:tc>
        <w:tc>
          <w:tcPr>
            <w:tcW w:w="1760" w:type="dxa"/>
            <w:vAlign w:val="bottom"/>
          </w:tcPr>
          <w:p>
            <w:pPr>
              <w:jc w:val="right"/>
              <w:ind w:right="248"/>
              <w:spacing w:after="0"/>
              <w:rPr>
                <w:sz w:val="20"/>
                <w:szCs w:val="20"/>
                <w:color w:val="auto"/>
              </w:rPr>
            </w:pPr>
            <w:r>
              <w:rPr>
                <w:rFonts w:ascii="Arial" w:cs="Arial" w:eastAsia="Arial" w:hAnsi="Arial"/>
                <w:sz w:val="14"/>
                <w:szCs w:val="14"/>
                <w:color w:val="auto"/>
              </w:rPr>
              <w:t>268.5</w:t>
            </w:r>
          </w:p>
        </w:tc>
        <w:tc>
          <w:tcPr>
            <w:tcW w:w="1240" w:type="dxa"/>
            <w:vAlign w:val="bottom"/>
          </w:tcPr>
          <w:p>
            <w:pPr>
              <w:jc w:val="right"/>
              <w:spacing w:after="0"/>
              <w:rPr>
                <w:sz w:val="20"/>
                <w:szCs w:val="20"/>
                <w:color w:val="auto"/>
              </w:rPr>
            </w:pPr>
            <w:r>
              <w:rPr>
                <w:rFonts w:ascii="Arial" w:cs="Arial" w:eastAsia="Arial" w:hAnsi="Arial"/>
                <w:sz w:val="14"/>
                <w:szCs w:val="14"/>
                <w:color w:val="auto"/>
              </w:rPr>
              <w:t>268.4</w:t>
            </w:r>
          </w:p>
        </w:tc>
      </w:tr>
      <w:tr>
        <w:trPr>
          <w:trHeight w:val="203"/>
        </w:trPr>
        <w:tc>
          <w:tcPr>
            <w:tcW w:w="6740" w:type="dxa"/>
            <w:vAlign w:val="bottom"/>
          </w:tcPr>
          <w:p>
            <w:pPr>
              <w:ind w:left="20"/>
              <w:spacing w:after="0"/>
              <w:rPr>
                <w:sz w:val="20"/>
                <w:szCs w:val="20"/>
                <w:color w:val="auto"/>
              </w:rPr>
            </w:pPr>
            <w:r>
              <w:rPr>
                <w:rFonts w:ascii="Arial" w:cs="Arial" w:eastAsia="Arial" w:hAnsi="Arial"/>
                <w:sz w:val="14"/>
                <w:szCs w:val="14"/>
                <w:color w:val="auto"/>
              </w:rPr>
              <w:t>Effect of dilutive securities:</w:t>
            </w:r>
          </w:p>
        </w:tc>
        <w:tc>
          <w:tcPr>
            <w:tcW w:w="1500" w:type="dxa"/>
            <w:vAlign w:val="bottom"/>
            <w:shd w:val="clear" w:color="auto" w:fill="E0E3F1"/>
          </w:tcPr>
          <w:p>
            <w:pPr>
              <w:spacing w:after="0"/>
              <w:rPr>
                <w:sz w:val="17"/>
                <w:szCs w:val="17"/>
                <w:color w:val="auto"/>
              </w:rPr>
            </w:pPr>
          </w:p>
        </w:tc>
        <w:tc>
          <w:tcPr>
            <w:tcW w:w="17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7"/>
        </w:trPr>
        <w:tc>
          <w:tcPr>
            <w:tcW w:w="6740" w:type="dxa"/>
            <w:vAlign w:val="bottom"/>
            <w:tcBorders>
              <w:bottom w:val="single" w:sz="8" w:color="00539B"/>
            </w:tcBorders>
          </w:tcPr>
          <w:p>
            <w:pPr>
              <w:ind w:left="140"/>
              <w:spacing w:after="0"/>
              <w:rPr>
                <w:sz w:val="20"/>
                <w:szCs w:val="20"/>
                <w:color w:val="auto"/>
              </w:rPr>
            </w:pPr>
            <w:r>
              <w:rPr>
                <w:rFonts w:ascii="Arial" w:cs="Arial" w:eastAsia="Arial" w:hAnsi="Arial"/>
                <w:sz w:val="14"/>
                <w:szCs w:val="14"/>
                <w:color w:val="auto"/>
              </w:rPr>
              <w:t>Stock options/RSUs/LTPP</w:t>
            </w:r>
          </w:p>
        </w:tc>
        <w:tc>
          <w:tcPr>
            <w:tcW w:w="150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0.9</w:t>
            </w:r>
          </w:p>
        </w:tc>
        <w:tc>
          <w:tcPr>
            <w:tcW w:w="1760" w:type="dxa"/>
            <w:vAlign w:val="bottom"/>
            <w:tcBorders>
              <w:bottom w:val="single" w:sz="8" w:color="00539B"/>
            </w:tcBorders>
          </w:tcPr>
          <w:p>
            <w:pPr>
              <w:jc w:val="right"/>
              <w:ind w:right="248"/>
              <w:spacing w:after="0"/>
              <w:rPr>
                <w:sz w:val="20"/>
                <w:szCs w:val="20"/>
                <w:color w:val="auto"/>
              </w:rPr>
            </w:pPr>
            <w:r>
              <w:rPr>
                <w:rFonts w:ascii="Arial" w:cs="Arial" w:eastAsia="Arial" w:hAnsi="Arial"/>
                <w:sz w:val="14"/>
                <w:szCs w:val="14"/>
                <w:color w:val="auto"/>
              </w:rPr>
              <w:t>1.1</w:t>
            </w:r>
          </w:p>
        </w:tc>
        <w:tc>
          <w:tcPr>
            <w:tcW w:w="124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1.4</w:t>
            </w:r>
          </w:p>
        </w:tc>
      </w:tr>
      <w:tr>
        <w:trPr>
          <w:trHeight w:val="207"/>
        </w:trPr>
        <w:tc>
          <w:tcPr>
            <w:tcW w:w="674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Average shares outstanding—diluted</w:t>
            </w:r>
          </w:p>
        </w:tc>
        <w:tc>
          <w:tcPr>
            <w:tcW w:w="150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269.4</w:t>
            </w:r>
          </w:p>
        </w:tc>
        <w:tc>
          <w:tcPr>
            <w:tcW w:w="1760" w:type="dxa"/>
            <w:vAlign w:val="bottom"/>
            <w:tcBorders>
              <w:bottom w:val="single" w:sz="8" w:color="00539B"/>
            </w:tcBorders>
          </w:tcPr>
          <w:p>
            <w:pPr>
              <w:jc w:val="right"/>
              <w:ind w:right="248"/>
              <w:spacing w:after="0"/>
              <w:rPr>
                <w:sz w:val="20"/>
                <w:szCs w:val="20"/>
                <w:color w:val="auto"/>
              </w:rPr>
            </w:pPr>
            <w:r>
              <w:rPr>
                <w:rFonts w:ascii="Arial" w:cs="Arial" w:eastAsia="Arial" w:hAnsi="Arial"/>
                <w:sz w:val="14"/>
                <w:szCs w:val="14"/>
                <w:color w:val="auto"/>
              </w:rPr>
              <w:t>269.6</w:t>
            </w:r>
          </w:p>
        </w:tc>
        <w:tc>
          <w:tcPr>
            <w:tcW w:w="124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269.8</w:t>
            </w:r>
          </w:p>
        </w:tc>
      </w:tr>
    </w:tbl>
    <w:p>
      <w:pPr>
        <w:spacing w:after="0" w:line="23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sets forth the stock options and RSUs for the years ended November 30 which were not considered in our earnings per share calculation since they were antidilutive:</w:t>
      </w:r>
    </w:p>
    <w:tbl>
      <w:tblPr>
        <w:tblLayout w:type="fixed"/>
        <w:tblInd w:w="0" w:type="dxa"/>
        <w:tblCellMar>
          <w:top w:w="0" w:type="dxa"/>
          <w:left w:w="0" w:type="dxa"/>
          <w:bottom w:w="0" w:type="dxa"/>
          <w:right w:w="0" w:type="dxa"/>
        </w:tblCellMar>
      </w:tblPr>
      <w:tr>
        <w:trPr>
          <w:trHeight w:val="206"/>
        </w:trPr>
        <w:tc>
          <w:tcPr>
            <w:tcW w:w="6760" w:type="dxa"/>
            <w:vAlign w:val="bottom"/>
            <w:tcBorders>
              <w:top w:val="single" w:sz="8" w:color="00539B"/>
              <w:bottom w:val="single" w:sz="8" w:color="00539B"/>
            </w:tcBorders>
          </w:tcPr>
          <w:p>
            <w:pPr>
              <w:ind w:left="20"/>
              <w:spacing w:after="0"/>
              <w:rPr>
                <w:sz w:val="20"/>
                <w:szCs w:val="20"/>
                <w:color w:val="auto"/>
              </w:rPr>
            </w:pPr>
            <w:r>
              <w:rPr>
                <w:rFonts w:ascii="Arial" w:cs="Arial" w:eastAsia="Arial" w:hAnsi="Arial"/>
                <w:sz w:val="14"/>
                <w:szCs w:val="14"/>
                <w:color w:val="auto"/>
              </w:rPr>
              <w:t>(millions)</w:t>
            </w:r>
          </w:p>
        </w:tc>
        <w:tc>
          <w:tcPr>
            <w:tcW w:w="1460" w:type="dxa"/>
            <w:vAlign w:val="bottom"/>
            <w:tcBorders>
              <w:top w:val="single" w:sz="8" w:color="00539B"/>
              <w:bottom w:val="single" w:sz="8" w:color="00539B"/>
            </w:tcBorders>
            <w:shd w:val="clear" w:color="auto" w:fill="E0E3F1"/>
          </w:tcPr>
          <w:p>
            <w:pPr>
              <w:jc w:val="right"/>
              <w:ind w:right="488"/>
              <w:spacing w:after="0"/>
              <w:rPr>
                <w:sz w:val="20"/>
                <w:szCs w:val="20"/>
                <w:color w:val="auto"/>
              </w:rPr>
            </w:pPr>
            <w:r>
              <w:rPr>
                <w:rFonts w:ascii="Arial" w:cs="Arial" w:eastAsia="Arial" w:hAnsi="Arial"/>
                <w:sz w:val="14"/>
                <w:szCs w:val="14"/>
                <w:color w:val="auto"/>
              </w:rPr>
              <w:t>2025</w:t>
            </w:r>
          </w:p>
        </w:tc>
        <w:tc>
          <w:tcPr>
            <w:tcW w:w="1740" w:type="dxa"/>
            <w:vAlign w:val="bottom"/>
            <w:tcBorders>
              <w:top w:val="single" w:sz="8" w:color="00539B"/>
              <w:bottom w:val="single" w:sz="8" w:color="00539B"/>
            </w:tcBorders>
          </w:tcPr>
          <w:p>
            <w:pPr>
              <w:jc w:val="right"/>
              <w:ind w:right="768"/>
              <w:spacing w:after="0"/>
              <w:rPr>
                <w:sz w:val="20"/>
                <w:szCs w:val="20"/>
                <w:color w:val="auto"/>
              </w:rPr>
            </w:pPr>
            <w:r>
              <w:rPr>
                <w:rFonts w:ascii="Arial" w:cs="Arial" w:eastAsia="Arial" w:hAnsi="Arial"/>
                <w:sz w:val="14"/>
                <w:szCs w:val="14"/>
                <w:color w:val="auto"/>
              </w:rPr>
              <w:t>2024</w:t>
            </w:r>
          </w:p>
        </w:tc>
        <w:tc>
          <w:tcPr>
            <w:tcW w:w="1240" w:type="dxa"/>
            <w:vAlign w:val="bottom"/>
            <w:tcBorders>
              <w:top w:val="single" w:sz="8" w:color="00539B"/>
              <w:bottom w:val="single" w:sz="8" w:color="00539B"/>
            </w:tcBorders>
          </w:tcPr>
          <w:p>
            <w:pPr>
              <w:jc w:val="right"/>
              <w:ind w:right="508"/>
              <w:spacing w:after="0"/>
              <w:rPr>
                <w:sz w:val="20"/>
                <w:szCs w:val="20"/>
                <w:color w:val="auto"/>
              </w:rPr>
            </w:pPr>
            <w:r>
              <w:rPr>
                <w:rFonts w:ascii="Arial" w:cs="Arial" w:eastAsia="Arial" w:hAnsi="Arial"/>
                <w:sz w:val="14"/>
                <w:szCs w:val="14"/>
                <w:color w:val="auto"/>
              </w:rPr>
              <w:t>2023</w:t>
            </w:r>
          </w:p>
        </w:tc>
      </w:tr>
      <w:tr>
        <w:trPr>
          <w:trHeight w:val="207"/>
        </w:trPr>
        <w:tc>
          <w:tcPr>
            <w:tcW w:w="676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Antidilutive securities</w:t>
            </w:r>
          </w:p>
        </w:tc>
        <w:tc>
          <w:tcPr>
            <w:tcW w:w="146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3.5</w:t>
            </w:r>
          </w:p>
        </w:tc>
        <w:tc>
          <w:tcPr>
            <w:tcW w:w="1740" w:type="dxa"/>
            <w:vAlign w:val="bottom"/>
            <w:tcBorders>
              <w:bottom w:val="single" w:sz="8" w:color="00539B"/>
            </w:tcBorders>
          </w:tcPr>
          <w:p>
            <w:pPr>
              <w:jc w:val="right"/>
              <w:ind w:right="248"/>
              <w:spacing w:after="0"/>
              <w:rPr>
                <w:sz w:val="20"/>
                <w:szCs w:val="20"/>
                <w:color w:val="auto"/>
              </w:rPr>
            </w:pPr>
            <w:r>
              <w:rPr>
                <w:rFonts w:ascii="Arial" w:cs="Arial" w:eastAsia="Arial" w:hAnsi="Arial"/>
                <w:sz w:val="14"/>
                <w:szCs w:val="14"/>
                <w:color w:val="auto"/>
              </w:rPr>
              <w:t>3.4</w:t>
            </w:r>
          </w:p>
        </w:tc>
        <w:tc>
          <w:tcPr>
            <w:tcW w:w="124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2.2</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00539B"/>
        </w:rPr>
        <w:t>14. COMMITMENTS AND CONTINGENCIES</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the normal course of our business, we are involved with various claims and litigation. Reserves are established in connection with such matters when a loss is probable and the amount of such loss can be reasonably estimated. At November 30, 2025 and 2024, no material reserves were recorded. The determination of probability and the estimation of the actual amount of any such loss are inherently unpredictable, and it is therefore possible that the eventual outcome of such claims and litigation could exceed the estimated reserves, if any. However, we do not expect the outcome of the matters currently pending will have a material adverse effect on our financial statements.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00539B"/>
        </w:rPr>
        <w:t>15. BUSINESS SEGMENTS AND GEOGRAPHIC AREAS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539B"/>
        </w:rPr>
        <w:t>Business Segments</w:t>
      </w:r>
    </w:p>
    <w:p>
      <w:pPr>
        <w:spacing w:after="0" w:line="2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operate in two business segments: Consumer and Flavor Solutions. The Consumer and Flavor Solutions segments manufacture, market and distribute herbs, spices, seasoning mixes, condiments and other flavorful products throughout the world. Our Consumer segment sells to retail channels, including grocery, mass merchandise, warehouse clubs, discount and drug stores, and e-commerce under the “McCormick” brand and a variety of brands around the world, including “French's,” “Frank's RedHot,” “Lawry’s,” “Zatarain’s,” “Simply Asia,” “Thai Kitchen,” “Ducros,” “Vahiné,” "Cholula," “Schwartz,” “Club House,” “Kamis,” "DaQiao," "La Drogheria," "Stubb's," "OLD BAY," and "Gourmet Garden." Our Flavor Solutions segment sells to food manufacturers and the foodservice industry both directly and indirectly through distributors, with the exception of our businesses in China where foodservice sales are managed by and reported in our Consumer segment.</w:t>
      </w:r>
    </w:p>
    <w:p>
      <w:pPr>
        <w:spacing w:after="0" w:line="19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CODM is our Chairman, President &amp; Chief Executive Officer. Our CODM uses operating income excluding special charges and transaction and integration expenses related to our acquisitions to manage segment performance and allocate resources across segments and considers variances of actual performance to our annual budget and periodic forecasts as well as year over year performance when making decisions. Special charges and transaction and integration expenses are excluded from operating income in our internal reporting to the CODM as this activity is managed separately from the business segments. Activity related to special charges, including transaction and integration expenses, is described in Note 2. Transaction and integration expenses include the amortization of the acquisition-date fair value adjustment of inventories included in cost of goods sold, costs directly associated with that acquisition and costs associated with integrating the businesses</w:t>
      </w:r>
    </w:p>
    <w:p>
      <w:pPr>
        <w:spacing w:after="0" w:line="212"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Although the segments are managed separately due to their distinct distribution channels and marketing strategies, manufacturing and warehousing are often integrated to maximize cost efficiencies. As a result, jointly utilized assets, including fixed assets, and depreciation and amortization expense are not maintained by individual segment. Depreciation and amortization expense is allocated to the segments except for amounts that are recognized in interest.</w:t>
      </w:r>
    </w:p>
    <w:p>
      <w:pPr>
        <w:spacing w:after="0" w:line="20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have a large number of customers for our products. Sales to one of our Consumer segment customers, Wal-Mart Stores, Inc., accounted for approximately 12% of consolidated sales in 2025, 2024, and 2023. Sales to one of our Flavor Solutions segment customers, PepsiCo, Inc., accounted for approximately 12%, 13%, and 13% of consolidated sales in 2025, 2024, and 2023, respectively.</w:t>
      </w:r>
    </w:p>
    <w:p>
      <w:pPr>
        <w:spacing w:after="0" w:line="11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Accounting policies for measuring segment operating income and assets are consistent with those described in Note 1. Because of integrated manufacturing for certain products within the segments, products are not sold from one segment to another but rather inventory is transferred at cost. Inter-segment transfers are not material. Corporate assets include cash, deferred taxes, investments, and certain fixed assets.</w:t>
      </w: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52" w:right="37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00539B"/>
        </w:rPr>
        <w:t>Business Segment Results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60" w:type="dxa"/>
            <w:vAlign w:val="bottom"/>
            <w:tcBorders>
              <w:top w:val="single" w:sz="8" w:color="00539B"/>
            </w:tcBorders>
            <w:vMerge w:val="restart"/>
          </w:tcPr>
          <w:p>
            <w:pPr>
              <w:ind w:left="20"/>
              <w:spacing w:after="0"/>
              <w:rPr>
                <w:sz w:val="20"/>
                <w:szCs w:val="20"/>
                <w:color w:val="auto"/>
              </w:rPr>
            </w:pPr>
            <w:r>
              <w:rPr>
                <w:rFonts w:ascii="Arial" w:cs="Arial" w:eastAsia="Arial" w:hAnsi="Arial"/>
                <w:sz w:val="14"/>
                <w:szCs w:val="14"/>
                <w:color w:val="auto"/>
              </w:rPr>
              <w:t>(millions)</w:t>
            </w:r>
          </w:p>
        </w:tc>
        <w:tc>
          <w:tcPr>
            <w:tcW w:w="200" w:type="dxa"/>
            <w:vAlign w:val="bottom"/>
            <w:tcBorders>
              <w:top w:val="single" w:sz="8" w:color="00539B"/>
            </w:tcBorders>
          </w:tcPr>
          <w:p>
            <w:pPr>
              <w:spacing w:after="0"/>
              <w:rPr>
                <w:sz w:val="15"/>
                <w:szCs w:val="15"/>
                <w:color w:val="auto"/>
              </w:rPr>
            </w:pPr>
          </w:p>
        </w:tc>
        <w:tc>
          <w:tcPr>
            <w:tcW w:w="1060" w:type="dxa"/>
            <w:vAlign w:val="bottom"/>
            <w:tcBorders>
              <w:top w:val="single" w:sz="8" w:color="00539B"/>
            </w:tcBorders>
            <w:vMerge w:val="restart"/>
          </w:tcPr>
          <w:p>
            <w:pPr>
              <w:jc w:val="right"/>
              <w:ind w:right="208"/>
              <w:spacing w:after="0"/>
              <w:rPr>
                <w:sz w:val="20"/>
                <w:szCs w:val="20"/>
                <w:color w:val="auto"/>
              </w:rPr>
            </w:pPr>
            <w:r>
              <w:rPr>
                <w:rFonts w:ascii="Arial" w:cs="Arial" w:eastAsia="Arial" w:hAnsi="Arial"/>
                <w:sz w:val="14"/>
                <w:szCs w:val="14"/>
                <w:color w:val="auto"/>
              </w:rPr>
              <w:t>Consumer</w:t>
            </w:r>
          </w:p>
        </w:tc>
        <w:tc>
          <w:tcPr>
            <w:tcW w:w="160" w:type="dxa"/>
            <w:vAlign w:val="bottom"/>
            <w:tcBorders>
              <w:top w:val="single" w:sz="8" w:color="00539B"/>
            </w:tcBorders>
          </w:tcPr>
          <w:p>
            <w:pPr>
              <w:spacing w:after="0"/>
              <w:rPr>
                <w:sz w:val="15"/>
                <w:szCs w:val="15"/>
                <w:color w:val="auto"/>
              </w:rPr>
            </w:pPr>
          </w:p>
        </w:tc>
        <w:tc>
          <w:tcPr>
            <w:tcW w:w="1140" w:type="dxa"/>
            <w:vAlign w:val="bottom"/>
            <w:tcBorders>
              <w:top w:val="single" w:sz="8" w:color="00539B"/>
            </w:tcBorders>
            <w:vMerge w:val="restart"/>
          </w:tcPr>
          <w:p>
            <w:pPr>
              <w:jc w:val="right"/>
              <w:ind w:right="28"/>
              <w:spacing w:after="0"/>
              <w:rPr>
                <w:sz w:val="20"/>
                <w:szCs w:val="20"/>
                <w:color w:val="auto"/>
              </w:rPr>
            </w:pPr>
            <w:r>
              <w:rPr>
                <w:rFonts w:ascii="Arial" w:cs="Arial" w:eastAsia="Arial" w:hAnsi="Arial"/>
                <w:sz w:val="14"/>
                <w:szCs w:val="14"/>
                <w:color w:val="auto"/>
              </w:rPr>
              <w:t>Flavor Solutions</w:t>
            </w:r>
          </w:p>
        </w:tc>
        <w:tc>
          <w:tcPr>
            <w:tcW w:w="240" w:type="dxa"/>
            <w:vAlign w:val="bottom"/>
            <w:tcBorders>
              <w:top w:val="single" w:sz="8" w:color="00539B"/>
            </w:tcBorders>
          </w:tcPr>
          <w:p>
            <w:pPr>
              <w:spacing w:after="0"/>
              <w:rPr>
                <w:sz w:val="15"/>
                <w:szCs w:val="15"/>
                <w:color w:val="auto"/>
              </w:rPr>
            </w:pPr>
          </w:p>
        </w:tc>
        <w:tc>
          <w:tcPr>
            <w:tcW w:w="1060" w:type="dxa"/>
            <w:vAlign w:val="bottom"/>
            <w:tcBorders>
              <w:top w:val="single" w:sz="8" w:color="00539B"/>
            </w:tcBorders>
          </w:tcPr>
          <w:p>
            <w:pPr>
              <w:jc w:val="right"/>
              <w:ind w:right="388"/>
              <w:spacing w:after="0"/>
              <w:rPr>
                <w:sz w:val="20"/>
                <w:szCs w:val="20"/>
                <w:color w:val="auto"/>
              </w:rPr>
            </w:pPr>
            <w:r>
              <w:rPr>
                <w:rFonts w:ascii="Arial" w:cs="Arial" w:eastAsia="Arial" w:hAnsi="Arial"/>
                <w:sz w:val="14"/>
                <w:szCs w:val="14"/>
                <w:color w:val="auto"/>
              </w:rPr>
              <w:t>Total</w:t>
            </w:r>
          </w:p>
        </w:tc>
        <w:tc>
          <w:tcPr>
            <w:tcW w:w="240" w:type="dxa"/>
            <w:vAlign w:val="bottom"/>
            <w:tcBorders>
              <w:top w:val="single" w:sz="8" w:color="00539B"/>
            </w:tcBorders>
          </w:tcPr>
          <w:p>
            <w:pPr>
              <w:spacing w:after="0"/>
              <w:rPr>
                <w:sz w:val="15"/>
                <w:szCs w:val="15"/>
                <w:color w:val="auto"/>
              </w:rPr>
            </w:pPr>
          </w:p>
        </w:tc>
        <w:tc>
          <w:tcPr>
            <w:tcW w:w="1060" w:type="dxa"/>
            <w:vAlign w:val="bottom"/>
            <w:tcBorders>
              <w:top w:val="single" w:sz="8" w:color="00539B"/>
            </w:tcBorders>
          </w:tcPr>
          <w:p>
            <w:pPr>
              <w:jc w:val="right"/>
              <w:ind w:right="228"/>
              <w:spacing w:after="0"/>
              <w:rPr>
                <w:sz w:val="20"/>
                <w:szCs w:val="20"/>
                <w:color w:val="auto"/>
              </w:rPr>
            </w:pPr>
            <w:r>
              <w:rPr>
                <w:rFonts w:ascii="Arial" w:cs="Arial" w:eastAsia="Arial" w:hAnsi="Arial"/>
                <w:sz w:val="14"/>
                <w:szCs w:val="14"/>
                <w:color w:val="auto"/>
              </w:rPr>
              <w:t>Corporate</w:t>
            </w:r>
          </w:p>
        </w:tc>
        <w:tc>
          <w:tcPr>
            <w:tcW w:w="320" w:type="dxa"/>
            <w:vAlign w:val="bottom"/>
            <w:tcBorders>
              <w:top w:val="single" w:sz="8" w:color="00539B"/>
            </w:tcBorders>
          </w:tcPr>
          <w:p>
            <w:pPr>
              <w:spacing w:after="0"/>
              <w:rPr>
                <w:sz w:val="15"/>
                <w:szCs w:val="15"/>
                <w:color w:val="auto"/>
              </w:rPr>
            </w:pPr>
          </w:p>
        </w:tc>
        <w:tc>
          <w:tcPr>
            <w:tcW w:w="1000" w:type="dxa"/>
            <w:vAlign w:val="bottom"/>
            <w:tcBorders>
              <w:top w:val="single" w:sz="8" w:color="00539B"/>
            </w:tcBorders>
            <w:vMerge w:val="restart"/>
          </w:tcPr>
          <w:p>
            <w:pPr>
              <w:jc w:val="right"/>
              <w:ind w:right="42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5"/>
        </w:trPr>
        <w:tc>
          <w:tcPr>
            <w:tcW w:w="4760" w:type="dxa"/>
            <w:vAlign w:val="bottom"/>
            <w:tcBorders>
              <w:bottom w:val="single" w:sz="8" w:color="00539B"/>
            </w:tcBorders>
            <w:vMerge w:val="continue"/>
          </w:tcPr>
          <w:p>
            <w:pPr>
              <w:spacing w:after="0"/>
              <w:rPr>
                <w:sz w:val="16"/>
                <w:szCs w:val="16"/>
                <w:color w:val="auto"/>
              </w:rPr>
            </w:pPr>
          </w:p>
        </w:tc>
        <w:tc>
          <w:tcPr>
            <w:tcW w:w="200" w:type="dxa"/>
            <w:vAlign w:val="bottom"/>
            <w:tcBorders>
              <w:bottom w:val="single" w:sz="8" w:color="00539B"/>
            </w:tcBorders>
          </w:tcPr>
          <w:p>
            <w:pPr>
              <w:spacing w:after="0"/>
              <w:rPr>
                <w:sz w:val="16"/>
                <w:szCs w:val="16"/>
                <w:color w:val="auto"/>
              </w:rPr>
            </w:pPr>
          </w:p>
        </w:tc>
        <w:tc>
          <w:tcPr>
            <w:tcW w:w="1060" w:type="dxa"/>
            <w:vAlign w:val="bottom"/>
            <w:tcBorders>
              <w:bottom w:val="single" w:sz="8" w:color="00539B"/>
            </w:tcBorders>
            <w:vMerge w:val="continue"/>
          </w:tcPr>
          <w:p>
            <w:pPr>
              <w:spacing w:after="0"/>
              <w:rPr>
                <w:sz w:val="16"/>
                <w:szCs w:val="16"/>
                <w:color w:val="auto"/>
              </w:rPr>
            </w:pPr>
          </w:p>
        </w:tc>
        <w:tc>
          <w:tcPr>
            <w:tcW w:w="160" w:type="dxa"/>
            <w:vAlign w:val="bottom"/>
            <w:tcBorders>
              <w:bottom w:val="single" w:sz="8" w:color="00539B"/>
            </w:tcBorders>
          </w:tcPr>
          <w:p>
            <w:pPr>
              <w:spacing w:after="0"/>
              <w:rPr>
                <w:sz w:val="16"/>
                <w:szCs w:val="16"/>
                <w:color w:val="auto"/>
              </w:rPr>
            </w:pPr>
          </w:p>
        </w:tc>
        <w:tc>
          <w:tcPr>
            <w:tcW w:w="1140" w:type="dxa"/>
            <w:vAlign w:val="bottom"/>
            <w:tcBorders>
              <w:bottom w:val="single" w:sz="8" w:color="00539B"/>
            </w:tcBorders>
            <w:vMerge w:val="continue"/>
          </w:tcPr>
          <w:p>
            <w:pPr>
              <w:spacing w:after="0"/>
              <w:rPr>
                <w:sz w:val="16"/>
                <w:szCs w:val="16"/>
                <w:color w:val="auto"/>
              </w:rPr>
            </w:pPr>
          </w:p>
        </w:tc>
        <w:tc>
          <w:tcPr>
            <w:tcW w:w="240" w:type="dxa"/>
            <w:vAlign w:val="bottom"/>
            <w:tcBorders>
              <w:bottom w:val="single" w:sz="8" w:color="00539B"/>
            </w:tcBorders>
          </w:tcPr>
          <w:p>
            <w:pPr>
              <w:spacing w:after="0"/>
              <w:rPr>
                <w:sz w:val="16"/>
                <w:szCs w:val="16"/>
                <w:color w:val="auto"/>
              </w:rPr>
            </w:pPr>
          </w:p>
        </w:tc>
        <w:tc>
          <w:tcPr>
            <w:tcW w:w="1060" w:type="dxa"/>
            <w:vAlign w:val="bottom"/>
            <w:tcBorders>
              <w:bottom w:val="single" w:sz="8" w:color="00539B"/>
            </w:tcBorders>
          </w:tcPr>
          <w:p>
            <w:pPr>
              <w:jc w:val="right"/>
              <w:ind w:right="228"/>
              <w:spacing w:after="0"/>
              <w:rPr>
                <w:sz w:val="20"/>
                <w:szCs w:val="20"/>
                <w:color w:val="auto"/>
              </w:rPr>
            </w:pPr>
            <w:r>
              <w:rPr>
                <w:rFonts w:ascii="Arial" w:cs="Arial" w:eastAsia="Arial" w:hAnsi="Arial"/>
                <w:sz w:val="14"/>
                <w:szCs w:val="14"/>
                <w:color w:val="auto"/>
              </w:rPr>
              <w:t>segments</w:t>
            </w:r>
          </w:p>
        </w:tc>
        <w:tc>
          <w:tcPr>
            <w:tcW w:w="240" w:type="dxa"/>
            <w:vAlign w:val="bottom"/>
            <w:tcBorders>
              <w:bottom w:val="single" w:sz="8" w:color="00539B"/>
            </w:tcBorders>
          </w:tcPr>
          <w:p>
            <w:pPr>
              <w:spacing w:after="0"/>
              <w:rPr>
                <w:sz w:val="16"/>
                <w:szCs w:val="16"/>
                <w:color w:val="auto"/>
              </w:rPr>
            </w:pPr>
          </w:p>
        </w:tc>
        <w:tc>
          <w:tcPr>
            <w:tcW w:w="1060" w:type="dxa"/>
            <w:vAlign w:val="bottom"/>
            <w:tcBorders>
              <w:bottom w:val="single" w:sz="8" w:color="00539B"/>
            </w:tcBorders>
          </w:tcPr>
          <w:p>
            <w:pPr>
              <w:jc w:val="right"/>
              <w:ind w:right="328"/>
              <w:spacing w:after="0"/>
              <w:rPr>
                <w:sz w:val="20"/>
                <w:szCs w:val="20"/>
                <w:color w:val="auto"/>
              </w:rPr>
            </w:pPr>
            <w:r>
              <w:rPr>
                <w:rFonts w:ascii="Arial" w:cs="Arial" w:eastAsia="Arial" w:hAnsi="Arial"/>
                <w:sz w:val="14"/>
                <w:szCs w:val="14"/>
                <w:color w:val="auto"/>
              </w:rPr>
              <w:t>&amp; other</w:t>
            </w:r>
          </w:p>
        </w:tc>
        <w:tc>
          <w:tcPr>
            <w:tcW w:w="320" w:type="dxa"/>
            <w:vAlign w:val="bottom"/>
            <w:tcBorders>
              <w:bottom w:val="single" w:sz="8" w:color="00539B"/>
            </w:tcBorders>
          </w:tcPr>
          <w:p>
            <w:pPr>
              <w:spacing w:after="0"/>
              <w:rPr>
                <w:sz w:val="16"/>
                <w:szCs w:val="16"/>
                <w:color w:val="auto"/>
              </w:rPr>
            </w:pPr>
          </w:p>
        </w:tc>
        <w:tc>
          <w:tcPr>
            <w:tcW w:w="1000" w:type="dxa"/>
            <w:vAlign w:val="bottom"/>
            <w:tcBorders>
              <w:bottom w:val="single" w:sz="8" w:color="00539B"/>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760" w:type="dxa"/>
            <w:vAlign w:val="bottom"/>
            <w:shd w:val="clear" w:color="auto" w:fill="E0E3F1"/>
          </w:tcPr>
          <w:p>
            <w:pPr>
              <w:ind w:left="20"/>
              <w:spacing w:after="0"/>
              <w:rPr>
                <w:sz w:val="20"/>
                <w:szCs w:val="20"/>
                <w:color w:val="auto"/>
              </w:rPr>
            </w:pPr>
            <w:r>
              <w:rPr>
                <w:rFonts w:ascii="Arial" w:cs="Arial" w:eastAsia="Arial" w:hAnsi="Arial"/>
                <w:sz w:val="14"/>
                <w:szCs w:val="14"/>
                <w:color w:val="auto"/>
              </w:rPr>
              <w:t>2025</w:t>
            </w:r>
          </w:p>
        </w:tc>
        <w:tc>
          <w:tcPr>
            <w:tcW w:w="200" w:type="dxa"/>
            <w:vAlign w:val="bottom"/>
            <w:shd w:val="clear" w:color="auto" w:fill="E0E3F1"/>
          </w:tcPr>
          <w:p>
            <w:pPr>
              <w:spacing w:after="0"/>
              <w:rPr>
                <w:sz w:val="16"/>
                <w:szCs w:val="16"/>
                <w:color w:val="auto"/>
              </w:rPr>
            </w:pPr>
          </w:p>
        </w:tc>
        <w:tc>
          <w:tcPr>
            <w:tcW w:w="1060" w:type="dxa"/>
            <w:vAlign w:val="bottom"/>
            <w:shd w:val="clear" w:color="auto" w:fill="E0E3F1"/>
          </w:tcPr>
          <w:p>
            <w:pPr>
              <w:spacing w:after="0"/>
              <w:rPr>
                <w:sz w:val="16"/>
                <w:szCs w:val="16"/>
                <w:color w:val="auto"/>
              </w:rPr>
            </w:pPr>
          </w:p>
        </w:tc>
        <w:tc>
          <w:tcPr>
            <w:tcW w:w="160" w:type="dxa"/>
            <w:vAlign w:val="bottom"/>
            <w:shd w:val="clear" w:color="auto" w:fill="E0E3F1"/>
          </w:tcPr>
          <w:p>
            <w:pPr>
              <w:spacing w:after="0"/>
              <w:rPr>
                <w:sz w:val="16"/>
                <w:szCs w:val="16"/>
                <w:color w:val="auto"/>
              </w:rPr>
            </w:pPr>
          </w:p>
        </w:tc>
        <w:tc>
          <w:tcPr>
            <w:tcW w:w="1140" w:type="dxa"/>
            <w:vAlign w:val="bottom"/>
            <w:shd w:val="clear" w:color="auto" w:fill="E0E3F1"/>
          </w:tcPr>
          <w:p>
            <w:pPr>
              <w:spacing w:after="0"/>
              <w:rPr>
                <w:sz w:val="16"/>
                <w:szCs w:val="16"/>
                <w:color w:val="auto"/>
              </w:rPr>
            </w:pPr>
          </w:p>
        </w:tc>
        <w:tc>
          <w:tcPr>
            <w:tcW w:w="240" w:type="dxa"/>
            <w:vAlign w:val="bottom"/>
            <w:shd w:val="clear" w:color="auto" w:fill="E0E3F1"/>
          </w:tcPr>
          <w:p>
            <w:pPr>
              <w:spacing w:after="0"/>
              <w:rPr>
                <w:sz w:val="16"/>
                <w:szCs w:val="16"/>
                <w:color w:val="auto"/>
              </w:rPr>
            </w:pPr>
          </w:p>
        </w:tc>
        <w:tc>
          <w:tcPr>
            <w:tcW w:w="1060" w:type="dxa"/>
            <w:vAlign w:val="bottom"/>
            <w:shd w:val="clear" w:color="auto" w:fill="E0E3F1"/>
          </w:tcPr>
          <w:p>
            <w:pPr>
              <w:spacing w:after="0"/>
              <w:rPr>
                <w:sz w:val="16"/>
                <w:szCs w:val="16"/>
                <w:color w:val="auto"/>
              </w:rPr>
            </w:pPr>
          </w:p>
        </w:tc>
        <w:tc>
          <w:tcPr>
            <w:tcW w:w="240" w:type="dxa"/>
            <w:vAlign w:val="bottom"/>
            <w:shd w:val="clear" w:color="auto" w:fill="E0E3F1"/>
          </w:tcPr>
          <w:p>
            <w:pPr>
              <w:spacing w:after="0"/>
              <w:rPr>
                <w:sz w:val="16"/>
                <w:szCs w:val="16"/>
                <w:color w:val="auto"/>
              </w:rPr>
            </w:pPr>
          </w:p>
        </w:tc>
        <w:tc>
          <w:tcPr>
            <w:tcW w:w="1060" w:type="dxa"/>
            <w:vAlign w:val="bottom"/>
            <w:shd w:val="clear" w:color="auto" w:fill="E0E3F1"/>
          </w:tcPr>
          <w:p>
            <w:pPr>
              <w:spacing w:after="0"/>
              <w:rPr>
                <w:sz w:val="16"/>
                <w:szCs w:val="16"/>
                <w:color w:val="auto"/>
              </w:rPr>
            </w:pPr>
          </w:p>
        </w:tc>
        <w:tc>
          <w:tcPr>
            <w:tcW w:w="320" w:type="dxa"/>
            <w:vAlign w:val="bottom"/>
            <w:shd w:val="clear" w:color="auto" w:fill="E0E3F1"/>
          </w:tcPr>
          <w:p>
            <w:pPr>
              <w:spacing w:after="0"/>
              <w:rPr>
                <w:sz w:val="16"/>
                <w:szCs w:val="16"/>
                <w:color w:val="auto"/>
              </w:rPr>
            </w:pPr>
          </w:p>
        </w:tc>
        <w:tc>
          <w:tcPr>
            <w:tcW w:w="1000" w:type="dxa"/>
            <w:vAlign w:val="bottom"/>
            <w:shd w:val="clear" w:color="auto" w:fill="E0E3F1"/>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760" w:type="dxa"/>
            <w:vAlign w:val="bottom"/>
            <w:shd w:val="clear" w:color="auto" w:fill="E0E3F1"/>
          </w:tcPr>
          <w:p>
            <w:pPr>
              <w:ind w:left="20"/>
              <w:spacing w:after="0"/>
              <w:rPr>
                <w:sz w:val="20"/>
                <w:szCs w:val="20"/>
                <w:color w:val="auto"/>
              </w:rPr>
            </w:pPr>
            <w:r>
              <w:rPr>
                <w:rFonts w:ascii="Arial" w:cs="Arial" w:eastAsia="Arial" w:hAnsi="Arial"/>
                <w:sz w:val="14"/>
                <w:szCs w:val="14"/>
                <w:color w:val="auto"/>
              </w:rPr>
              <w:t>Net sales</w:t>
            </w:r>
          </w:p>
        </w:tc>
        <w:tc>
          <w:tcPr>
            <w:tcW w:w="200" w:type="dxa"/>
            <w:vAlign w:val="bottom"/>
            <w:shd w:val="clear" w:color="auto" w:fill="E0E3F1"/>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3,950.3</w:t>
            </w:r>
          </w:p>
        </w:tc>
        <w:tc>
          <w:tcPr>
            <w:tcW w:w="1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E0E3F1"/>
          </w:tcPr>
          <w:p>
            <w:pPr>
              <w:jc w:val="right"/>
              <w:spacing w:after="0"/>
              <w:rPr>
                <w:sz w:val="20"/>
                <w:szCs w:val="20"/>
                <w:color w:val="auto"/>
              </w:rPr>
            </w:pPr>
            <w:r>
              <w:rPr>
                <w:rFonts w:ascii="Arial" w:cs="Arial" w:eastAsia="Arial" w:hAnsi="Arial"/>
                <w:sz w:val="14"/>
                <w:szCs w:val="14"/>
                <w:color w:val="auto"/>
              </w:rPr>
              <w:t>2,890.0</w:t>
            </w:r>
          </w:p>
        </w:tc>
        <w:tc>
          <w:tcPr>
            <w:tcW w:w="240" w:type="dxa"/>
            <w:vAlign w:val="bottom"/>
            <w:shd w:val="clear" w:color="auto" w:fill="E0E3F1"/>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6,840.3</w:t>
            </w:r>
          </w:p>
        </w:tc>
        <w:tc>
          <w:tcPr>
            <w:tcW w:w="240" w:type="dxa"/>
            <w:vAlign w:val="bottom"/>
            <w:shd w:val="clear" w:color="auto" w:fill="E0E3F1"/>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E0E3F1"/>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E0E3F1"/>
          </w:tcPr>
          <w:p>
            <w:pPr>
              <w:jc w:val="right"/>
              <w:spacing w:after="0"/>
              <w:rPr>
                <w:sz w:val="20"/>
                <w:szCs w:val="20"/>
                <w:color w:val="auto"/>
              </w:rPr>
            </w:pPr>
            <w:r>
              <w:rPr>
                <w:rFonts w:ascii="Arial" w:cs="Arial" w:eastAsia="Arial" w:hAnsi="Arial"/>
                <w:sz w:val="14"/>
                <w:szCs w:val="14"/>
                <w:color w:val="auto"/>
              </w:rPr>
              <w:t>6,840.3</w:t>
            </w:r>
          </w:p>
        </w:tc>
        <w:tc>
          <w:tcPr>
            <w:tcW w:w="0" w:type="dxa"/>
            <w:vAlign w:val="bottom"/>
          </w:tcPr>
          <w:p>
            <w:pPr>
              <w:spacing w:after="0"/>
              <w:rPr>
                <w:sz w:val="1"/>
                <w:szCs w:val="1"/>
                <w:color w:val="auto"/>
              </w:rPr>
            </w:pPr>
          </w:p>
        </w:tc>
      </w:tr>
      <w:tr>
        <w:trPr>
          <w:trHeight w:val="203"/>
        </w:trPr>
        <w:tc>
          <w:tcPr>
            <w:tcW w:w="4760" w:type="dxa"/>
            <w:vAlign w:val="bottom"/>
            <w:shd w:val="clear" w:color="auto" w:fill="E0E3F1"/>
          </w:tcPr>
          <w:p>
            <w:pPr>
              <w:ind w:left="20"/>
              <w:spacing w:after="0"/>
              <w:rPr>
                <w:sz w:val="20"/>
                <w:szCs w:val="20"/>
                <w:color w:val="auto"/>
              </w:rPr>
            </w:pPr>
            <w:r>
              <w:rPr>
                <w:rFonts w:ascii="Arial" w:cs="Arial" w:eastAsia="Arial" w:hAnsi="Arial"/>
                <w:sz w:val="14"/>
                <w:szCs w:val="14"/>
                <w:color w:val="auto"/>
              </w:rPr>
              <w:t>Cost of goods sold excluding special charges</w:t>
            </w:r>
          </w:p>
        </w:tc>
        <w:tc>
          <w:tcPr>
            <w:tcW w:w="200" w:type="dxa"/>
            <w:vAlign w:val="bottom"/>
            <w:shd w:val="clear" w:color="auto" w:fill="E0E3F1"/>
          </w:tcPr>
          <w:p>
            <w:pPr>
              <w:spacing w:after="0"/>
              <w:rPr>
                <w:sz w:val="17"/>
                <w:szCs w:val="17"/>
                <w:color w:val="auto"/>
              </w:rPr>
            </w:pPr>
          </w:p>
        </w:tc>
        <w:tc>
          <w:tcPr>
            <w:tcW w:w="10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2,187.4</w:t>
            </w:r>
          </w:p>
        </w:tc>
        <w:tc>
          <w:tcPr>
            <w:tcW w:w="160" w:type="dxa"/>
            <w:vAlign w:val="bottom"/>
            <w:shd w:val="clear" w:color="auto" w:fill="E0E3F1"/>
          </w:tcPr>
          <w:p>
            <w:pPr>
              <w:spacing w:after="0"/>
              <w:rPr>
                <w:sz w:val="17"/>
                <w:szCs w:val="17"/>
                <w:color w:val="auto"/>
              </w:rPr>
            </w:pPr>
          </w:p>
        </w:tc>
        <w:tc>
          <w:tcPr>
            <w:tcW w:w="1140" w:type="dxa"/>
            <w:vAlign w:val="bottom"/>
            <w:shd w:val="clear" w:color="auto" w:fill="E0E3F1"/>
          </w:tcPr>
          <w:p>
            <w:pPr>
              <w:jc w:val="right"/>
              <w:spacing w:after="0"/>
              <w:rPr>
                <w:sz w:val="20"/>
                <w:szCs w:val="20"/>
                <w:color w:val="auto"/>
              </w:rPr>
            </w:pPr>
            <w:r>
              <w:rPr>
                <w:rFonts w:ascii="Arial" w:cs="Arial" w:eastAsia="Arial" w:hAnsi="Arial"/>
                <w:sz w:val="14"/>
                <w:szCs w:val="14"/>
                <w:color w:val="auto"/>
              </w:rPr>
              <w:t>2,058.6</w:t>
            </w:r>
          </w:p>
        </w:tc>
        <w:tc>
          <w:tcPr>
            <w:tcW w:w="240" w:type="dxa"/>
            <w:vAlign w:val="bottom"/>
            <w:shd w:val="clear" w:color="auto" w:fill="E0E3F1"/>
          </w:tcPr>
          <w:p>
            <w:pPr>
              <w:spacing w:after="0"/>
              <w:rPr>
                <w:sz w:val="17"/>
                <w:szCs w:val="17"/>
                <w:color w:val="auto"/>
              </w:rPr>
            </w:pPr>
          </w:p>
        </w:tc>
        <w:tc>
          <w:tcPr>
            <w:tcW w:w="10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4,246.0</w:t>
            </w:r>
          </w:p>
        </w:tc>
        <w:tc>
          <w:tcPr>
            <w:tcW w:w="240" w:type="dxa"/>
            <w:vAlign w:val="bottom"/>
            <w:shd w:val="clear" w:color="auto" w:fill="E0E3F1"/>
          </w:tcPr>
          <w:p>
            <w:pPr>
              <w:spacing w:after="0"/>
              <w:rPr>
                <w:sz w:val="17"/>
                <w:szCs w:val="17"/>
                <w:color w:val="auto"/>
              </w:rPr>
            </w:pPr>
          </w:p>
        </w:tc>
        <w:tc>
          <w:tcPr>
            <w:tcW w:w="10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E0E3F1"/>
          </w:tcPr>
          <w:p>
            <w:pPr>
              <w:spacing w:after="0"/>
              <w:rPr>
                <w:sz w:val="17"/>
                <w:szCs w:val="17"/>
                <w:color w:val="auto"/>
              </w:rPr>
            </w:pPr>
          </w:p>
        </w:tc>
        <w:tc>
          <w:tcPr>
            <w:tcW w:w="1000" w:type="dxa"/>
            <w:vAlign w:val="bottom"/>
            <w:shd w:val="clear" w:color="auto" w:fill="E0E3F1"/>
          </w:tcPr>
          <w:p>
            <w:pPr>
              <w:jc w:val="right"/>
              <w:spacing w:after="0"/>
              <w:rPr>
                <w:sz w:val="20"/>
                <w:szCs w:val="20"/>
                <w:color w:val="auto"/>
              </w:rPr>
            </w:pPr>
            <w:r>
              <w:rPr>
                <w:rFonts w:ascii="Arial" w:cs="Arial" w:eastAsia="Arial" w:hAnsi="Arial"/>
                <w:sz w:val="14"/>
                <w:szCs w:val="14"/>
                <w:color w:val="auto"/>
              </w:rPr>
              <w:t>4,246.0</w:t>
            </w:r>
          </w:p>
        </w:tc>
        <w:tc>
          <w:tcPr>
            <w:tcW w:w="0" w:type="dxa"/>
            <w:vAlign w:val="bottom"/>
          </w:tcPr>
          <w:p>
            <w:pPr>
              <w:spacing w:after="0"/>
              <w:rPr>
                <w:sz w:val="1"/>
                <w:szCs w:val="1"/>
                <w:color w:val="auto"/>
              </w:rPr>
            </w:pPr>
          </w:p>
        </w:tc>
      </w:tr>
      <w:tr>
        <w:trPr>
          <w:trHeight w:val="202"/>
        </w:trPr>
        <w:tc>
          <w:tcPr>
            <w:tcW w:w="4760" w:type="dxa"/>
            <w:vAlign w:val="bottom"/>
            <w:shd w:val="clear" w:color="auto" w:fill="E0E3F1"/>
          </w:tcPr>
          <w:p>
            <w:pPr>
              <w:ind w:left="20"/>
              <w:spacing w:after="0"/>
              <w:rPr>
                <w:sz w:val="20"/>
                <w:szCs w:val="20"/>
                <w:color w:val="auto"/>
              </w:rPr>
            </w:pPr>
            <w:r>
              <w:rPr>
                <w:rFonts w:ascii="Arial" w:cs="Arial" w:eastAsia="Arial" w:hAnsi="Arial"/>
                <w:sz w:val="14"/>
                <w:szCs w:val="14"/>
                <w:color w:val="auto"/>
              </w:rPr>
              <w:t>SG&amp;A expense</w:t>
            </w:r>
          </w:p>
        </w:tc>
        <w:tc>
          <w:tcPr>
            <w:tcW w:w="200" w:type="dxa"/>
            <w:vAlign w:val="bottom"/>
            <w:shd w:val="clear" w:color="auto" w:fill="E0E3F1"/>
          </w:tcPr>
          <w:p>
            <w:pPr>
              <w:spacing w:after="0"/>
              <w:rPr>
                <w:sz w:val="17"/>
                <w:szCs w:val="17"/>
                <w:color w:val="auto"/>
              </w:rPr>
            </w:pPr>
          </w:p>
        </w:tc>
        <w:tc>
          <w:tcPr>
            <w:tcW w:w="10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1,028.0</w:t>
            </w:r>
          </w:p>
        </w:tc>
        <w:tc>
          <w:tcPr>
            <w:tcW w:w="160" w:type="dxa"/>
            <w:vAlign w:val="bottom"/>
            <w:shd w:val="clear" w:color="auto" w:fill="E0E3F1"/>
          </w:tcPr>
          <w:p>
            <w:pPr>
              <w:spacing w:after="0"/>
              <w:rPr>
                <w:sz w:val="17"/>
                <w:szCs w:val="17"/>
                <w:color w:val="auto"/>
              </w:rPr>
            </w:pPr>
          </w:p>
        </w:tc>
        <w:tc>
          <w:tcPr>
            <w:tcW w:w="1140" w:type="dxa"/>
            <w:vAlign w:val="bottom"/>
            <w:shd w:val="clear" w:color="auto" w:fill="E0E3F1"/>
          </w:tcPr>
          <w:p>
            <w:pPr>
              <w:jc w:val="right"/>
              <w:spacing w:after="0"/>
              <w:rPr>
                <w:sz w:val="20"/>
                <w:szCs w:val="20"/>
                <w:color w:val="auto"/>
              </w:rPr>
            </w:pPr>
            <w:r>
              <w:rPr>
                <w:rFonts w:ascii="Arial" w:cs="Arial" w:eastAsia="Arial" w:hAnsi="Arial"/>
                <w:sz w:val="14"/>
                <w:szCs w:val="14"/>
                <w:color w:val="auto"/>
              </w:rPr>
              <w:t>472.3</w:t>
            </w:r>
          </w:p>
        </w:tc>
        <w:tc>
          <w:tcPr>
            <w:tcW w:w="240" w:type="dxa"/>
            <w:vAlign w:val="bottom"/>
            <w:shd w:val="clear" w:color="auto" w:fill="E0E3F1"/>
          </w:tcPr>
          <w:p>
            <w:pPr>
              <w:spacing w:after="0"/>
              <w:rPr>
                <w:sz w:val="17"/>
                <w:szCs w:val="17"/>
                <w:color w:val="auto"/>
              </w:rPr>
            </w:pPr>
          </w:p>
        </w:tc>
        <w:tc>
          <w:tcPr>
            <w:tcW w:w="10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1,500.3</w:t>
            </w:r>
          </w:p>
        </w:tc>
        <w:tc>
          <w:tcPr>
            <w:tcW w:w="240" w:type="dxa"/>
            <w:vAlign w:val="bottom"/>
            <w:shd w:val="clear" w:color="auto" w:fill="E0E3F1"/>
          </w:tcPr>
          <w:p>
            <w:pPr>
              <w:spacing w:after="0"/>
              <w:rPr>
                <w:sz w:val="17"/>
                <w:szCs w:val="17"/>
                <w:color w:val="auto"/>
              </w:rPr>
            </w:pPr>
          </w:p>
        </w:tc>
        <w:tc>
          <w:tcPr>
            <w:tcW w:w="10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E0E3F1"/>
          </w:tcPr>
          <w:p>
            <w:pPr>
              <w:spacing w:after="0"/>
              <w:rPr>
                <w:sz w:val="17"/>
                <w:szCs w:val="17"/>
                <w:color w:val="auto"/>
              </w:rPr>
            </w:pPr>
          </w:p>
        </w:tc>
        <w:tc>
          <w:tcPr>
            <w:tcW w:w="1000" w:type="dxa"/>
            <w:vAlign w:val="bottom"/>
            <w:shd w:val="clear" w:color="auto" w:fill="E0E3F1"/>
          </w:tcPr>
          <w:p>
            <w:pPr>
              <w:jc w:val="right"/>
              <w:spacing w:after="0"/>
              <w:rPr>
                <w:sz w:val="20"/>
                <w:szCs w:val="20"/>
                <w:color w:val="auto"/>
              </w:rPr>
            </w:pPr>
            <w:r>
              <w:rPr>
                <w:rFonts w:ascii="Arial" w:cs="Arial" w:eastAsia="Arial" w:hAnsi="Arial"/>
                <w:sz w:val="14"/>
                <w:szCs w:val="14"/>
                <w:color w:val="auto"/>
              </w:rPr>
              <w:t>1,500.3</w:t>
            </w:r>
          </w:p>
        </w:tc>
        <w:tc>
          <w:tcPr>
            <w:tcW w:w="0" w:type="dxa"/>
            <w:vAlign w:val="bottom"/>
          </w:tcPr>
          <w:p>
            <w:pPr>
              <w:spacing w:after="0"/>
              <w:rPr>
                <w:sz w:val="1"/>
                <w:szCs w:val="1"/>
                <w:color w:val="auto"/>
              </w:rPr>
            </w:pPr>
          </w:p>
        </w:tc>
      </w:tr>
      <w:tr>
        <w:trPr>
          <w:trHeight w:val="203"/>
        </w:trPr>
        <w:tc>
          <w:tcPr>
            <w:tcW w:w="4760" w:type="dxa"/>
            <w:vAlign w:val="bottom"/>
            <w:shd w:val="clear" w:color="auto" w:fill="E0E3F1"/>
          </w:tcPr>
          <w:p>
            <w:pPr>
              <w:ind w:left="20"/>
              <w:spacing w:after="0"/>
              <w:rPr>
                <w:sz w:val="20"/>
                <w:szCs w:val="20"/>
                <w:color w:val="auto"/>
              </w:rPr>
            </w:pPr>
            <w:r>
              <w:rPr>
                <w:rFonts w:ascii="Arial" w:cs="Arial" w:eastAsia="Arial" w:hAnsi="Arial"/>
                <w:sz w:val="14"/>
                <w:szCs w:val="14"/>
                <w:color w:val="auto"/>
              </w:rPr>
              <w:t>Operating income excluding special charges</w:t>
            </w:r>
          </w:p>
        </w:tc>
        <w:tc>
          <w:tcPr>
            <w:tcW w:w="200" w:type="dxa"/>
            <w:vAlign w:val="bottom"/>
            <w:shd w:val="clear" w:color="auto" w:fill="E0E3F1"/>
          </w:tcPr>
          <w:p>
            <w:pPr>
              <w:spacing w:after="0"/>
              <w:rPr>
                <w:sz w:val="17"/>
                <w:szCs w:val="17"/>
                <w:color w:val="auto"/>
              </w:rPr>
            </w:pPr>
          </w:p>
        </w:tc>
        <w:tc>
          <w:tcPr>
            <w:tcW w:w="10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734.9</w:t>
            </w:r>
          </w:p>
        </w:tc>
        <w:tc>
          <w:tcPr>
            <w:tcW w:w="160" w:type="dxa"/>
            <w:vAlign w:val="bottom"/>
            <w:shd w:val="clear" w:color="auto" w:fill="E0E3F1"/>
          </w:tcPr>
          <w:p>
            <w:pPr>
              <w:spacing w:after="0"/>
              <w:rPr>
                <w:sz w:val="17"/>
                <w:szCs w:val="17"/>
                <w:color w:val="auto"/>
              </w:rPr>
            </w:pPr>
          </w:p>
        </w:tc>
        <w:tc>
          <w:tcPr>
            <w:tcW w:w="1140" w:type="dxa"/>
            <w:vAlign w:val="bottom"/>
            <w:shd w:val="clear" w:color="auto" w:fill="E0E3F1"/>
          </w:tcPr>
          <w:p>
            <w:pPr>
              <w:jc w:val="right"/>
              <w:spacing w:after="0"/>
              <w:rPr>
                <w:sz w:val="20"/>
                <w:szCs w:val="20"/>
                <w:color w:val="auto"/>
              </w:rPr>
            </w:pPr>
            <w:r>
              <w:rPr>
                <w:rFonts w:ascii="Arial" w:cs="Arial" w:eastAsia="Arial" w:hAnsi="Arial"/>
                <w:sz w:val="14"/>
                <w:szCs w:val="14"/>
                <w:color w:val="auto"/>
              </w:rPr>
              <w:t>359.1</w:t>
            </w:r>
          </w:p>
        </w:tc>
        <w:tc>
          <w:tcPr>
            <w:tcW w:w="240" w:type="dxa"/>
            <w:vAlign w:val="bottom"/>
            <w:shd w:val="clear" w:color="auto" w:fill="E0E3F1"/>
          </w:tcPr>
          <w:p>
            <w:pPr>
              <w:spacing w:after="0"/>
              <w:rPr>
                <w:sz w:val="17"/>
                <w:szCs w:val="17"/>
                <w:color w:val="auto"/>
              </w:rPr>
            </w:pPr>
          </w:p>
        </w:tc>
        <w:tc>
          <w:tcPr>
            <w:tcW w:w="10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1,094.0</w:t>
            </w:r>
          </w:p>
        </w:tc>
        <w:tc>
          <w:tcPr>
            <w:tcW w:w="240" w:type="dxa"/>
            <w:vAlign w:val="bottom"/>
            <w:shd w:val="clear" w:color="auto" w:fill="E0E3F1"/>
          </w:tcPr>
          <w:p>
            <w:pPr>
              <w:spacing w:after="0"/>
              <w:rPr>
                <w:sz w:val="17"/>
                <w:szCs w:val="17"/>
                <w:color w:val="auto"/>
              </w:rPr>
            </w:pPr>
          </w:p>
        </w:tc>
        <w:tc>
          <w:tcPr>
            <w:tcW w:w="10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E0E3F1"/>
          </w:tcPr>
          <w:p>
            <w:pPr>
              <w:spacing w:after="0"/>
              <w:rPr>
                <w:sz w:val="17"/>
                <w:szCs w:val="17"/>
                <w:color w:val="auto"/>
              </w:rPr>
            </w:pPr>
          </w:p>
        </w:tc>
        <w:tc>
          <w:tcPr>
            <w:tcW w:w="1000" w:type="dxa"/>
            <w:vAlign w:val="bottom"/>
            <w:shd w:val="clear" w:color="auto" w:fill="E0E3F1"/>
          </w:tcPr>
          <w:p>
            <w:pPr>
              <w:jc w:val="right"/>
              <w:spacing w:after="0"/>
              <w:rPr>
                <w:sz w:val="20"/>
                <w:szCs w:val="20"/>
                <w:color w:val="auto"/>
              </w:rPr>
            </w:pPr>
            <w:r>
              <w:rPr>
                <w:rFonts w:ascii="Arial" w:cs="Arial" w:eastAsia="Arial" w:hAnsi="Arial"/>
                <w:sz w:val="14"/>
                <w:szCs w:val="14"/>
                <w:color w:val="auto"/>
              </w:rPr>
              <w:t>1,094.0</w:t>
            </w:r>
          </w:p>
        </w:tc>
        <w:tc>
          <w:tcPr>
            <w:tcW w:w="0" w:type="dxa"/>
            <w:vAlign w:val="bottom"/>
          </w:tcPr>
          <w:p>
            <w:pPr>
              <w:spacing w:after="0"/>
              <w:rPr>
                <w:sz w:val="1"/>
                <w:szCs w:val="1"/>
                <w:color w:val="auto"/>
              </w:rPr>
            </w:pPr>
          </w:p>
        </w:tc>
      </w:tr>
      <w:tr>
        <w:trPr>
          <w:trHeight w:val="203"/>
        </w:trPr>
        <w:tc>
          <w:tcPr>
            <w:tcW w:w="4760" w:type="dxa"/>
            <w:vAlign w:val="bottom"/>
            <w:shd w:val="clear" w:color="auto" w:fill="E0E3F1"/>
          </w:tcPr>
          <w:p>
            <w:pPr>
              <w:ind w:left="20"/>
              <w:spacing w:after="0"/>
              <w:rPr>
                <w:sz w:val="20"/>
                <w:szCs w:val="20"/>
                <w:color w:val="auto"/>
              </w:rPr>
            </w:pPr>
            <w:r>
              <w:rPr>
                <w:rFonts w:ascii="Arial" w:cs="Arial" w:eastAsia="Arial" w:hAnsi="Arial"/>
                <w:sz w:val="14"/>
                <w:szCs w:val="14"/>
                <w:color w:val="auto"/>
              </w:rPr>
              <w:t>Income from unconsolidated operations</w:t>
            </w:r>
          </w:p>
        </w:tc>
        <w:tc>
          <w:tcPr>
            <w:tcW w:w="200" w:type="dxa"/>
            <w:vAlign w:val="bottom"/>
            <w:shd w:val="clear" w:color="auto" w:fill="E0E3F1"/>
          </w:tcPr>
          <w:p>
            <w:pPr>
              <w:spacing w:after="0"/>
              <w:rPr>
                <w:sz w:val="17"/>
                <w:szCs w:val="17"/>
                <w:color w:val="auto"/>
              </w:rPr>
            </w:pPr>
          </w:p>
        </w:tc>
        <w:tc>
          <w:tcPr>
            <w:tcW w:w="10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68.7</w:t>
            </w:r>
          </w:p>
        </w:tc>
        <w:tc>
          <w:tcPr>
            <w:tcW w:w="160" w:type="dxa"/>
            <w:vAlign w:val="bottom"/>
            <w:shd w:val="clear" w:color="auto" w:fill="E0E3F1"/>
          </w:tcPr>
          <w:p>
            <w:pPr>
              <w:spacing w:after="0"/>
              <w:rPr>
                <w:sz w:val="17"/>
                <w:szCs w:val="17"/>
                <w:color w:val="auto"/>
              </w:rPr>
            </w:pPr>
          </w:p>
        </w:tc>
        <w:tc>
          <w:tcPr>
            <w:tcW w:w="1140" w:type="dxa"/>
            <w:vAlign w:val="bottom"/>
            <w:shd w:val="clear" w:color="auto" w:fill="E0E3F1"/>
          </w:tcPr>
          <w:p>
            <w:pPr>
              <w:jc w:val="right"/>
              <w:spacing w:after="0"/>
              <w:rPr>
                <w:sz w:val="20"/>
                <w:szCs w:val="20"/>
                <w:color w:val="auto"/>
              </w:rPr>
            </w:pPr>
            <w:r>
              <w:rPr>
                <w:rFonts w:ascii="Arial" w:cs="Arial" w:eastAsia="Arial" w:hAnsi="Arial"/>
                <w:sz w:val="14"/>
                <w:szCs w:val="14"/>
                <w:color w:val="auto"/>
              </w:rPr>
              <w:t>3.5</w:t>
            </w:r>
          </w:p>
        </w:tc>
        <w:tc>
          <w:tcPr>
            <w:tcW w:w="240" w:type="dxa"/>
            <w:vAlign w:val="bottom"/>
            <w:shd w:val="clear" w:color="auto" w:fill="E0E3F1"/>
          </w:tcPr>
          <w:p>
            <w:pPr>
              <w:spacing w:after="0"/>
              <w:rPr>
                <w:sz w:val="17"/>
                <w:szCs w:val="17"/>
                <w:color w:val="auto"/>
              </w:rPr>
            </w:pPr>
          </w:p>
        </w:tc>
        <w:tc>
          <w:tcPr>
            <w:tcW w:w="10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72.2</w:t>
            </w:r>
          </w:p>
        </w:tc>
        <w:tc>
          <w:tcPr>
            <w:tcW w:w="240" w:type="dxa"/>
            <w:vAlign w:val="bottom"/>
            <w:shd w:val="clear" w:color="auto" w:fill="E0E3F1"/>
          </w:tcPr>
          <w:p>
            <w:pPr>
              <w:spacing w:after="0"/>
              <w:rPr>
                <w:sz w:val="17"/>
                <w:szCs w:val="17"/>
                <w:color w:val="auto"/>
              </w:rPr>
            </w:pPr>
          </w:p>
        </w:tc>
        <w:tc>
          <w:tcPr>
            <w:tcW w:w="10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E0E3F1"/>
          </w:tcPr>
          <w:p>
            <w:pPr>
              <w:spacing w:after="0"/>
              <w:rPr>
                <w:sz w:val="17"/>
                <w:szCs w:val="17"/>
                <w:color w:val="auto"/>
              </w:rPr>
            </w:pPr>
          </w:p>
        </w:tc>
        <w:tc>
          <w:tcPr>
            <w:tcW w:w="1000" w:type="dxa"/>
            <w:vAlign w:val="bottom"/>
            <w:shd w:val="clear" w:color="auto" w:fill="E0E3F1"/>
          </w:tcPr>
          <w:p>
            <w:pPr>
              <w:jc w:val="right"/>
              <w:spacing w:after="0"/>
              <w:rPr>
                <w:sz w:val="20"/>
                <w:szCs w:val="20"/>
                <w:color w:val="auto"/>
              </w:rPr>
            </w:pPr>
            <w:r>
              <w:rPr>
                <w:rFonts w:ascii="Arial" w:cs="Arial" w:eastAsia="Arial" w:hAnsi="Arial"/>
                <w:sz w:val="14"/>
                <w:szCs w:val="14"/>
                <w:color w:val="auto"/>
              </w:rPr>
              <w:t>72.2</w:t>
            </w:r>
          </w:p>
        </w:tc>
        <w:tc>
          <w:tcPr>
            <w:tcW w:w="0" w:type="dxa"/>
            <w:vAlign w:val="bottom"/>
          </w:tcPr>
          <w:p>
            <w:pPr>
              <w:spacing w:after="0"/>
              <w:rPr>
                <w:sz w:val="1"/>
                <w:szCs w:val="1"/>
                <w:color w:val="auto"/>
              </w:rPr>
            </w:pPr>
          </w:p>
        </w:tc>
      </w:tr>
      <w:tr>
        <w:trPr>
          <w:trHeight w:val="203"/>
        </w:trPr>
        <w:tc>
          <w:tcPr>
            <w:tcW w:w="4760" w:type="dxa"/>
            <w:vAlign w:val="bottom"/>
            <w:shd w:val="clear" w:color="auto" w:fill="E0E3F1"/>
          </w:tcPr>
          <w:p>
            <w:pPr>
              <w:ind w:left="20"/>
              <w:spacing w:after="0"/>
              <w:rPr>
                <w:sz w:val="20"/>
                <w:szCs w:val="20"/>
                <w:color w:val="auto"/>
              </w:rPr>
            </w:pPr>
            <w:r>
              <w:rPr>
                <w:rFonts w:ascii="Arial" w:cs="Arial" w:eastAsia="Arial" w:hAnsi="Arial"/>
                <w:sz w:val="14"/>
                <w:szCs w:val="14"/>
                <w:color w:val="auto"/>
              </w:rPr>
              <w:t>Assets</w:t>
            </w:r>
          </w:p>
        </w:tc>
        <w:tc>
          <w:tcPr>
            <w:tcW w:w="200" w:type="dxa"/>
            <w:vAlign w:val="bottom"/>
            <w:shd w:val="clear" w:color="auto" w:fill="E0E3F1"/>
          </w:tcPr>
          <w:p>
            <w:pPr>
              <w:spacing w:after="0"/>
              <w:rPr>
                <w:sz w:val="17"/>
                <w:szCs w:val="17"/>
                <w:color w:val="auto"/>
              </w:rPr>
            </w:pPr>
          </w:p>
        </w:tc>
        <w:tc>
          <w:tcPr>
            <w:tcW w:w="10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E0E3F1"/>
          </w:tcPr>
          <w:p>
            <w:pPr>
              <w:spacing w:after="0"/>
              <w:rPr>
                <w:sz w:val="17"/>
                <w:szCs w:val="17"/>
                <w:color w:val="auto"/>
              </w:rPr>
            </w:pPr>
          </w:p>
        </w:tc>
        <w:tc>
          <w:tcPr>
            <w:tcW w:w="1140" w:type="dxa"/>
            <w:vAlign w:val="bottom"/>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E0E3F1"/>
          </w:tcPr>
          <w:p>
            <w:pPr>
              <w:spacing w:after="0"/>
              <w:rPr>
                <w:sz w:val="17"/>
                <w:szCs w:val="17"/>
                <w:color w:val="auto"/>
              </w:rPr>
            </w:pPr>
          </w:p>
        </w:tc>
        <w:tc>
          <w:tcPr>
            <w:tcW w:w="10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12,511.6</w:t>
            </w:r>
          </w:p>
        </w:tc>
        <w:tc>
          <w:tcPr>
            <w:tcW w:w="240" w:type="dxa"/>
            <w:vAlign w:val="bottom"/>
            <w:shd w:val="clear" w:color="auto" w:fill="E0E3F1"/>
          </w:tcPr>
          <w:p>
            <w:pPr>
              <w:spacing w:after="0"/>
              <w:rPr>
                <w:sz w:val="17"/>
                <w:szCs w:val="17"/>
                <w:color w:val="auto"/>
              </w:rPr>
            </w:pPr>
          </w:p>
        </w:tc>
        <w:tc>
          <w:tcPr>
            <w:tcW w:w="10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688.8</w:t>
            </w:r>
          </w:p>
        </w:tc>
        <w:tc>
          <w:tcPr>
            <w:tcW w:w="320" w:type="dxa"/>
            <w:vAlign w:val="bottom"/>
            <w:shd w:val="clear" w:color="auto" w:fill="E0E3F1"/>
          </w:tcPr>
          <w:p>
            <w:pPr>
              <w:spacing w:after="0"/>
              <w:rPr>
                <w:sz w:val="17"/>
                <w:szCs w:val="17"/>
                <w:color w:val="auto"/>
              </w:rPr>
            </w:pPr>
          </w:p>
        </w:tc>
        <w:tc>
          <w:tcPr>
            <w:tcW w:w="1000" w:type="dxa"/>
            <w:vAlign w:val="bottom"/>
            <w:shd w:val="clear" w:color="auto" w:fill="E0E3F1"/>
          </w:tcPr>
          <w:p>
            <w:pPr>
              <w:jc w:val="right"/>
              <w:spacing w:after="0"/>
              <w:rPr>
                <w:sz w:val="20"/>
                <w:szCs w:val="20"/>
                <w:color w:val="auto"/>
              </w:rPr>
            </w:pPr>
            <w:r>
              <w:rPr>
                <w:rFonts w:ascii="Arial" w:cs="Arial" w:eastAsia="Arial" w:hAnsi="Arial"/>
                <w:sz w:val="14"/>
                <w:szCs w:val="14"/>
                <w:color w:val="auto"/>
              </w:rPr>
              <w:t>13,200.4</w:t>
            </w:r>
          </w:p>
        </w:tc>
        <w:tc>
          <w:tcPr>
            <w:tcW w:w="0" w:type="dxa"/>
            <w:vAlign w:val="bottom"/>
          </w:tcPr>
          <w:p>
            <w:pPr>
              <w:spacing w:after="0"/>
              <w:rPr>
                <w:sz w:val="1"/>
                <w:szCs w:val="1"/>
                <w:color w:val="auto"/>
              </w:rPr>
            </w:pPr>
          </w:p>
        </w:tc>
      </w:tr>
      <w:tr>
        <w:trPr>
          <w:trHeight w:val="203"/>
        </w:trPr>
        <w:tc>
          <w:tcPr>
            <w:tcW w:w="4760" w:type="dxa"/>
            <w:vAlign w:val="bottom"/>
            <w:shd w:val="clear" w:color="auto" w:fill="E0E3F1"/>
          </w:tcPr>
          <w:p>
            <w:pPr>
              <w:ind w:left="20"/>
              <w:spacing w:after="0"/>
              <w:rPr>
                <w:sz w:val="20"/>
                <w:szCs w:val="20"/>
                <w:color w:val="auto"/>
              </w:rPr>
            </w:pPr>
            <w:r>
              <w:rPr>
                <w:rFonts w:ascii="Arial" w:cs="Arial" w:eastAsia="Arial" w:hAnsi="Arial"/>
                <w:sz w:val="14"/>
                <w:szCs w:val="14"/>
                <w:color w:val="auto"/>
              </w:rPr>
              <w:t>Capital expenditures</w:t>
            </w:r>
          </w:p>
        </w:tc>
        <w:tc>
          <w:tcPr>
            <w:tcW w:w="200" w:type="dxa"/>
            <w:vAlign w:val="bottom"/>
            <w:shd w:val="clear" w:color="auto" w:fill="E0E3F1"/>
          </w:tcPr>
          <w:p>
            <w:pPr>
              <w:spacing w:after="0"/>
              <w:rPr>
                <w:sz w:val="17"/>
                <w:szCs w:val="17"/>
                <w:color w:val="auto"/>
              </w:rPr>
            </w:pPr>
          </w:p>
        </w:tc>
        <w:tc>
          <w:tcPr>
            <w:tcW w:w="10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E0E3F1"/>
          </w:tcPr>
          <w:p>
            <w:pPr>
              <w:spacing w:after="0"/>
              <w:rPr>
                <w:sz w:val="17"/>
                <w:szCs w:val="17"/>
                <w:color w:val="auto"/>
              </w:rPr>
            </w:pPr>
          </w:p>
        </w:tc>
        <w:tc>
          <w:tcPr>
            <w:tcW w:w="1140" w:type="dxa"/>
            <w:vAlign w:val="bottom"/>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E0E3F1"/>
          </w:tcPr>
          <w:p>
            <w:pPr>
              <w:spacing w:after="0"/>
              <w:rPr>
                <w:sz w:val="17"/>
                <w:szCs w:val="17"/>
                <w:color w:val="auto"/>
              </w:rPr>
            </w:pPr>
          </w:p>
        </w:tc>
        <w:tc>
          <w:tcPr>
            <w:tcW w:w="10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176.4</w:t>
            </w:r>
          </w:p>
        </w:tc>
        <w:tc>
          <w:tcPr>
            <w:tcW w:w="240" w:type="dxa"/>
            <w:vAlign w:val="bottom"/>
            <w:shd w:val="clear" w:color="auto" w:fill="E0E3F1"/>
          </w:tcPr>
          <w:p>
            <w:pPr>
              <w:spacing w:after="0"/>
              <w:rPr>
                <w:sz w:val="17"/>
                <w:szCs w:val="17"/>
                <w:color w:val="auto"/>
              </w:rPr>
            </w:pPr>
          </w:p>
        </w:tc>
        <w:tc>
          <w:tcPr>
            <w:tcW w:w="10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45.4</w:t>
            </w:r>
          </w:p>
        </w:tc>
        <w:tc>
          <w:tcPr>
            <w:tcW w:w="320" w:type="dxa"/>
            <w:vAlign w:val="bottom"/>
            <w:shd w:val="clear" w:color="auto" w:fill="E0E3F1"/>
          </w:tcPr>
          <w:p>
            <w:pPr>
              <w:spacing w:after="0"/>
              <w:rPr>
                <w:sz w:val="17"/>
                <w:szCs w:val="17"/>
                <w:color w:val="auto"/>
              </w:rPr>
            </w:pPr>
          </w:p>
        </w:tc>
        <w:tc>
          <w:tcPr>
            <w:tcW w:w="1000" w:type="dxa"/>
            <w:vAlign w:val="bottom"/>
            <w:shd w:val="clear" w:color="auto" w:fill="E0E3F1"/>
          </w:tcPr>
          <w:p>
            <w:pPr>
              <w:jc w:val="right"/>
              <w:spacing w:after="0"/>
              <w:rPr>
                <w:sz w:val="20"/>
                <w:szCs w:val="20"/>
                <w:color w:val="auto"/>
              </w:rPr>
            </w:pPr>
            <w:r>
              <w:rPr>
                <w:rFonts w:ascii="Arial" w:cs="Arial" w:eastAsia="Arial" w:hAnsi="Arial"/>
                <w:sz w:val="14"/>
                <w:szCs w:val="14"/>
                <w:color w:val="auto"/>
              </w:rPr>
              <w:t>221.8</w:t>
            </w:r>
          </w:p>
        </w:tc>
        <w:tc>
          <w:tcPr>
            <w:tcW w:w="0" w:type="dxa"/>
            <w:vAlign w:val="bottom"/>
          </w:tcPr>
          <w:p>
            <w:pPr>
              <w:spacing w:after="0"/>
              <w:rPr>
                <w:sz w:val="1"/>
                <w:szCs w:val="1"/>
                <w:color w:val="auto"/>
              </w:rPr>
            </w:pPr>
          </w:p>
        </w:tc>
      </w:tr>
      <w:tr>
        <w:trPr>
          <w:trHeight w:val="207"/>
        </w:trPr>
        <w:tc>
          <w:tcPr>
            <w:tcW w:w="4760" w:type="dxa"/>
            <w:vAlign w:val="bottom"/>
            <w:tcBorders>
              <w:bottom w:val="single" w:sz="8" w:color="00539B"/>
            </w:tcBorders>
            <w:shd w:val="clear" w:color="auto" w:fill="E0E3F1"/>
          </w:tcPr>
          <w:p>
            <w:pPr>
              <w:ind w:left="20"/>
              <w:spacing w:after="0"/>
              <w:rPr>
                <w:sz w:val="20"/>
                <w:szCs w:val="20"/>
                <w:color w:val="auto"/>
              </w:rPr>
            </w:pPr>
            <w:r>
              <w:rPr>
                <w:rFonts w:ascii="Arial" w:cs="Arial" w:eastAsia="Arial" w:hAnsi="Arial"/>
                <w:sz w:val="14"/>
                <w:szCs w:val="14"/>
                <w:color w:val="auto"/>
              </w:rPr>
              <w:t>Depreciation and amortization</w:t>
            </w:r>
          </w:p>
        </w:tc>
        <w:tc>
          <w:tcPr>
            <w:tcW w:w="200" w:type="dxa"/>
            <w:vAlign w:val="bottom"/>
            <w:tcBorders>
              <w:bottom w:val="single" w:sz="8" w:color="00539B"/>
            </w:tcBorders>
            <w:shd w:val="clear" w:color="auto" w:fill="E0E3F1"/>
          </w:tcPr>
          <w:p>
            <w:pPr>
              <w:spacing w:after="0"/>
              <w:rPr>
                <w:sz w:val="17"/>
                <w:szCs w:val="17"/>
                <w:color w:val="auto"/>
              </w:rPr>
            </w:pPr>
          </w:p>
        </w:tc>
        <w:tc>
          <w:tcPr>
            <w:tcW w:w="106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00539B"/>
            </w:tcBorders>
            <w:shd w:val="clear" w:color="auto" w:fill="E0E3F1"/>
          </w:tcPr>
          <w:p>
            <w:pPr>
              <w:spacing w:after="0"/>
              <w:rPr>
                <w:sz w:val="17"/>
                <w:szCs w:val="17"/>
                <w:color w:val="auto"/>
              </w:rPr>
            </w:pPr>
          </w:p>
        </w:tc>
        <w:tc>
          <w:tcPr>
            <w:tcW w:w="114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00539B"/>
            </w:tcBorders>
            <w:shd w:val="clear" w:color="auto" w:fill="E0E3F1"/>
          </w:tcPr>
          <w:p>
            <w:pPr>
              <w:spacing w:after="0"/>
              <w:rPr>
                <w:sz w:val="17"/>
                <w:szCs w:val="17"/>
                <w:color w:val="auto"/>
              </w:rPr>
            </w:pPr>
          </w:p>
        </w:tc>
        <w:tc>
          <w:tcPr>
            <w:tcW w:w="106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227.2</w:t>
            </w:r>
          </w:p>
        </w:tc>
        <w:tc>
          <w:tcPr>
            <w:tcW w:w="240" w:type="dxa"/>
            <w:vAlign w:val="bottom"/>
            <w:tcBorders>
              <w:bottom w:val="single" w:sz="8" w:color="00539B"/>
            </w:tcBorders>
            <w:shd w:val="clear" w:color="auto" w:fill="E0E3F1"/>
          </w:tcPr>
          <w:p>
            <w:pPr>
              <w:spacing w:after="0"/>
              <w:rPr>
                <w:sz w:val="17"/>
                <w:szCs w:val="17"/>
                <w:color w:val="auto"/>
              </w:rPr>
            </w:pPr>
          </w:p>
        </w:tc>
        <w:tc>
          <w:tcPr>
            <w:tcW w:w="106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4.1</w:t>
            </w:r>
          </w:p>
        </w:tc>
        <w:tc>
          <w:tcPr>
            <w:tcW w:w="320" w:type="dxa"/>
            <w:vAlign w:val="bottom"/>
            <w:tcBorders>
              <w:bottom w:val="single" w:sz="8" w:color="00539B"/>
            </w:tcBorders>
            <w:shd w:val="clear" w:color="auto" w:fill="E0E3F1"/>
          </w:tcPr>
          <w:p>
            <w:pPr>
              <w:spacing w:after="0"/>
              <w:rPr>
                <w:sz w:val="17"/>
                <w:szCs w:val="17"/>
                <w:color w:val="auto"/>
              </w:rPr>
            </w:pPr>
          </w:p>
        </w:tc>
        <w:tc>
          <w:tcPr>
            <w:tcW w:w="100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231.3</w:t>
            </w:r>
          </w:p>
        </w:tc>
        <w:tc>
          <w:tcPr>
            <w:tcW w:w="0" w:type="dxa"/>
            <w:vAlign w:val="bottom"/>
          </w:tcPr>
          <w:p>
            <w:pPr>
              <w:spacing w:after="0"/>
              <w:rPr>
                <w:sz w:val="1"/>
                <w:szCs w:val="1"/>
                <w:color w:val="auto"/>
              </w:rPr>
            </w:pPr>
          </w:p>
        </w:tc>
      </w:tr>
      <w:tr>
        <w:trPr>
          <w:trHeight w:val="192"/>
        </w:trPr>
        <w:tc>
          <w:tcPr>
            <w:tcW w:w="4760" w:type="dxa"/>
            <w:vAlign w:val="bottom"/>
          </w:tcPr>
          <w:p>
            <w:pPr>
              <w:ind w:left="20"/>
              <w:spacing w:after="0"/>
              <w:rPr>
                <w:sz w:val="20"/>
                <w:szCs w:val="20"/>
                <w:color w:val="auto"/>
              </w:rPr>
            </w:pPr>
            <w:r>
              <w:rPr>
                <w:rFonts w:ascii="Arial" w:cs="Arial" w:eastAsia="Arial" w:hAnsi="Arial"/>
                <w:sz w:val="14"/>
                <w:szCs w:val="14"/>
                <w:color w:val="auto"/>
              </w:rPr>
              <w:t>2024</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760" w:type="dxa"/>
            <w:vAlign w:val="bottom"/>
          </w:tcPr>
          <w:p>
            <w:pPr>
              <w:ind w:left="20"/>
              <w:spacing w:after="0"/>
              <w:rPr>
                <w:sz w:val="20"/>
                <w:szCs w:val="20"/>
                <w:color w:val="auto"/>
              </w:rPr>
            </w:pPr>
            <w:r>
              <w:rPr>
                <w:rFonts w:ascii="Arial" w:cs="Arial" w:eastAsia="Arial" w:hAnsi="Arial"/>
                <w:sz w:val="14"/>
                <w:szCs w:val="14"/>
                <w:color w:val="auto"/>
              </w:rPr>
              <w:t>Net sales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3,848.5</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2,875.2</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6,723.7</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6,723.7</w:t>
            </w:r>
          </w:p>
        </w:tc>
        <w:tc>
          <w:tcPr>
            <w:tcW w:w="0" w:type="dxa"/>
            <w:vAlign w:val="bottom"/>
          </w:tcPr>
          <w:p>
            <w:pPr>
              <w:spacing w:after="0"/>
              <w:rPr>
                <w:sz w:val="1"/>
                <w:szCs w:val="1"/>
                <w:color w:val="auto"/>
              </w:rPr>
            </w:pPr>
          </w:p>
        </w:tc>
      </w:tr>
      <w:tr>
        <w:trPr>
          <w:trHeight w:val="203"/>
        </w:trPr>
        <w:tc>
          <w:tcPr>
            <w:tcW w:w="4760" w:type="dxa"/>
            <w:vAlign w:val="bottom"/>
          </w:tcPr>
          <w:p>
            <w:pPr>
              <w:ind w:left="20"/>
              <w:spacing w:after="0"/>
              <w:rPr>
                <w:sz w:val="20"/>
                <w:szCs w:val="20"/>
                <w:color w:val="auto"/>
              </w:rPr>
            </w:pPr>
            <w:r>
              <w:rPr>
                <w:rFonts w:ascii="Arial" w:cs="Arial" w:eastAsia="Arial" w:hAnsi="Arial"/>
                <w:sz w:val="14"/>
                <w:szCs w:val="14"/>
                <w:color w:val="auto"/>
              </w:rPr>
              <w:t>Cost of goods sold</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2,074.2</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2,058.5</w:t>
            </w: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4,132.7</w:t>
            </w: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4,132.7</w:t>
            </w:r>
          </w:p>
        </w:tc>
        <w:tc>
          <w:tcPr>
            <w:tcW w:w="0" w:type="dxa"/>
            <w:vAlign w:val="bottom"/>
          </w:tcPr>
          <w:p>
            <w:pPr>
              <w:spacing w:after="0"/>
              <w:rPr>
                <w:sz w:val="1"/>
                <w:szCs w:val="1"/>
                <w:color w:val="auto"/>
              </w:rPr>
            </w:pPr>
          </w:p>
        </w:tc>
      </w:tr>
      <w:tr>
        <w:trPr>
          <w:trHeight w:val="203"/>
        </w:trPr>
        <w:tc>
          <w:tcPr>
            <w:tcW w:w="4760" w:type="dxa"/>
            <w:vAlign w:val="bottom"/>
          </w:tcPr>
          <w:p>
            <w:pPr>
              <w:ind w:left="20"/>
              <w:spacing w:after="0"/>
              <w:rPr>
                <w:sz w:val="20"/>
                <w:szCs w:val="20"/>
                <w:color w:val="auto"/>
              </w:rPr>
            </w:pPr>
            <w:r>
              <w:rPr>
                <w:rFonts w:ascii="Arial" w:cs="Arial" w:eastAsia="Arial" w:hAnsi="Arial"/>
                <w:sz w:val="14"/>
                <w:szCs w:val="14"/>
                <w:color w:val="auto"/>
              </w:rPr>
              <w:t>SG&amp;A expense</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1,034.0</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487.2</w:t>
            </w: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1,521.2</w:t>
            </w: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1,521.2</w:t>
            </w:r>
          </w:p>
        </w:tc>
        <w:tc>
          <w:tcPr>
            <w:tcW w:w="0" w:type="dxa"/>
            <w:vAlign w:val="bottom"/>
          </w:tcPr>
          <w:p>
            <w:pPr>
              <w:spacing w:after="0"/>
              <w:rPr>
                <w:sz w:val="1"/>
                <w:szCs w:val="1"/>
                <w:color w:val="auto"/>
              </w:rPr>
            </w:pPr>
          </w:p>
        </w:tc>
      </w:tr>
      <w:tr>
        <w:trPr>
          <w:trHeight w:val="202"/>
        </w:trPr>
        <w:tc>
          <w:tcPr>
            <w:tcW w:w="4760" w:type="dxa"/>
            <w:vAlign w:val="bottom"/>
          </w:tcPr>
          <w:p>
            <w:pPr>
              <w:ind w:left="20"/>
              <w:spacing w:after="0"/>
              <w:rPr>
                <w:sz w:val="20"/>
                <w:szCs w:val="20"/>
                <w:color w:val="auto"/>
              </w:rPr>
            </w:pPr>
            <w:r>
              <w:rPr>
                <w:rFonts w:ascii="Arial" w:cs="Arial" w:eastAsia="Arial" w:hAnsi="Arial"/>
                <w:sz w:val="14"/>
                <w:szCs w:val="14"/>
                <w:color w:val="auto"/>
              </w:rPr>
              <w:t>Operating income excluding special charges</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740.3</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329.5</w:t>
            </w: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1,069.8</w:t>
            </w: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1,069.8</w:t>
            </w:r>
          </w:p>
        </w:tc>
        <w:tc>
          <w:tcPr>
            <w:tcW w:w="0" w:type="dxa"/>
            <w:vAlign w:val="bottom"/>
          </w:tcPr>
          <w:p>
            <w:pPr>
              <w:spacing w:after="0"/>
              <w:rPr>
                <w:sz w:val="1"/>
                <w:szCs w:val="1"/>
                <w:color w:val="auto"/>
              </w:rPr>
            </w:pPr>
          </w:p>
        </w:tc>
      </w:tr>
      <w:tr>
        <w:trPr>
          <w:trHeight w:val="203"/>
        </w:trPr>
        <w:tc>
          <w:tcPr>
            <w:tcW w:w="4760" w:type="dxa"/>
            <w:vAlign w:val="bottom"/>
          </w:tcPr>
          <w:p>
            <w:pPr>
              <w:ind w:left="20"/>
              <w:spacing w:after="0"/>
              <w:rPr>
                <w:sz w:val="20"/>
                <w:szCs w:val="20"/>
                <w:color w:val="auto"/>
              </w:rPr>
            </w:pPr>
            <w:r>
              <w:rPr>
                <w:rFonts w:ascii="Arial" w:cs="Arial" w:eastAsia="Arial" w:hAnsi="Arial"/>
                <w:sz w:val="14"/>
                <w:szCs w:val="14"/>
                <w:color w:val="auto"/>
              </w:rPr>
              <w:t>Income from unconsolidated operations</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71.2</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3.0</w:t>
            </w: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74.2</w:t>
            </w: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74.2</w:t>
            </w:r>
          </w:p>
        </w:tc>
        <w:tc>
          <w:tcPr>
            <w:tcW w:w="0" w:type="dxa"/>
            <w:vAlign w:val="bottom"/>
          </w:tcPr>
          <w:p>
            <w:pPr>
              <w:spacing w:after="0"/>
              <w:rPr>
                <w:sz w:val="1"/>
                <w:szCs w:val="1"/>
                <w:color w:val="auto"/>
              </w:rPr>
            </w:pPr>
          </w:p>
        </w:tc>
      </w:tr>
      <w:tr>
        <w:trPr>
          <w:trHeight w:val="203"/>
        </w:trPr>
        <w:tc>
          <w:tcPr>
            <w:tcW w:w="4760" w:type="dxa"/>
            <w:vAlign w:val="bottom"/>
          </w:tcPr>
          <w:p>
            <w:pPr>
              <w:ind w:left="20"/>
              <w:spacing w:after="0"/>
              <w:rPr>
                <w:sz w:val="20"/>
                <w:szCs w:val="20"/>
                <w:color w:val="auto"/>
              </w:rPr>
            </w:pPr>
            <w:r>
              <w:rPr>
                <w:rFonts w:ascii="Arial" w:cs="Arial" w:eastAsia="Arial" w:hAnsi="Arial"/>
                <w:sz w:val="14"/>
                <w:szCs w:val="14"/>
                <w:color w:val="auto"/>
              </w:rPr>
              <w:t>Assets</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12,359.4</w:t>
            </w: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710.9</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13,070.3</w:t>
            </w:r>
          </w:p>
        </w:tc>
        <w:tc>
          <w:tcPr>
            <w:tcW w:w="0" w:type="dxa"/>
            <w:vAlign w:val="bottom"/>
          </w:tcPr>
          <w:p>
            <w:pPr>
              <w:spacing w:after="0"/>
              <w:rPr>
                <w:sz w:val="1"/>
                <w:szCs w:val="1"/>
                <w:color w:val="auto"/>
              </w:rPr>
            </w:pPr>
          </w:p>
        </w:tc>
      </w:tr>
      <w:tr>
        <w:trPr>
          <w:trHeight w:val="203"/>
        </w:trPr>
        <w:tc>
          <w:tcPr>
            <w:tcW w:w="4760" w:type="dxa"/>
            <w:vAlign w:val="bottom"/>
          </w:tcPr>
          <w:p>
            <w:pPr>
              <w:ind w:left="20"/>
              <w:spacing w:after="0"/>
              <w:rPr>
                <w:sz w:val="20"/>
                <w:szCs w:val="20"/>
                <w:color w:val="auto"/>
              </w:rPr>
            </w:pPr>
            <w:r>
              <w:rPr>
                <w:rFonts w:ascii="Arial" w:cs="Arial" w:eastAsia="Arial" w:hAnsi="Arial"/>
                <w:sz w:val="14"/>
                <w:szCs w:val="14"/>
                <w:color w:val="auto"/>
              </w:rPr>
              <w:t>Capital expenditures</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234.1</w:t>
            </w: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40.8</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274.9</w:t>
            </w:r>
          </w:p>
        </w:tc>
        <w:tc>
          <w:tcPr>
            <w:tcW w:w="0" w:type="dxa"/>
            <w:vAlign w:val="bottom"/>
          </w:tcPr>
          <w:p>
            <w:pPr>
              <w:spacing w:after="0"/>
              <w:rPr>
                <w:sz w:val="1"/>
                <w:szCs w:val="1"/>
                <w:color w:val="auto"/>
              </w:rPr>
            </w:pPr>
          </w:p>
        </w:tc>
      </w:tr>
      <w:tr>
        <w:trPr>
          <w:trHeight w:val="207"/>
        </w:trPr>
        <w:tc>
          <w:tcPr>
            <w:tcW w:w="476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Depreciation and amortization</w:t>
            </w:r>
          </w:p>
        </w:tc>
        <w:tc>
          <w:tcPr>
            <w:tcW w:w="200" w:type="dxa"/>
            <w:vAlign w:val="bottom"/>
            <w:tcBorders>
              <w:bottom w:val="single" w:sz="8" w:color="00539B"/>
            </w:tcBorders>
          </w:tcPr>
          <w:p>
            <w:pPr>
              <w:spacing w:after="0"/>
              <w:rPr>
                <w:sz w:val="17"/>
                <w:szCs w:val="17"/>
                <w:color w:val="auto"/>
              </w:rPr>
            </w:pPr>
          </w:p>
        </w:tc>
        <w:tc>
          <w:tcPr>
            <w:tcW w:w="106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00539B"/>
            </w:tcBorders>
          </w:tcPr>
          <w:p>
            <w:pPr>
              <w:spacing w:after="0"/>
              <w:rPr>
                <w:sz w:val="17"/>
                <w:szCs w:val="17"/>
                <w:color w:val="auto"/>
              </w:rPr>
            </w:pPr>
          </w:p>
        </w:tc>
        <w:tc>
          <w:tcPr>
            <w:tcW w:w="114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00539B"/>
            </w:tcBorders>
          </w:tcPr>
          <w:p>
            <w:pPr>
              <w:spacing w:after="0"/>
              <w:rPr>
                <w:sz w:val="17"/>
                <w:szCs w:val="17"/>
                <w:color w:val="auto"/>
              </w:rPr>
            </w:pPr>
          </w:p>
        </w:tc>
        <w:tc>
          <w:tcPr>
            <w:tcW w:w="106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204.7</w:t>
            </w:r>
          </w:p>
        </w:tc>
        <w:tc>
          <w:tcPr>
            <w:tcW w:w="240" w:type="dxa"/>
            <w:vAlign w:val="bottom"/>
            <w:tcBorders>
              <w:bottom w:val="single" w:sz="8" w:color="00539B"/>
            </w:tcBorders>
          </w:tcPr>
          <w:p>
            <w:pPr>
              <w:spacing w:after="0"/>
              <w:rPr>
                <w:sz w:val="17"/>
                <w:szCs w:val="17"/>
                <w:color w:val="auto"/>
              </w:rPr>
            </w:pPr>
          </w:p>
        </w:tc>
        <w:tc>
          <w:tcPr>
            <w:tcW w:w="106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4.1</w:t>
            </w:r>
          </w:p>
        </w:tc>
        <w:tc>
          <w:tcPr>
            <w:tcW w:w="320" w:type="dxa"/>
            <w:vAlign w:val="bottom"/>
            <w:tcBorders>
              <w:bottom w:val="single" w:sz="8" w:color="00539B"/>
            </w:tcBorders>
          </w:tcPr>
          <w:p>
            <w:pPr>
              <w:spacing w:after="0"/>
              <w:rPr>
                <w:sz w:val="17"/>
                <w:szCs w:val="17"/>
                <w:color w:val="auto"/>
              </w:rPr>
            </w:pPr>
          </w:p>
        </w:tc>
        <w:tc>
          <w:tcPr>
            <w:tcW w:w="100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208.8</w:t>
            </w:r>
          </w:p>
        </w:tc>
        <w:tc>
          <w:tcPr>
            <w:tcW w:w="0" w:type="dxa"/>
            <w:vAlign w:val="bottom"/>
          </w:tcPr>
          <w:p>
            <w:pPr>
              <w:spacing w:after="0"/>
              <w:rPr>
                <w:sz w:val="1"/>
                <w:szCs w:val="1"/>
                <w:color w:val="auto"/>
              </w:rPr>
            </w:pPr>
          </w:p>
        </w:tc>
      </w:tr>
      <w:tr>
        <w:trPr>
          <w:trHeight w:val="192"/>
        </w:trPr>
        <w:tc>
          <w:tcPr>
            <w:tcW w:w="4760" w:type="dxa"/>
            <w:vAlign w:val="bottom"/>
          </w:tcPr>
          <w:p>
            <w:pPr>
              <w:ind w:left="20"/>
              <w:spacing w:after="0"/>
              <w:rPr>
                <w:sz w:val="20"/>
                <w:szCs w:val="20"/>
                <w:color w:val="auto"/>
              </w:rPr>
            </w:pPr>
            <w:r>
              <w:rPr>
                <w:rFonts w:ascii="Arial" w:cs="Arial" w:eastAsia="Arial" w:hAnsi="Arial"/>
                <w:sz w:val="14"/>
                <w:szCs w:val="14"/>
                <w:color w:val="auto"/>
              </w:rPr>
              <w:t>2023</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760" w:type="dxa"/>
            <w:vAlign w:val="bottom"/>
          </w:tcPr>
          <w:p>
            <w:pPr>
              <w:ind w:left="20"/>
              <w:spacing w:after="0"/>
              <w:rPr>
                <w:sz w:val="20"/>
                <w:szCs w:val="20"/>
                <w:color w:val="auto"/>
              </w:rPr>
            </w:pPr>
            <w:r>
              <w:rPr>
                <w:rFonts w:ascii="Arial" w:cs="Arial" w:eastAsia="Arial" w:hAnsi="Arial"/>
                <w:sz w:val="14"/>
                <w:szCs w:val="14"/>
                <w:color w:val="auto"/>
              </w:rPr>
              <w:t>Net sales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3,807.3</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2,854.9</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6,662.2</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6,662.2</w:t>
            </w:r>
          </w:p>
        </w:tc>
        <w:tc>
          <w:tcPr>
            <w:tcW w:w="0" w:type="dxa"/>
            <w:vAlign w:val="bottom"/>
          </w:tcPr>
          <w:p>
            <w:pPr>
              <w:spacing w:after="0"/>
              <w:rPr>
                <w:sz w:val="1"/>
                <w:szCs w:val="1"/>
                <w:color w:val="auto"/>
              </w:rPr>
            </w:pPr>
          </w:p>
        </w:tc>
      </w:tr>
      <w:tr>
        <w:trPr>
          <w:trHeight w:val="203"/>
        </w:trPr>
        <w:tc>
          <w:tcPr>
            <w:tcW w:w="4760" w:type="dxa"/>
            <w:vAlign w:val="bottom"/>
          </w:tcPr>
          <w:p>
            <w:pPr>
              <w:ind w:left="20"/>
              <w:spacing w:after="0"/>
              <w:rPr>
                <w:sz w:val="20"/>
                <w:szCs w:val="20"/>
                <w:color w:val="auto"/>
              </w:rPr>
            </w:pPr>
            <w:r>
              <w:rPr>
                <w:rFonts w:ascii="Arial" w:cs="Arial" w:eastAsia="Arial" w:hAnsi="Arial"/>
                <w:sz w:val="14"/>
                <w:szCs w:val="14"/>
                <w:color w:val="auto"/>
              </w:rPr>
              <w:t>Cost of goods sold</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2,044.4</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2,115.3</w:t>
            </w: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4,159.7</w:t>
            </w: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4,159.7</w:t>
            </w:r>
          </w:p>
        </w:tc>
        <w:tc>
          <w:tcPr>
            <w:tcW w:w="0" w:type="dxa"/>
            <w:vAlign w:val="bottom"/>
          </w:tcPr>
          <w:p>
            <w:pPr>
              <w:spacing w:after="0"/>
              <w:rPr>
                <w:sz w:val="1"/>
                <w:szCs w:val="1"/>
                <w:color w:val="auto"/>
              </w:rPr>
            </w:pPr>
          </w:p>
        </w:tc>
      </w:tr>
      <w:tr>
        <w:trPr>
          <w:trHeight w:val="203"/>
        </w:trPr>
        <w:tc>
          <w:tcPr>
            <w:tcW w:w="4760" w:type="dxa"/>
            <w:vAlign w:val="bottom"/>
          </w:tcPr>
          <w:p>
            <w:pPr>
              <w:ind w:left="20"/>
              <w:spacing w:after="0"/>
              <w:rPr>
                <w:sz w:val="20"/>
                <w:szCs w:val="20"/>
                <w:color w:val="auto"/>
              </w:rPr>
            </w:pPr>
            <w:r>
              <w:rPr>
                <w:rFonts w:ascii="Arial" w:cs="Arial" w:eastAsia="Arial" w:hAnsi="Arial"/>
                <w:sz w:val="14"/>
                <w:szCs w:val="14"/>
                <w:color w:val="auto"/>
              </w:rPr>
              <w:t>SG&amp;A expense</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1,027.4</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450.9</w:t>
            </w: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1,478.3</w:t>
            </w: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1,478.3</w:t>
            </w:r>
          </w:p>
        </w:tc>
        <w:tc>
          <w:tcPr>
            <w:tcW w:w="0" w:type="dxa"/>
            <w:vAlign w:val="bottom"/>
          </w:tcPr>
          <w:p>
            <w:pPr>
              <w:spacing w:after="0"/>
              <w:rPr>
                <w:sz w:val="1"/>
                <w:szCs w:val="1"/>
                <w:color w:val="auto"/>
              </w:rPr>
            </w:pPr>
          </w:p>
        </w:tc>
      </w:tr>
      <w:tr>
        <w:trPr>
          <w:trHeight w:val="203"/>
        </w:trPr>
        <w:tc>
          <w:tcPr>
            <w:tcW w:w="4760" w:type="dxa"/>
            <w:vAlign w:val="bottom"/>
          </w:tcPr>
          <w:p>
            <w:pPr>
              <w:ind w:left="20"/>
              <w:spacing w:after="0"/>
              <w:rPr>
                <w:sz w:val="20"/>
                <w:szCs w:val="20"/>
                <w:color w:val="auto"/>
              </w:rPr>
            </w:pPr>
            <w:r>
              <w:rPr>
                <w:rFonts w:ascii="Arial" w:cs="Arial" w:eastAsia="Arial" w:hAnsi="Arial"/>
                <w:sz w:val="14"/>
                <w:szCs w:val="14"/>
                <w:color w:val="auto"/>
              </w:rPr>
              <w:t>Operating income excluding special charges</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735.5</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288.7</w:t>
            </w: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1,024.2</w:t>
            </w: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1,024.2</w:t>
            </w:r>
          </w:p>
        </w:tc>
        <w:tc>
          <w:tcPr>
            <w:tcW w:w="0" w:type="dxa"/>
            <w:vAlign w:val="bottom"/>
          </w:tcPr>
          <w:p>
            <w:pPr>
              <w:spacing w:after="0"/>
              <w:rPr>
                <w:sz w:val="1"/>
                <w:szCs w:val="1"/>
                <w:color w:val="auto"/>
              </w:rPr>
            </w:pPr>
          </w:p>
        </w:tc>
      </w:tr>
      <w:tr>
        <w:trPr>
          <w:trHeight w:val="203"/>
        </w:trPr>
        <w:tc>
          <w:tcPr>
            <w:tcW w:w="4760" w:type="dxa"/>
            <w:vAlign w:val="bottom"/>
          </w:tcPr>
          <w:p>
            <w:pPr>
              <w:ind w:left="20"/>
              <w:spacing w:after="0"/>
              <w:rPr>
                <w:sz w:val="20"/>
                <w:szCs w:val="20"/>
                <w:color w:val="auto"/>
              </w:rPr>
            </w:pPr>
            <w:r>
              <w:rPr>
                <w:rFonts w:ascii="Arial" w:cs="Arial" w:eastAsia="Arial" w:hAnsi="Arial"/>
                <w:sz w:val="14"/>
                <w:szCs w:val="14"/>
                <w:color w:val="auto"/>
              </w:rPr>
              <w:t>Income from unconsolidated operations</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54.7</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w:t>
            </w: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56.4</w:t>
            </w: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56.4</w:t>
            </w:r>
          </w:p>
        </w:tc>
        <w:tc>
          <w:tcPr>
            <w:tcW w:w="0" w:type="dxa"/>
            <w:vAlign w:val="bottom"/>
          </w:tcPr>
          <w:p>
            <w:pPr>
              <w:spacing w:after="0"/>
              <w:rPr>
                <w:sz w:val="1"/>
                <w:szCs w:val="1"/>
                <w:color w:val="auto"/>
              </w:rPr>
            </w:pPr>
          </w:p>
        </w:tc>
      </w:tr>
      <w:tr>
        <w:trPr>
          <w:trHeight w:val="202"/>
        </w:trPr>
        <w:tc>
          <w:tcPr>
            <w:tcW w:w="4760" w:type="dxa"/>
            <w:vAlign w:val="bottom"/>
          </w:tcPr>
          <w:p>
            <w:pPr>
              <w:ind w:left="20"/>
              <w:spacing w:after="0"/>
              <w:rPr>
                <w:sz w:val="20"/>
                <w:szCs w:val="20"/>
                <w:color w:val="auto"/>
              </w:rPr>
            </w:pPr>
            <w:r>
              <w:rPr>
                <w:rFonts w:ascii="Arial" w:cs="Arial" w:eastAsia="Arial" w:hAnsi="Arial"/>
                <w:sz w:val="14"/>
                <w:szCs w:val="14"/>
                <w:color w:val="auto"/>
              </w:rPr>
              <w:t>Assets</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12,233.1</w:t>
            </w: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629.2</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12,862.3</w:t>
            </w:r>
          </w:p>
        </w:tc>
        <w:tc>
          <w:tcPr>
            <w:tcW w:w="0" w:type="dxa"/>
            <w:vAlign w:val="bottom"/>
          </w:tcPr>
          <w:p>
            <w:pPr>
              <w:spacing w:after="0"/>
              <w:rPr>
                <w:sz w:val="1"/>
                <w:szCs w:val="1"/>
                <w:color w:val="auto"/>
              </w:rPr>
            </w:pPr>
          </w:p>
        </w:tc>
      </w:tr>
      <w:tr>
        <w:trPr>
          <w:trHeight w:val="203"/>
        </w:trPr>
        <w:tc>
          <w:tcPr>
            <w:tcW w:w="4760" w:type="dxa"/>
            <w:vAlign w:val="bottom"/>
          </w:tcPr>
          <w:p>
            <w:pPr>
              <w:ind w:left="20"/>
              <w:spacing w:after="0"/>
              <w:rPr>
                <w:sz w:val="20"/>
                <w:szCs w:val="20"/>
                <w:color w:val="auto"/>
              </w:rPr>
            </w:pPr>
            <w:r>
              <w:rPr>
                <w:rFonts w:ascii="Arial" w:cs="Arial" w:eastAsia="Arial" w:hAnsi="Arial"/>
                <w:sz w:val="14"/>
                <w:szCs w:val="14"/>
                <w:color w:val="auto"/>
              </w:rPr>
              <w:t>Capital expenditures</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234.9</w:t>
            </w: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29.0</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263.9</w:t>
            </w:r>
          </w:p>
        </w:tc>
        <w:tc>
          <w:tcPr>
            <w:tcW w:w="0" w:type="dxa"/>
            <w:vAlign w:val="bottom"/>
          </w:tcPr>
          <w:p>
            <w:pPr>
              <w:spacing w:after="0"/>
              <w:rPr>
                <w:sz w:val="1"/>
                <w:szCs w:val="1"/>
                <w:color w:val="auto"/>
              </w:rPr>
            </w:pPr>
          </w:p>
        </w:tc>
      </w:tr>
      <w:tr>
        <w:trPr>
          <w:trHeight w:val="218"/>
        </w:trPr>
        <w:tc>
          <w:tcPr>
            <w:tcW w:w="476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Depreciation and amortization</w:t>
            </w:r>
          </w:p>
        </w:tc>
        <w:tc>
          <w:tcPr>
            <w:tcW w:w="200" w:type="dxa"/>
            <w:vAlign w:val="bottom"/>
            <w:tcBorders>
              <w:bottom w:val="single" w:sz="8" w:color="00539B"/>
            </w:tcBorders>
          </w:tcPr>
          <w:p>
            <w:pPr>
              <w:spacing w:after="0"/>
              <w:rPr>
                <w:sz w:val="18"/>
                <w:szCs w:val="18"/>
                <w:color w:val="auto"/>
              </w:rPr>
            </w:pPr>
          </w:p>
        </w:tc>
        <w:tc>
          <w:tcPr>
            <w:tcW w:w="106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00539B"/>
            </w:tcBorders>
          </w:tcPr>
          <w:p>
            <w:pPr>
              <w:spacing w:after="0"/>
              <w:rPr>
                <w:sz w:val="18"/>
                <w:szCs w:val="18"/>
                <w:color w:val="auto"/>
              </w:rPr>
            </w:pPr>
          </w:p>
        </w:tc>
        <w:tc>
          <w:tcPr>
            <w:tcW w:w="114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00539B"/>
            </w:tcBorders>
          </w:tcPr>
          <w:p>
            <w:pPr>
              <w:spacing w:after="0"/>
              <w:rPr>
                <w:sz w:val="18"/>
                <w:szCs w:val="18"/>
                <w:color w:val="auto"/>
              </w:rPr>
            </w:pPr>
          </w:p>
        </w:tc>
        <w:tc>
          <w:tcPr>
            <w:tcW w:w="106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194.8</w:t>
            </w:r>
          </w:p>
        </w:tc>
        <w:tc>
          <w:tcPr>
            <w:tcW w:w="240" w:type="dxa"/>
            <w:vAlign w:val="bottom"/>
            <w:tcBorders>
              <w:bottom w:val="single" w:sz="8" w:color="00539B"/>
            </w:tcBorders>
          </w:tcPr>
          <w:p>
            <w:pPr>
              <w:spacing w:after="0"/>
              <w:rPr>
                <w:sz w:val="18"/>
                <w:szCs w:val="18"/>
                <w:color w:val="auto"/>
              </w:rPr>
            </w:pPr>
          </w:p>
        </w:tc>
        <w:tc>
          <w:tcPr>
            <w:tcW w:w="106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4.5</w:t>
            </w:r>
          </w:p>
        </w:tc>
        <w:tc>
          <w:tcPr>
            <w:tcW w:w="320" w:type="dxa"/>
            <w:vAlign w:val="bottom"/>
            <w:tcBorders>
              <w:bottom w:val="single" w:sz="8" w:color="00539B"/>
            </w:tcBorders>
          </w:tcPr>
          <w:p>
            <w:pPr>
              <w:spacing w:after="0"/>
              <w:rPr>
                <w:sz w:val="18"/>
                <w:szCs w:val="18"/>
                <w:color w:val="auto"/>
              </w:rPr>
            </w:pPr>
          </w:p>
        </w:tc>
        <w:tc>
          <w:tcPr>
            <w:tcW w:w="100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199.3</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 reconciliation of cost of goods sold excluding special charges and operating income excluding special charges to cost of goods sold and operating income for 2025, 2024, and 2023 is as follows:</w:t>
      </w:r>
    </w:p>
    <w:tbl>
      <w:tblPr>
        <w:tblLayout w:type="fixed"/>
        <w:tblInd w:w="0" w:type="dxa"/>
        <w:tblCellMar>
          <w:top w:w="0" w:type="dxa"/>
          <w:left w:w="0" w:type="dxa"/>
          <w:bottom w:w="0" w:type="dxa"/>
          <w:right w:w="0" w:type="dxa"/>
        </w:tblCellMar>
      </w:tblPr>
      <w:tr>
        <w:trPr>
          <w:trHeight w:val="206"/>
        </w:trPr>
        <w:tc>
          <w:tcPr>
            <w:tcW w:w="6040" w:type="dxa"/>
            <w:vAlign w:val="bottom"/>
            <w:tcBorders>
              <w:top w:val="single" w:sz="8" w:color="00539B"/>
              <w:bottom w:val="single" w:sz="8" w:color="00539B"/>
            </w:tcBorders>
          </w:tcPr>
          <w:p>
            <w:pPr>
              <w:ind w:left="20"/>
              <w:spacing w:after="0"/>
              <w:rPr>
                <w:sz w:val="20"/>
                <w:szCs w:val="20"/>
                <w:color w:val="auto"/>
              </w:rPr>
            </w:pPr>
            <w:r>
              <w:rPr>
                <w:rFonts w:ascii="Arial" w:cs="Arial" w:eastAsia="Arial" w:hAnsi="Arial"/>
                <w:sz w:val="14"/>
                <w:szCs w:val="14"/>
                <w:color w:val="auto"/>
              </w:rPr>
              <w:t>(millions)</w:t>
            </w:r>
          </w:p>
        </w:tc>
        <w:tc>
          <w:tcPr>
            <w:tcW w:w="120" w:type="dxa"/>
            <w:vAlign w:val="bottom"/>
            <w:tcBorders>
              <w:top w:val="single" w:sz="8" w:color="00539B"/>
              <w:bottom w:val="single" w:sz="8" w:color="00539B"/>
            </w:tcBorders>
          </w:tcPr>
          <w:p>
            <w:pPr>
              <w:spacing w:after="0"/>
              <w:rPr>
                <w:sz w:val="17"/>
                <w:szCs w:val="17"/>
                <w:color w:val="auto"/>
              </w:rPr>
            </w:pPr>
          </w:p>
        </w:tc>
        <w:tc>
          <w:tcPr>
            <w:tcW w:w="1480" w:type="dxa"/>
            <w:vAlign w:val="bottom"/>
            <w:tcBorders>
              <w:top w:val="single" w:sz="8" w:color="00539B"/>
              <w:bottom w:val="single" w:sz="8" w:color="00539B"/>
            </w:tcBorders>
          </w:tcPr>
          <w:p>
            <w:pPr>
              <w:jc w:val="right"/>
              <w:ind w:right="368"/>
              <w:spacing w:after="0"/>
              <w:rPr>
                <w:sz w:val="20"/>
                <w:szCs w:val="20"/>
                <w:color w:val="auto"/>
              </w:rPr>
            </w:pPr>
            <w:r>
              <w:rPr>
                <w:rFonts w:ascii="Arial" w:cs="Arial" w:eastAsia="Arial" w:hAnsi="Arial"/>
                <w:sz w:val="14"/>
                <w:szCs w:val="14"/>
                <w:color w:val="auto"/>
              </w:rPr>
              <w:t>Consumer</w:t>
            </w:r>
          </w:p>
        </w:tc>
        <w:tc>
          <w:tcPr>
            <w:tcW w:w="340" w:type="dxa"/>
            <w:vAlign w:val="bottom"/>
            <w:tcBorders>
              <w:top w:val="single" w:sz="8" w:color="00539B"/>
              <w:bottom w:val="single" w:sz="8" w:color="00539B"/>
            </w:tcBorders>
          </w:tcPr>
          <w:p>
            <w:pPr>
              <w:spacing w:after="0"/>
              <w:rPr>
                <w:sz w:val="17"/>
                <w:szCs w:val="17"/>
                <w:color w:val="auto"/>
              </w:rPr>
            </w:pPr>
          </w:p>
        </w:tc>
        <w:tc>
          <w:tcPr>
            <w:tcW w:w="1420" w:type="dxa"/>
            <w:vAlign w:val="bottom"/>
            <w:tcBorders>
              <w:top w:val="single" w:sz="8" w:color="00539B"/>
              <w:bottom w:val="single" w:sz="8" w:color="00539B"/>
            </w:tcBorders>
          </w:tcPr>
          <w:p>
            <w:pPr>
              <w:jc w:val="right"/>
              <w:ind w:right="208"/>
              <w:spacing w:after="0"/>
              <w:rPr>
                <w:sz w:val="20"/>
                <w:szCs w:val="20"/>
                <w:color w:val="auto"/>
              </w:rPr>
            </w:pPr>
            <w:r>
              <w:rPr>
                <w:rFonts w:ascii="Arial" w:cs="Arial" w:eastAsia="Arial" w:hAnsi="Arial"/>
                <w:sz w:val="14"/>
                <w:szCs w:val="14"/>
                <w:color w:val="auto"/>
              </w:rPr>
              <w:t>Flavor Solutions</w:t>
            </w:r>
          </w:p>
        </w:tc>
        <w:tc>
          <w:tcPr>
            <w:tcW w:w="520" w:type="dxa"/>
            <w:vAlign w:val="bottom"/>
            <w:tcBorders>
              <w:top w:val="single" w:sz="8" w:color="00539B"/>
              <w:bottom w:val="single" w:sz="8" w:color="00539B"/>
            </w:tcBorders>
          </w:tcPr>
          <w:p>
            <w:pPr>
              <w:spacing w:after="0"/>
              <w:rPr>
                <w:sz w:val="17"/>
                <w:szCs w:val="17"/>
                <w:color w:val="auto"/>
              </w:rPr>
            </w:pPr>
          </w:p>
        </w:tc>
        <w:tc>
          <w:tcPr>
            <w:tcW w:w="1260" w:type="dxa"/>
            <w:vAlign w:val="bottom"/>
            <w:tcBorders>
              <w:top w:val="single" w:sz="8" w:color="00539B"/>
              <w:bottom w:val="single" w:sz="8" w:color="00539B"/>
            </w:tcBorders>
          </w:tcPr>
          <w:p>
            <w:pPr>
              <w:jc w:val="right"/>
              <w:ind w:right="60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2"/>
        </w:trPr>
        <w:tc>
          <w:tcPr>
            <w:tcW w:w="6040" w:type="dxa"/>
            <w:vAlign w:val="bottom"/>
            <w:shd w:val="clear" w:color="auto" w:fill="E0E3F1"/>
          </w:tcPr>
          <w:p>
            <w:pPr>
              <w:ind w:left="20"/>
              <w:spacing w:after="0"/>
              <w:rPr>
                <w:sz w:val="20"/>
                <w:szCs w:val="20"/>
                <w:color w:val="auto"/>
              </w:rPr>
            </w:pPr>
            <w:r>
              <w:rPr>
                <w:rFonts w:ascii="Arial" w:cs="Arial" w:eastAsia="Arial" w:hAnsi="Arial"/>
                <w:sz w:val="14"/>
                <w:szCs w:val="14"/>
                <w:color w:val="auto"/>
              </w:rPr>
              <w:t>2025</w:t>
            </w:r>
          </w:p>
        </w:tc>
        <w:tc>
          <w:tcPr>
            <w:tcW w:w="120" w:type="dxa"/>
            <w:vAlign w:val="bottom"/>
            <w:shd w:val="clear" w:color="auto" w:fill="E0E3F1"/>
          </w:tcPr>
          <w:p>
            <w:pPr>
              <w:spacing w:after="0"/>
              <w:rPr>
                <w:sz w:val="16"/>
                <w:szCs w:val="16"/>
                <w:color w:val="auto"/>
              </w:rPr>
            </w:pPr>
          </w:p>
        </w:tc>
        <w:tc>
          <w:tcPr>
            <w:tcW w:w="1480" w:type="dxa"/>
            <w:vAlign w:val="bottom"/>
            <w:shd w:val="clear" w:color="auto" w:fill="E0E3F1"/>
          </w:tcPr>
          <w:p>
            <w:pPr>
              <w:spacing w:after="0"/>
              <w:rPr>
                <w:sz w:val="16"/>
                <w:szCs w:val="16"/>
                <w:color w:val="auto"/>
              </w:rPr>
            </w:pPr>
          </w:p>
        </w:tc>
        <w:tc>
          <w:tcPr>
            <w:tcW w:w="340" w:type="dxa"/>
            <w:vAlign w:val="bottom"/>
            <w:shd w:val="clear" w:color="auto" w:fill="E0E3F1"/>
          </w:tcPr>
          <w:p>
            <w:pPr>
              <w:spacing w:after="0"/>
              <w:rPr>
                <w:sz w:val="16"/>
                <w:szCs w:val="16"/>
                <w:color w:val="auto"/>
              </w:rPr>
            </w:pPr>
          </w:p>
        </w:tc>
        <w:tc>
          <w:tcPr>
            <w:tcW w:w="1420" w:type="dxa"/>
            <w:vAlign w:val="bottom"/>
            <w:shd w:val="clear" w:color="auto" w:fill="E0E3F1"/>
          </w:tcPr>
          <w:p>
            <w:pPr>
              <w:spacing w:after="0"/>
              <w:rPr>
                <w:sz w:val="16"/>
                <w:szCs w:val="16"/>
                <w:color w:val="auto"/>
              </w:rPr>
            </w:pPr>
          </w:p>
        </w:tc>
        <w:tc>
          <w:tcPr>
            <w:tcW w:w="520" w:type="dxa"/>
            <w:vAlign w:val="bottom"/>
            <w:shd w:val="clear" w:color="auto" w:fill="E0E3F1"/>
          </w:tcPr>
          <w:p>
            <w:pPr>
              <w:spacing w:after="0"/>
              <w:rPr>
                <w:sz w:val="16"/>
                <w:szCs w:val="16"/>
                <w:color w:val="auto"/>
              </w:rPr>
            </w:pPr>
          </w:p>
        </w:tc>
        <w:tc>
          <w:tcPr>
            <w:tcW w:w="1260" w:type="dxa"/>
            <w:vAlign w:val="bottom"/>
            <w:shd w:val="clear" w:color="auto" w:fill="E0E3F1"/>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040" w:type="dxa"/>
            <w:vAlign w:val="bottom"/>
            <w:shd w:val="clear" w:color="auto" w:fill="E0E3F1"/>
          </w:tcPr>
          <w:p>
            <w:pPr>
              <w:ind w:left="20"/>
              <w:spacing w:after="0"/>
              <w:rPr>
                <w:sz w:val="20"/>
                <w:szCs w:val="20"/>
                <w:color w:val="auto"/>
              </w:rPr>
            </w:pPr>
            <w:r>
              <w:rPr>
                <w:rFonts w:ascii="Arial" w:cs="Arial" w:eastAsia="Arial" w:hAnsi="Arial"/>
                <w:sz w:val="14"/>
                <w:szCs w:val="14"/>
                <w:color w:val="auto"/>
              </w:rPr>
              <w:t>Cost of goods sold excluding special charges</w:t>
            </w:r>
          </w:p>
        </w:tc>
        <w:tc>
          <w:tcPr>
            <w:tcW w:w="120" w:type="dxa"/>
            <w:vAlign w:val="bottom"/>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1480" w:type="dxa"/>
            <w:vAlign w:val="bottom"/>
            <w:shd w:val="clear" w:color="auto" w:fill="E0E3F1"/>
          </w:tcPr>
          <w:p>
            <w:pPr>
              <w:jc w:val="right"/>
              <w:spacing w:after="0"/>
              <w:rPr>
                <w:sz w:val="20"/>
                <w:szCs w:val="20"/>
                <w:color w:val="auto"/>
              </w:rPr>
            </w:pPr>
            <w:r>
              <w:rPr>
                <w:rFonts w:ascii="Arial" w:cs="Arial" w:eastAsia="Arial" w:hAnsi="Arial"/>
                <w:sz w:val="14"/>
                <w:szCs w:val="14"/>
                <w:color w:val="auto"/>
              </w:rPr>
              <w:t>2,187.4</w:t>
            </w:r>
          </w:p>
        </w:tc>
        <w:tc>
          <w:tcPr>
            <w:tcW w:w="340" w:type="dxa"/>
            <w:vAlign w:val="bottom"/>
            <w:shd w:val="clear" w:color="auto" w:fill="E0E3F1"/>
          </w:tcPr>
          <w:p>
            <w:pPr>
              <w:jc w:val="right"/>
              <w:ind w:right="28"/>
              <w:spacing w:after="0"/>
              <w:rPr>
                <w:sz w:val="20"/>
                <w:szCs w:val="20"/>
                <w:color w:val="auto"/>
              </w:rPr>
            </w:pPr>
            <w:r>
              <w:rPr>
                <w:rFonts w:ascii="Arial" w:cs="Arial" w:eastAsia="Arial" w:hAnsi="Arial"/>
                <w:sz w:val="14"/>
                <w:szCs w:val="14"/>
                <w:color w:val="auto"/>
              </w:rPr>
              <w:t>$</w:t>
            </w:r>
          </w:p>
        </w:tc>
        <w:tc>
          <w:tcPr>
            <w:tcW w:w="1420" w:type="dxa"/>
            <w:vAlign w:val="bottom"/>
            <w:shd w:val="clear" w:color="auto" w:fill="E0E3F1"/>
          </w:tcPr>
          <w:p>
            <w:pPr>
              <w:jc w:val="right"/>
              <w:spacing w:after="0"/>
              <w:rPr>
                <w:sz w:val="20"/>
                <w:szCs w:val="20"/>
                <w:color w:val="auto"/>
              </w:rPr>
            </w:pPr>
            <w:r>
              <w:rPr>
                <w:rFonts w:ascii="Arial" w:cs="Arial" w:eastAsia="Arial" w:hAnsi="Arial"/>
                <w:sz w:val="14"/>
                <w:szCs w:val="14"/>
                <w:color w:val="auto"/>
              </w:rPr>
              <w:t>2,058.6</w:t>
            </w:r>
          </w:p>
        </w:tc>
        <w:tc>
          <w:tcPr>
            <w:tcW w:w="520" w:type="dxa"/>
            <w:vAlign w:val="bottom"/>
            <w:shd w:val="clear" w:color="auto" w:fill="E0E3F1"/>
          </w:tcPr>
          <w:p>
            <w:pPr>
              <w:jc w:val="right"/>
              <w:ind w:right="228"/>
              <w:spacing w:after="0"/>
              <w:rPr>
                <w:sz w:val="20"/>
                <w:szCs w:val="20"/>
                <w:color w:val="auto"/>
              </w:rPr>
            </w:pPr>
            <w:r>
              <w:rPr>
                <w:rFonts w:ascii="Arial" w:cs="Arial" w:eastAsia="Arial" w:hAnsi="Arial"/>
                <w:sz w:val="14"/>
                <w:szCs w:val="14"/>
                <w:color w:val="auto"/>
              </w:rPr>
              <w:t>$</w:t>
            </w:r>
          </w:p>
        </w:tc>
        <w:tc>
          <w:tcPr>
            <w:tcW w:w="1260" w:type="dxa"/>
            <w:vAlign w:val="bottom"/>
            <w:shd w:val="clear" w:color="auto" w:fill="E0E3F1"/>
          </w:tcPr>
          <w:p>
            <w:pPr>
              <w:jc w:val="right"/>
              <w:ind w:right="8"/>
              <w:spacing w:after="0"/>
              <w:rPr>
                <w:sz w:val="20"/>
                <w:szCs w:val="20"/>
                <w:color w:val="auto"/>
              </w:rPr>
            </w:pPr>
            <w:r>
              <w:rPr>
                <w:rFonts w:ascii="Arial" w:cs="Arial" w:eastAsia="Arial" w:hAnsi="Arial"/>
                <w:sz w:val="14"/>
                <w:szCs w:val="14"/>
                <w:color w:val="auto"/>
              </w:rPr>
              <w:t>4,246.0</w:t>
            </w:r>
          </w:p>
        </w:tc>
        <w:tc>
          <w:tcPr>
            <w:tcW w:w="0" w:type="dxa"/>
            <w:vAlign w:val="bottom"/>
          </w:tcPr>
          <w:p>
            <w:pPr>
              <w:spacing w:after="0"/>
              <w:rPr>
                <w:sz w:val="1"/>
                <w:szCs w:val="1"/>
                <w:color w:val="auto"/>
              </w:rPr>
            </w:pPr>
          </w:p>
        </w:tc>
      </w:tr>
      <w:tr>
        <w:trPr>
          <w:trHeight w:val="207"/>
        </w:trPr>
        <w:tc>
          <w:tcPr>
            <w:tcW w:w="6040" w:type="dxa"/>
            <w:vAlign w:val="bottom"/>
            <w:tcBorders>
              <w:bottom w:val="single" w:sz="8" w:color="00539B"/>
            </w:tcBorders>
            <w:shd w:val="clear" w:color="auto" w:fill="E0E3F1"/>
          </w:tcPr>
          <w:p>
            <w:pPr>
              <w:ind w:left="20"/>
              <w:spacing w:after="0"/>
              <w:rPr>
                <w:sz w:val="20"/>
                <w:szCs w:val="20"/>
                <w:color w:val="auto"/>
              </w:rPr>
            </w:pPr>
            <w:r>
              <w:rPr>
                <w:rFonts w:ascii="Arial" w:cs="Arial" w:eastAsia="Arial" w:hAnsi="Arial"/>
                <w:sz w:val="14"/>
                <w:szCs w:val="14"/>
                <w:color w:val="auto"/>
              </w:rPr>
              <w:t>Special charges</w:t>
            </w:r>
          </w:p>
        </w:tc>
        <w:tc>
          <w:tcPr>
            <w:tcW w:w="120" w:type="dxa"/>
            <w:vAlign w:val="bottom"/>
            <w:tcBorders>
              <w:bottom w:val="single" w:sz="8" w:color="00539B"/>
            </w:tcBorders>
            <w:shd w:val="clear" w:color="auto" w:fill="E0E3F1"/>
          </w:tcPr>
          <w:p>
            <w:pPr>
              <w:spacing w:after="0"/>
              <w:rPr>
                <w:sz w:val="17"/>
                <w:szCs w:val="17"/>
                <w:color w:val="auto"/>
              </w:rPr>
            </w:pPr>
          </w:p>
        </w:tc>
        <w:tc>
          <w:tcPr>
            <w:tcW w:w="148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1.3</w:t>
            </w:r>
          </w:p>
        </w:tc>
        <w:tc>
          <w:tcPr>
            <w:tcW w:w="340" w:type="dxa"/>
            <w:vAlign w:val="bottom"/>
            <w:tcBorders>
              <w:bottom w:val="single" w:sz="8" w:color="00539B"/>
            </w:tcBorders>
            <w:shd w:val="clear" w:color="auto" w:fill="E0E3F1"/>
          </w:tcPr>
          <w:p>
            <w:pPr>
              <w:spacing w:after="0"/>
              <w:rPr>
                <w:sz w:val="17"/>
                <w:szCs w:val="17"/>
                <w:color w:val="auto"/>
              </w:rPr>
            </w:pPr>
          </w:p>
        </w:tc>
        <w:tc>
          <w:tcPr>
            <w:tcW w:w="142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0.8</w:t>
            </w:r>
          </w:p>
        </w:tc>
        <w:tc>
          <w:tcPr>
            <w:tcW w:w="520" w:type="dxa"/>
            <w:vAlign w:val="bottom"/>
            <w:tcBorders>
              <w:bottom w:val="single" w:sz="8" w:color="00539B"/>
            </w:tcBorders>
            <w:shd w:val="clear" w:color="auto" w:fill="E0E3F1"/>
          </w:tcPr>
          <w:p>
            <w:pPr>
              <w:spacing w:after="0"/>
              <w:rPr>
                <w:sz w:val="17"/>
                <w:szCs w:val="17"/>
                <w:color w:val="auto"/>
              </w:rPr>
            </w:pPr>
          </w:p>
        </w:tc>
        <w:tc>
          <w:tcPr>
            <w:tcW w:w="1260" w:type="dxa"/>
            <w:vAlign w:val="bottom"/>
            <w:tcBorders>
              <w:bottom w:val="single" w:sz="8" w:color="00539B"/>
            </w:tcBorders>
            <w:shd w:val="clear" w:color="auto" w:fill="E0E3F1"/>
          </w:tcPr>
          <w:p>
            <w:pPr>
              <w:jc w:val="right"/>
              <w:ind w:right="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96"/>
        </w:trPr>
        <w:tc>
          <w:tcPr>
            <w:tcW w:w="6040" w:type="dxa"/>
            <w:vAlign w:val="bottom"/>
            <w:tcBorders>
              <w:bottom w:val="single" w:sz="8" w:color="00539B"/>
            </w:tcBorders>
            <w:shd w:val="clear" w:color="auto" w:fill="E0E3F1"/>
          </w:tcPr>
          <w:p>
            <w:pPr>
              <w:ind w:left="20"/>
              <w:spacing w:after="0"/>
              <w:rPr>
                <w:sz w:val="20"/>
                <w:szCs w:val="20"/>
                <w:color w:val="auto"/>
              </w:rPr>
            </w:pPr>
            <w:r>
              <w:rPr>
                <w:rFonts w:ascii="Arial" w:cs="Arial" w:eastAsia="Arial" w:hAnsi="Arial"/>
                <w:sz w:val="14"/>
                <w:szCs w:val="14"/>
                <w:color w:val="auto"/>
              </w:rPr>
              <w:t>Cost of goods sold</w:t>
            </w:r>
          </w:p>
        </w:tc>
        <w:tc>
          <w:tcPr>
            <w:tcW w:w="12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2,188.7</w:t>
            </w:r>
          </w:p>
        </w:tc>
        <w:tc>
          <w:tcPr>
            <w:tcW w:w="340" w:type="dxa"/>
            <w:vAlign w:val="bottom"/>
            <w:tcBorders>
              <w:bottom w:val="single" w:sz="8" w:color="00539B"/>
            </w:tcBorders>
            <w:shd w:val="clear" w:color="auto" w:fill="E0E3F1"/>
          </w:tcPr>
          <w:p>
            <w:pPr>
              <w:jc w:val="right"/>
              <w:ind w:right="2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2,059.4</w:t>
            </w:r>
          </w:p>
        </w:tc>
        <w:tc>
          <w:tcPr>
            <w:tcW w:w="520" w:type="dxa"/>
            <w:vAlign w:val="bottom"/>
            <w:tcBorders>
              <w:bottom w:val="single" w:sz="8" w:color="00539B"/>
            </w:tcBorders>
            <w:shd w:val="clear" w:color="auto" w:fill="E0E3F1"/>
          </w:tcPr>
          <w:p>
            <w:pPr>
              <w:jc w:val="right"/>
              <w:ind w:right="2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00539B"/>
            </w:tcBorders>
            <w:shd w:val="clear" w:color="auto" w:fill="E0E3F1"/>
          </w:tcPr>
          <w:p>
            <w:pPr>
              <w:jc w:val="right"/>
              <w:ind w:right="8"/>
              <w:spacing w:after="0"/>
              <w:rPr>
                <w:sz w:val="20"/>
                <w:szCs w:val="20"/>
                <w:color w:val="auto"/>
              </w:rPr>
            </w:pPr>
            <w:r>
              <w:rPr>
                <w:rFonts w:ascii="Arial" w:cs="Arial" w:eastAsia="Arial" w:hAnsi="Arial"/>
                <w:sz w:val="14"/>
                <w:szCs w:val="14"/>
                <w:color w:val="auto"/>
              </w:rPr>
              <w:t>4,248.1</w:t>
            </w:r>
          </w:p>
        </w:tc>
        <w:tc>
          <w:tcPr>
            <w:tcW w:w="0" w:type="dxa"/>
            <w:vAlign w:val="bottom"/>
          </w:tcPr>
          <w:p>
            <w:pPr>
              <w:spacing w:after="0"/>
              <w:rPr>
                <w:sz w:val="1"/>
                <w:szCs w:val="1"/>
                <w:color w:val="auto"/>
              </w:rPr>
            </w:pPr>
          </w:p>
        </w:tc>
      </w:tr>
      <w:tr>
        <w:trPr>
          <w:trHeight w:val="192"/>
        </w:trPr>
        <w:tc>
          <w:tcPr>
            <w:tcW w:w="6040" w:type="dxa"/>
            <w:vAlign w:val="bottom"/>
            <w:shd w:val="clear" w:color="auto" w:fill="E0E3F1"/>
          </w:tcPr>
          <w:p>
            <w:pPr>
              <w:ind w:left="20"/>
              <w:spacing w:after="0"/>
              <w:rPr>
                <w:sz w:val="20"/>
                <w:szCs w:val="20"/>
                <w:color w:val="auto"/>
              </w:rPr>
            </w:pPr>
            <w:r>
              <w:rPr>
                <w:rFonts w:ascii="Arial" w:cs="Arial" w:eastAsia="Arial" w:hAnsi="Arial"/>
                <w:sz w:val="14"/>
                <w:szCs w:val="14"/>
                <w:color w:val="auto"/>
              </w:rPr>
              <w:t>Operating income excluding special charges</w:t>
            </w:r>
          </w:p>
        </w:tc>
        <w:tc>
          <w:tcPr>
            <w:tcW w:w="120" w:type="dxa"/>
            <w:vAlign w:val="bottom"/>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1480" w:type="dxa"/>
            <w:vAlign w:val="bottom"/>
            <w:shd w:val="clear" w:color="auto" w:fill="E0E3F1"/>
          </w:tcPr>
          <w:p>
            <w:pPr>
              <w:jc w:val="right"/>
              <w:spacing w:after="0"/>
              <w:rPr>
                <w:sz w:val="20"/>
                <w:szCs w:val="20"/>
                <w:color w:val="auto"/>
              </w:rPr>
            </w:pPr>
            <w:r>
              <w:rPr>
                <w:rFonts w:ascii="Arial" w:cs="Arial" w:eastAsia="Arial" w:hAnsi="Arial"/>
                <w:sz w:val="14"/>
                <w:szCs w:val="14"/>
                <w:color w:val="auto"/>
              </w:rPr>
              <w:t>734.9</w:t>
            </w:r>
          </w:p>
        </w:tc>
        <w:tc>
          <w:tcPr>
            <w:tcW w:w="340" w:type="dxa"/>
            <w:vAlign w:val="bottom"/>
            <w:shd w:val="clear" w:color="auto" w:fill="E0E3F1"/>
          </w:tcPr>
          <w:p>
            <w:pPr>
              <w:jc w:val="right"/>
              <w:ind w:right="28"/>
              <w:spacing w:after="0"/>
              <w:rPr>
                <w:sz w:val="20"/>
                <w:szCs w:val="20"/>
                <w:color w:val="auto"/>
              </w:rPr>
            </w:pPr>
            <w:r>
              <w:rPr>
                <w:rFonts w:ascii="Arial" w:cs="Arial" w:eastAsia="Arial" w:hAnsi="Arial"/>
                <w:sz w:val="14"/>
                <w:szCs w:val="14"/>
                <w:color w:val="auto"/>
              </w:rPr>
              <w:t>$</w:t>
            </w:r>
          </w:p>
        </w:tc>
        <w:tc>
          <w:tcPr>
            <w:tcW w:w="1420" w:type="dxa"/>
            <w:vAlign w:val="bottom"/>
            <w:shd w:val="clear" w:color="auto" w:fill="E0E3F1"/>
          </w:tcPr>
          <w:p>
            <w:pPr>
              <w:jc w:val="right"/>
              <w:spacing w:after="0"/>
              <w:rPr>
                <w:sz w:val="20"/>
                <w:szCs w:val="20"/>
                <w:color w:val="auto"/>
              </w:rPr>
            </w:pPr>
            <w:r>
              <w:rPr>
                <w:rFonts w:ascii="Arial" w:cs="Arial" w:eastAsia="Arial" w:hAnsi="Arial"/>
                <w:sz w:val="14"/>
                <w:szCs w:val="14"/>
                <w:color w:val="auto"/>
              </w:rPr>
              <w:t>359.1</w:t>
            </w:r>
          </w:p>
        </w:tc>
        <w:tc>
          <w:tcPr>
            <w:tcW w:w="520" w:type="dxa"/>
            <w:vAlign w:val="bottom"/>
            <w:shd w:val="clear" w:color="auto" w:fill="E0E3F1"/>
          </w:tcPr>
          <w:p>
            <w:pPr>
              <w:jc w:val="right"/>
              <w:ind w:right="228"/>
              <w:spacing w:after="0"/>
              <w:rPr>
                <w:sz w:val="20"/>
                <w:szCs w:val="20"/>
                <w:color w:val="auto"/>
              </w:rPr>
            </w:pPr>
            <w:r>
              <w:rPr>
                <w:rFonts w:ascii="Arial" w:cs="Arial" w:eastAsia="Arial" w:hAnsi="Arial"/>
                <w:sz w:val="14"/>
                <w:szCs w:val="14"/>
                <w:color w:val="auto"/>
              </w:rPr>
              <w:t>$</w:t>
            </w:r>
          </w:p>
        </w:tc>
        <w:tc>
          <w:tcPr>
            <w:tcW w:w="1260" w:type="dxa"/>
            <w:vAlign w:val="bottom"/>
            <w:shd w:val="clear" w:color="auto" w:fill="E0E3F1"/>
          </w:tcPr>
          <w:p>
            <w:pPr>
              <w:jc w:val="right"/>
              <w:ind w:right="8"/>
              <w:spacing w:after="0"/>
              <w:rPr>
                <w:sz w:val="20"/>
                <w:szCs w:val="20"/>
                <w:color w:val="auto"/>
              </w:rPr>
            </w:pPr>
            <w:r>
              <w:rPr>
                <w:rFonts w:ascii="Arial" w:cs="Arial" w:eastAsia="Arial" w:hAnsi="Arial"/>
                <w:sz w:val="14"/>
                <w:szCs w:val="14"/>
                <w:color w:val="auto"/>
              </w:rPr>
              <w:t>1,094.0</w:t>
            </w:r>
          </w:p>
        </w:tc>
        <w:tc>
          <w:tcPr>
            <w:tcW w:w="0" w:type="dxa"/>
            <w:vAlign w:val="bottom"/>
          </w:tcPr>
          <w:p>
            <w:pPr>
              <w:spacing w:after="0"/>
              <w:rPr>
                <w:sz w:val="1"/>
                <w:szCs w:val="1"/>
                <w:color w:val="auto"/>
              </w:rPr>
            </w:pPr>
          </w:p>
        </w:tc>
      </w:tr>
      <w:tr>
        <w:trPr>
          <w:trHeight w:val="206"/>
        </w:trPr>
        <w:tc>
          <w:tcPr>
            <w:tcW w:w="6040" w:type="dxa"/>
            <w:vAlign w:val="bottom"/>
            <w:tcBorders>
              <w:bottom w:val="single" w:sz="8" w:color="00539B"/>
            </w:tcBorders>
            <w:shd w:val="clear" w:color="auto" w:fill="E0E3F1"/>
          </w:tcPr>
          <w:p>
            <w:pPr>
              <w:ind w:left="20"/>
              <w:spacing w:after="0"/>
              <w:rPr>
                <w:sz w:val="20"/>
                <w:szCs w:val="20"/>
                <w:color w:val="auto"/>
              </w:rPr>
            </w:pPr>
            <w:r>
              <w:rPr>
                <w:rFonts w:ascii="Arial" w:cs="Arial" w:eastAsia="Arial" w:hAnsi="Arial"/>
                <w:sz w:val="14"/>
                <w:szCs w:val="14"/>
                <w:color w:val="auto"/>
              </w:rPr>
              <w:t>Less: Special charges</w:t>
            </w:r>
          </w:p>
        </w:tc>
        <w:tc>
          <w:tcPr>
            <w:tcW w:w="120" w:type="dxa"/>
            <w:vAlign w:val="bottom"/>
            <w:tcBorders>
              <w:bottom w:val="single" w:sz="8" w:color="00539B"/>
            </w:tcBorders>
            <w:shd w:val="clear" w:color="auto" w:fill="E0E3F1"/>
          </w:tcPr>
          <w:p>
            <w:pPr>
              <w:spacing w:after="0"/>
              <w:rPr>
                <w:sz w:val="17"/>
                <w:szCs w:val="17"/>
                <w:color w:val="auto"/>
              </w:rPr>
            </w:pPr>
          </w:p>
        </w:tc>
        <w:tc>
          <w:tcPr>
            <w:tcW w:w="148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13.6</w:t>
            </w:r>
          </w:p>
        </w:tc>
        <w:tc>
          <w:tcPr>
            <w:tcW w:w="340" w:type="dxa"/>
            <w:vAlign w:val="bottom"/>
            <w:tcBorders>
              <w:bottom w:val="single" w:sz="8" w:color="00539B"/>
            </w:tcBorders>
            <w:shd w:val="clear" w:color="auto" w:fill="E0E3F1"/>
          </w:tcPr>
          <w:p>
            <w:pPr>
              <w:spacing w:after="0"/>
              <w:rPr>
                <w:sz w:val="17"/>
                <w:szCs w:val="17"/>
                <w:color w:val="auto"/>
              </w:rPr>
            </w:pPr>
          </w:p>
        </w:tc>
        <w:tc>
          <w:tcPr>
            <w:tcW w:w="142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9.6</w:t>
            </w:r>
          </w:p>
        </w:tc>
        <w:tc>
          <w:tcPr>
            <w:tcW w:w="520" w:type="dxa"/>
            <w:vAlign w:val="bottom"/>
            <w:tcBorders>
              <w:bottom w:val="single" w:sz="8" w:color="00539B"/>
            </w:tcBorders>
            <w:shd w:val="clear" w:color="auto" w:fill="E0E3F1"/>
          </w:tcPr>
          <w:p>
            <w:pPr>
              <w:spacing w:after="0"/>
              <w:rPr>
                <w:sz w:val="17"/>
                <w:szCs w:val="17"/>
                <w:color w:val="auto"/>
              </w:rPr>
            </w:pPr>
          </w:p>
        </w:tc>
        <w:tc>
          <w:tcPr>
            <w:tcW w:w="1260" w:type="dxa"/>
            <w:vAlign w:val="bottom"/>
            <w:tcBorders>
              <w:bottom w:val="single" w:sz="8" w:color="00539B"/>
            </w:tcBorders>
            <w:shd w:val="clear" w:color="auto" w:fill="E0E3F1"/>
          </w:tcPr>
          <w:p>
            <w:pPr>
              <w:jc w:val="right"/>
              <w:ind w:right="8"/>
              <w:spacing w:after="0"/>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196"/>
        </w:trPr>
        <w:tc>
          <w:tcPr>
            <w:tcW w:w="6040" w:type="dxa"/>
            <w:vAlign w:val="bottom"/>
            <w:tcBorders>
              <w:bottom w:val="single" w:sz="8" w:color="00539B"/>
            </w:tcBorders>
            <w:shd w:val="clear" w:color="auto" w:fill="E0E3F1"/>
          </w:tcPr>
          <w:p>
            <w:pPr>
              <w:ind w:left="20"/>
              <w:spacing w:after="0"/>
              <w:rPr>
                <w:sz w:val="20"/>
                <w:szCs w:val="20"/>
                <w:color w:val="auto"/>
              </w:rPr>
            </w:pPr>
            <w:r>
              <w:rPr>
                <w:rFonts w:ascii="Arial" w:cs="Arial" w:eastAsia="Arial" w:hAnsi="Arial"/>
                <w:sz w:val="14"/>
                <w:szCs w:val="14"/>
                <w:color w:val="auto"/>
              </w:rPr>
              <w:t>Operating income</w:t>
            </w:r>
          </w:p>
        </w:tc>
        <w:tc>
          <w:tcPr>
            <w:tcW w:w="12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721.3</w:t>
            </w:r>
          </w:p>
        </w:tc>
        <w:tc>
          <w:tcPr>
            <w:tcW w:w="340" w:type="dxa"/>
            <w:vAlign w:val="bottom"/>
            <w:tcBorders>
              <w:bottom w:val="single" w:sz="8" w:color="00539B"/>
            </w:tcBorders>
            <w:shd w:val="clear" w:color="auto" w:fill="E0E3F1"/>
          </w:tcPr>
          <w:p>
            <w:pPr>
              <w:jc w:val="right"/>
              <w:ind w:right="2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349.5</w:t>
            </w:r>
          </w:p>
        </w:tc>
        <w:tc>
          <w:tcPr>
            <w:tcW w:w="520" w:type="dxa"/>
            <w:vAlign w:val="bottom"/>
            <w:tcBorders>
              <w:bottom w:val="single" w:sz="8" w:color="00539B"/>
            </w:tcBorders>
            <w:shd w:val="clear" w:color="auto" w:fill="E0E3F1"/>
          </w:tcPr>
          <w:p>
            <w:pPr>
              <w:jc w:val="right"/>
              <w:ind w:right="2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00539B"/>
            </w:tcBorders>
            <w:shd w:val="clear" w:color="auto" w:fill="E0E3F1"/>
          </w:tcPr>
          <w:p>
            <w:pPr>
              <w:jc w:val="right"/>
              <w:ind w:right="8"/>
              <w:spacing w:after="0"/>
              <w:rPr>
                <w:sz w:val="20"/>
                <w:szCs w:val="20"/>
                <w:color w:val="auto"/>
              </w:rPr>
            </w:pPr>
            <w:r>
              <w:rPr>
                <w:rFonts w:ascii="Arial" w:cs="Arial" w:eastAsia="Arial" w:hAnsi="Arial"/>
                <w:sz w:val="14"/>
                <w:szCs w:val="14"/>
                <w:color w:val="auto"/>
              </w:rPr>
              <w:t>1,070.8</w:t>
            </w:r>
          </w:p>
        </w:tc>
        <w:tc>
          <w:tcPr>
            <w:tcW w:w="0" w:type="dxa"/>
            <w:vAlign w:val="bottom"/>
          </w:tcPr>
          <w:p>
            <w:pPr>
              <w:spacing w:after="0"/>
              <w:rPr>
                <w:sz w:val="1"/>
                <w:szCs w:val="1"/>
                <w:color w:val="auto"/>
              </w:rPr>
            </w:pPr>
          </w:p>
        </w:tc>
      </w:tr>
      <w:tr>
        <w:trPr>
          <w:trHeight w:val="395"/>
        </w:trPr>
        <w:tc>
          <w:tcPr>
            <w:tcW w:w="6040" w:type="dxa"/>
            <w:vAlign w:val="bottom"/>
          </w:tcPr>
          <w:p>
            <w:pPr>
              <w:ind w:left="20"/>
              <w:spacing w:after="0"/>
              <w:rPr>
                <w:sz w:val="20"/>
                <w:szCs w:val="20"/>
                <w:color w:val="auto"/>
              </w:rPr>
            </w:pPr>
            <w:r>
              <w:rPr>
                <w:rFonts w:ascii="Arial" w:cs="Arial" w:eastAsia="Arial" w:hAnsi="Arial"/>
                <w:sz w:val="14"/>
                <w:szCs w:val="14"/>
                <w:color w:val="auto"/>
              </w:rPr>
              <w:t>2024</w:t>
            </w: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040" w:type="dxa"/>
            <w:vAlign w:val="bottom"/>
          </w:tcPr>
          <w:p>
            <w:pPr>
              <w:ind w:left="20"/>
              <w:spacing w:after="0"/>
              <w:rPr>
                <w:sz w:val="20"/>
                <w:szCs w:val="20"/>
                <w:color w:val="auto"/>
              </w:rPr>
            </w:pPr>
            <w:r>
              <w:rPr>
                <w:rFonts w:ascii="Arial" w:cs="Arial" w:eastAsia="Arial" w:hAnsi="Arial"/>
                <w:sz w:val="14"/>
                <w:szCs w:val="14"/>
                <w:color w:val="auto"/>
              </w:rPr>
              <w:t>Operating income excluding special charges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740.3</w:t>
            </w:r>
          </w:p>
        </w:tc>
        <w:tc>
          <w:tcPr>
            <w:tcW w:w="3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329.5</w:t>
            </w:r>
          </w:p>
        </w:tc>
        <w:tc>
          <w:tcPr>
            <w:tcW w:w="5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1,069.8</w:t>
            </w:r>
          </w:p>
        </w:tc>
        <w:tc>
          <w:tcPr>
            <w:tcW w:w="0" w:type="dxa"/>
            <w:vAlign w:val="bottom"/>
          </w:tcPr>
          <w:p>
            <w:pPr>
              <w:spacing w:after="0"/>
              <w:rPr>
                <w:sz w:val="1"/>
                <w:szCs w:val="1"/>
                <w:color w:val="auto"/>
              </w:rPr>
            </w:pPr>
          </w:p>
        </w:tc>
      </w:tr>
      <w:tr>
        <w:trPr>
          <w:trHeight w:val="206"/>
        </w:trPr>
        <w:tc>
          <w:tcPr>
            <w:tcW w:w="604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Less: Special charges</w:t>
            </w:r>
          </w:p>
        </w:tc>
        <w:tc>
          <w:tcPr>
            <w:tcW w:w="120" w:type="dxa"/>
            <w:vAlign w:val="bottom"/>
            <w:tcBorders>
              <w:bottom w:val="single" w:sz="8" w:color="00539B"/>
            </w:tcBorders>
          </w:tcPr>
          <w:p>
            <w:pPr>
              <w:spacing w:after="0"/>
              <w:rPr>
                <w:sz w:val="17"/>
                <w:szCs w:val="17"/>
                <w:color w:val="auto"/>
              </w:rPr>
            </w:pPr>
          </w:p>
        </w:tc>
        <w:tc>
          <w:tcPr>
            <w:tcW w:w="148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3.4</w:t>
            </w:r>
          </w:p>
        </w:tc>
        <w:tc>
          <w:tcPr>
            <w:tcW w:w="340" w:type="dxa"/>
            <w:vAlign w:val="bottom"/>
            <w:tcBorders>
              <w:bottom w:val="single" w:sz="8" w:color="00539B"/>
            </w:tcBorders>
          </w:tcPr>
          <w:p>
            <w:pPr>
              <w:spacing w:after="0"/>
              <w:rPr>
                <w:sz w:val="17"/>
                <w:szCs w:val="17"/>
                <w:color w:val="auto"/>
              </w:rPr>
            </w:pPr>
          </w:p>
        </w:tc>
        <w:tc>
          <w:tcPr>
            <w:tcW w:w="142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6.1</w:t>
            </w:r>
          </w:p>
        </w:tc>
        <w:tc>
          <w:tcPr>
            <w:tcW w:w="520" w:type="dxa"/>
            <w:vAlign w:val="bottom"/>
            <w:tcBorders>
              <w:bottom w:val="single" w:sz="8" w:color="00539B"/>
            </w:tcBorders>
          </w:tcPr>
          <w:p>
            <w:pPr>
              <w:spacing w:after="0"/>
              <w:rPr>
                <w:sz w:val="17"/>
                <w:szCs w:val="17"/>
                <w:color w:val="auto"/>
              </w:rPr>
            </w:pPr>
          </w:p>
        </w:tc>
        <w:tc>
          <w:tcPr>
            <w:tcW w:w="1260" w:type="dxa"/>
            <w:vAlign w:val="bottom"/>
            <w:tcBorders>
              <w:bottom w:val="single" w:sz="8" w:color="00539B"/>
            </w:tcBorders>
          </w:tcPr>
          <w:p>
            <w:pPr>
              <w:jc w:val="right"/>
              <w:ind w:right="8"/>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96"/>
        </w:trPr>
        <w:tc>
          <w:tcPr>
            <w:tcW w:w="604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Operating income</w:t>
            </w:r>
          </w:p>
        </w:tc>
        <w:tc>
          <w:tcPr>
            <w:tcW w:w="12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736.9</w:t>
            </w:r>
          </w:p>
        </w:tc>
        <w:tc>
          <w:tcPr>
            <w:tcW w:w="340" w:type="dxa"/>
            <w:vAlign w:val="bottom"/>
            <w:tcBorders>
              <w:bottom w:val="single" w:sz="8" w:color="00539B"/>
            </w:tcBorders>
          </w:tcPr>
          <w:p>
            <w:pPr>
              <w:jc w:val="right"/>
              <w:ind w:right="2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323.4</w:t>
            </w:r>
          </w:p>
        </w:tc>
        <w:tc>
          <w:tcPr>
            <w:tcW w:w="520" w:type="dxa"/>
            <w:vAlign w:val="bottom"/>
            <w:tcBorders>
              <w:bottom w:val="single" w:sz="8" w:color="00539B"/>
            </w:tcBorders>
          </w:tcPr>
          <w:p>
            <w:pPr>
              <w:jc w:val="right"/>
              <w:ind w:right="2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00539B"/>
            </w:tcBorders>
          </w:tcPr>
          <w:p>
            <w:pPr>
              <w:jc w:val="right"/>
              <w:ind w:right="8"/>
              <w:spacing w:after="0"/>
              <w:rPr>
                <w:sz w:val="20"/>
                <w:szCs w:val="20"/>
                <w:color w:val="auto"/>
              </w:rPr>
            </w:pPr>
            <w:r>
              <w:rPr>
                <w:rFonts w:ascii="Arial" w:cs="Arial" w:eastAsia="Arial" w:hAnsi="Arial"/>
                <w:sz w:val="14"/>
                <w:szCs w:val="14"/>
                <w:color w:val="auto"/>
              </w:rPr>
              <w:t>1,060.3</w:t>
            </w:r>
          </w:p>
        </w:tc>
        <w:tc>
          <w:tcPr>
            <w:tcW w:w="0" w:type="dxa"/>
            <w:vAlign w:val="bottom"/>
          </w:tcPr>
          <w:p>
            <w:pPr>
              <w:spacing w:after="0"/>
              <w:rPr>
                <w:sz w:val="1"/>
                <w:szCs w:val="1"/>
                <w:color w:val="auto"/>
              </w:rPr>
            </w:pPr>
          </w:p>
        </w:tc>
      </w:tr>
      <w:tr>
        <w:trPr>
          <w:trHeight w:val="435"/>
        </w:trPr>
        <w:tc>
          <w:tcPr>
            <w:tcW w:w="6040" w:type="dxa"/>
            <w:vAlign w:val="bottom"/>
          </w:tcPr>
          <w:p>
            <w:pPr>
              <w:ind w:left="20"/>
              <w:spacing w:after="0"/>
              <w:rPr>
                <w:sz w:val="20"/>
                <w:szCs w:val="20"/>
                <w:color w:val="auto"/>
              </w:rPr>
            </w:pPr>
            <w:r>
              <w:rPr>
                <w:rFonts w:ascii="Arial" w:cs="Arial" w:eastAsia="Arial" w:hAnsi="Arial"/>
                <w:sz w:val="14"/>
                <w:szCs w:val="14"/>
                <w:color w:val="auto"/>
              </w:rPr>
              <w:t>2023</w:t>
            </w: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6040" w:type="dxa"/>
            <w:vAlign w:val="bottom"/>
          </w:tcPr>
          <w:p>
            <w:pPr>
              <w:ind w:left="20"/>
              <w:spacing w:after="0" w:line="157" w:lineRule="exact"/>
              <w:rPr>
                <w:sz w:val="20"/>
                <w:szCs w:val="20"/>
                <w:color w:val="auto"/>
              </w:rPr>
            </w:pPr>
            <w:r>
              <w:rPr>
                <w:rFonts w:ascii="Arial" w:cs="Arial" w:eastAsia="Arial" w:hAnsi="Arial"/>
                <w:sz w:val="14"/>
                <w:szCs w:val="14"/>
                <w:color w:val="auto"/>
              </w:rPr>
              <w:t>Operating income excluding special charges</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80" w:type="dxa"/>
            <w:vAlign w:val="bottom"/>
            <w:vMerge w:val="restart"/>
          </w:tcPr>
          <w:p>
            <w:pPr>
              <w:jc w:val="right"/>
              <w:spacing w:after="0"/>
              <w:rPr>
                <w:sz w:val="20"/>
                <w:szCs w:val="20"/>
                <w:color w:val="auto"/>
              </w:rPr>
            </w:pPr>
            <w:r>
              <w:rPr>
                <w:rFonts w:ascii="Arial" w:cs="Arial" w:eastAsia="Arial" w:hAnsi="Arial"/>
                <w:sz w:val="14"/>
                <w:szCs w:val="14"/>
                <w:color w:val="auto"/>
              </w:rPr>
              <w:t>735.5</w:t>
            </w:r>
          </w:p>
        </w:tc>
        <w:tc>
          <w:tcPr>
            <w:tcW w:w="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288.7</w:t>
            </w:r>
          </w:p>
        </w:tc>
        <w:tc>
          <w:tcPr>
            <w:tcW w:w="52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color w:val="auto"/>
              </w:rPr>
              <w:t>1,024.2</w:t>
            </w:r>
          </w:p>
        </w:tc>
        <w:tc>
          <w:tcPr>
            <w:tcW w:w="0" w:type="dxa"/>
            <w:vAlign w:val="bottom"/>
          </w:tcPr>
          <w:p>
            <w:pPr>
              <w:spacing w:after="0"/>
              <w:rPr>
                <w:sz w:val="1"/>
                <w:szCs w:val="1"/>
                <w:color w:val="auto"/>
              </w:rPr>
            </w:pPr>
          </w:p>
        </w:tc>
      </w:tr>
      <w:tr>
        <w:trPr>
          <w:trHeight w:val="190"/>
        </w:trPr>
        <w:tc>
          <w:tcPr>
            <w:tcW w:w="6040" w:type="dxa"/>
            <w:vAlign w:val="bottom"/>
          </w:tcPr>
          <w:p>
            <w:pPr>
              <w:ind w:left="220"/>
              <w:spacing w:after="0"/>
              <w:rPr>
                <w:sz w:val="20"/>
                <w:szCs w:val="20"/>
                <w:color w:val="auto"/>
              </w:rPr>
            </w:pPr>
            <w:r>
              <w:rPr>
                <w:rFonts w:ascii="Arial" w:cs="Arial" w:eastAsia="Arial" w:hAnsi="Arial"/>
                <w:sz w:val="14"/>
                <w:szCs w:val="14"/>
                <w:color w:val="auto"/>
              </w:rPr>
              <w:t>expenses</w:t>
            </w:r>
          </w:p>
        </w:tc>
        <w:tc>
          <w:tcPr>
            <w:tcW w:w="120" w:type="dxa"/>
            <w:vAlign w:val="bottom"/>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04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Less: Special charges</w:t>
            </w:r>
          </w:p>
        </w:tc>
        <w:tc>
          <w:tcPr>
            <w:tcW w:w="120" w:type="dxa"/>
            <w:vAlign w:val="bottom"/>
            <w:tcBorders>
              <w:bottom w:val="single" w:sz="8" w:color="00539B"/>
            </w:tcBorders>
          </w:tcPr>
          <w:p>
            <w:pPr>
              <w:spacing w:after="0"/>
              <w:rPr>
                <w:sz w:val="17"/>
                <w:szCs w:val="17"/>
                <w:color w:val="auto"/>
              </w:rPr>
            </w:pPr>
          </w:p>
        </w:tc>
        <w:tc>
          <w:tcPr>
            <w:tcW w:w="148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35.8</w:t>
            </w:r>
          </w:p>
        </w:tc>
        <w:tc>
          <w:tcPr>
            <w:tcW w:w="340" w:type="dxa"/>
            <w:vAlign w:val="bottom"/>
            <w:tcBorders>
              <w:bottom w:val="single" w:sz="8" w:color="00539B"/>
            </w:tcBorders>
          </w:tcPr>
          <w:p>
            <w:pPr>
              <w:spacing w:after="0"/>
              <w:rPr>
                <w:sz w:val="17"/>
                <w:szCs w:val="17"/>
                <w:color w:val="auto"/>
              </w:rPr>
            </w:pPr>
          </w:p>
        </w:tc>
        <w:tc>
          <w:tcPr>
            <w:tcW w:w="142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25.4</w:t>
            </w:r>
          </w:p>
        </w:tc>
        <w:tc>
          <w:tcPr>
            <w:tcW w:w="520" w:type="dxa"/>
            <w:vAlign w:val="bottom"/>
            <w:tcBorders>
              <w:bottom w:val="single" w:sz="8" w:color="00539B"/>
            </w:tcBorders>
          </w:tcPr>
          <w:p>
            <w:pPr>
              <w:spacing w:after="0"/>
              <w:rPr>
                <w:sz w:val="17"/>
                <w:szCs w:val="17"/>
                <w:color w:val="auto"/>
              </w:rPr>
            </w:pPr>
          </w:p>
        </w:tc>
        <w:tc>
          <w:tcPr>
            <w:tcW w:w="1260" w:type="dxa"/>
            <w:vAlign w:val="bottom"/>
            <w:tcBorders>
              <w:bottom w:val="single" w:sz="8" w:color="00539B"/>
            </w:tcBorders>
          </w:tcPr>
          <w:p>
            <w:pPr>
              <w:jc w:val="right"/>
              <w:ind w:right="8"/>
              <w:spacing w:after="0"/>
              <w:rPr>
                <w:sz w:val="20"/>
                <w:szCs w:val="20"/>
                <w:color w:val="auto"/>
              </w:rPr>
            </w:pPr>
            <w:r>
              <w:rPr>
                <w:rFonts w:ascii="Arial" w:cs="Arial" w:eastAsia="Arial" w:hAnsi="Arial"/>
                <w:sz w:val="14"/>
                <w:szCs w:val="14"/>
                <w:color w:val="auto"/>
              </w:rPr>
              <w:t>61.2</w:t>
            </w:r>
          </w:p>
        </w:tc>
        <w:tc>
          <w:tcPr>
            <w:tcW w:w="0" w:type="dxa"/>
            <w:vAlign w:val="bottom"/>
          </w:tcPr>
          <w:p>
            <w:pPr>
              <w:spacing w:after="0"/>
              <w:rPr>
                <w:sz w:val="1"/>
                <w:szCs w:val="1"/>
                <w:color w:val="auto"/>
              </w:rPr>
            </w:pPr>
          </w:p>
        </w:tc>
      </w:tr>
      <w:tr>
        <w:trPr>
          <w:trHeight w:val="196"/>
        </w:trPr>
        <w:tc>
          <w:tcPr>
            <w:tcW w:w="604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Operating income</w:t>
            </w:r>
          </w:p>
        </w:tc>
        <w:tc>
          <w:tcPr>
            <w:tcW w:w="12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699.7</w:t>
            </w:r>
          </w:p>
        </w:tc>
        <w:tc>
          <w:tcPr>
            <w:tcW w:w="340" w:type="dxa"/>
            <w:vAlign w:val="bottom"/>
            <w:tcBorders>
              <w:bottom w:val="single" w:sz="8" w:color="00539B"/>
            </w:tcBorders>
          </w:tcPr>
          <w:p>
            <w:pPr>
              <w:jc w:val="right"/>
              <w:ind w:right="2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263.3</w:t>
            </w:r>
          </w:p>
        </w:tc>
        <w:tc>
          <w:tcPr>
            <w:tcW w:w="520" w:type="dxa"/>
            <w:vAlign w:val="bottom"/>
            <w:tcBorders>
              <w:bottom w:val="single" w:sz="8" w:color="00539B"/>
            </w:tcBorders>
          </w:tcPr>
          <w:p>
            <w:pPr>
              <w:jc w:val="right"/>
              <w:ind w:right="2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00539B"/>
            </w:tcBorders>
          </w:tcPr>
          <w:p>
            <w:pPr>
              <w:jc w:val="right"/>
              <w:ind w:right="8"/>
              <w:spacing w:after="0"/>
              <w:rPr>
                <w:sz w:val="20"/>
                <w:szCs w:val="20"/>
                <w:color w:val="auto"/>
              </w:rPr>
            </w:pPr>
            <w:r>
              <w:rPr>
                <w:rFonts w:ascii="Arial" w:cs="Arial" w:eastAsia="Arial" w:hAnsi="Arial"/>
                <w:sz w:val="14"/>
                <w:szCs w:val="14"/>
                <w:color w:val="auto"/>
              </w:rPr>
              <w:t>963.0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80" w:name="page81"/>
    <w:bookmarkEnd w:id="80"/>
    <w:p>
      <w:pPr>
        <w:ind w:right="60"/>
        <w:spacing w:after="0" w:line="268" w:lineRule="auto"/>
        <w:rPr>
          <w:sz w:val="20"/>
          <w:szCs w:val="20"/>
          <w:color w:val="auto"/>
        </w:rPr>
      </w:pPr>
      <w:r>
        <w:rPr>
          <w:rFonts w:ascii="Arial" w:cs="Arial" w:eastAsia="Arial" w:hAnsi="Arial"/>
          <w:sz w:val="18"/>
          <w:szCs w:val="18"/>
          <w:color w:val="auto"/>
        </w:rPr>
        <w:t>Total segment operating income as disclosed in the preceding table represents our consolidated operating income. The reconciliation of that operating income to income from consolidated operations before income taxes, which includes interest expense and other income, net is presented on the consolidated income statement.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539B"/>
        </w:rPr>
        <w:t>Geographic Areas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 have net sales and long-lived assets in the following geographic areas: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640" w:type="dxa"/>
            <w:vAlign w:val="bottom"/>
            <w:tcBorders>
              <w:top w:val="single" w:sz="8" w:color="00539B"/>
            </w:tcBorders>
            <w:vMerge w:val="restart"/>
          </w:tcPr>
          <w:p>
            <w:pPr>
              <w:ind w:left="20"/>
              <w:spacing w:after="0"/>
              <w:rPr>
                <w:sz w:val="20"/>
                <w:szCs w:val="20"/>
                <w:color w:val="auto"/>
              </w:rPr>
            </w:pPr>
            <w:r>
              <w:rPr>
                <w:rFonts w:ascii="Arial" w:cs="Arial" w:eastAsia="Arial" w:hAnsi="Arial"/>
                <w:sz w:val="14"/>
                <w:szCs w:val="14"/>
                <w:color w:val="auto"/>
              </w:rPr>
              <w:t>(millions)</w:t>
            </w:r>
          </w:p>
        </w:tc>
        <w:tc>
          <w:tcPr>
            <w:tcW w:w="280" w:type="dxa"/>
            <w:vAlign w:val="bottom"/>
            <w:tcBorders>
              <w:top w:val="single" w:sz="8" w:color="00539B"/>
            </w:tcBorders>
          </w:tcPr>
          <w:p>
            <w:pPr>
              <w:spacing w:after="0"/>
              <w:rPr>
                <w:sz w:val="15"/>
                <w:szCs w:val="15"/>
                <w:color w:val="auto"/>
              </w:rPr>
            </w:pPr>
          </w:p>
        </w:tc>
        <w:tc>
          <w:tcPr>
            <w:tcW w:w="1060" w:type="dxa"/>
            <w:vAlign w:val="bottom"/>
            <w:tcBorders>
              <w:top w:val="single" w:sz="8" w:color="00539B"/>
            </w:tcBorders>
          </w:tcPr>
          <w:p>
            <w:pPr>
              <w:jc w:val="right"/>
              <w:ind w:right="368"/>
              <w:spacing w:after="0"/>
              <w:rPr>
                <w:sz w:val="20"/>
                <w:szCs w:val="20"/>
                <w:color w:val="auto"/>
              </w:rPr>
            </w:pPr>
            <w:r>
              <w:rPr>
                <w:rFonts w:ascii="Arial" w:cs="Arial" w:eastAsia="Arial" w:hAnsi="Arial"/>
                <w:sz w:val="14"/>
                <w:szCs w:val="14"/>
                <w:color w:val="auto"/>
              </w:rPr>
              <w:t>United</w:t>
            </w:r>
          </w:p>
        </w:tc>
        <w:tc>
          <w:tcPr>
            <w:tcW w:w="340" w:type="dxa"/>
            <w:vAlign w:val="bottom"/>
            <w:tcBorders>
              <w:top w:val="single" w:sz="8" w:color="00539B"/>
            </w:tcBorders>
          </w:tcPr>
          <w:p>
            <w:pPr>
              <w:spacing w:after="0"/>
              <w:rPr>
                <w:sz w:val="15"/>
                <w:szCs w:val="15"/>
                <w:color w:val="auto"/>
              </w:rPr>
            </w:pPr>
          </w:p>
        </w:tc>
        <w:tc>
          <w:tcPr>
            <w:tcW w:w="1080" w:type="dxa"/>
            <w:vAlign w:val="bottom"/>
            <w:tcBorders>
              <w:top w:val="single" w:sz="8" w:color="00539B"/>
            </w:tcBorders>
            <w:vMerge w:val="restart"/>
          </w:tcPr>
          <w:p>
            <w:pPr>
              <w:jc w:val="right"/>
              <w:ind w:right="408"/>
              <w:spacing w:after="0"/>
              <w:rPr>
                <w:sz w:val="20"/>
                <w:szCs w:val="20"/>
                <w:color w:val="auto"/>
              </w:rPr>
            </w:pPr>
            <w:r>
              <w:rPr>
                <w:rFonts w:ascii="Arial" w:cs="Arial" w:eastAsia="Arial" w:hAnsi="Arial"/>
                <w:sz w:val="14"/>
                <w:szCs w:val="14"/>
                <w:color w:val="auto"/>
              </w:rPr>
              <w:t>EMEA</w:t>
            </w:r>
          </w:p>
        </w:tc>
        <w:tc>
          <w:tcPr>
            <w:tcW w:w="260" w:type="dxa"/>
            <w:vAlign w:val="bottom"/>
            <w:tcBorders>
              <w:top w:val="single" w:sz="8" w:color="00539B"/>
            </w:tcBorders>
          </w:tcPr>
          <w:p>
            <w:pPr>
              <w:spacing w:after="0"/>
              <w:rPr>
                <w:sz w:val="15"/>
                <w:szCs w:val="15"/>
                <w:color w:val="auto"/>
              </w:rPr>
            </w:pPr>
          </w:p>
        </w:tc>
        <w:tc>
          <w:tcPr>
            <w:tcW w:w="1120" w:type="dxa"/>
            <w:vAlign w:val="bottom"/>
            <w:tcBorders>
              <w:top w:val="single" w:sz="8" w:color="00539B"/>
            </w:tcBorders>
          </w:tcPr>
          <w:p>
            <w:pPr>
              <w:jc w:val="right"/>
              <w:ind w:right="428"/>
              <w:spacing w:after="0"/>
              <w:rPr>
                <w:sz w:val="20"/>
                <w:szCs w:val="20"/>
                <w:color w:val="auto"/>
              </w:rPr>
            </w:pPr>
            <w:r>
              <w:rPr>
                <w:rFonts w:ascii="Arial" w:cs="Arial" w:eastAsia="Arial" w:hAnsi="Arial"/>
                <w:sz w:val="14"/>
                <w:szCs w:val="14"/>
                <w:color w:val="auto"/>
              </w:rPr>
              <w:t>Other</w:t>
            </w:r>
          </w:p>
        </w:tc>
        <w:tc>
          <w:tcPr>
            <w:tcW w:w="340" w:type="dxa"/>
            <w:vAlign w:val="bottom"/>
            <w:tcBorders>
              <w:top w:val="single" w:sz="8" w:color="00539B"/>
            </w:tcBorders>
          </w:tcPr>
          <w:p>
            <w:pPr>
              <w:spacing w:after="0"/>
              <w:rPr>
                <w:sz w:val="15"/>
                <w:szCs w:val="15"/>
                <w:color w:val="auto"/>
              </w:rPr>
            </w:pPr>
          </w:p>
        </w:tc>
        <w:tc>
          <w:tcPr>
            <w:tcW w:w="1080" w:type="dxa"/>
            <w:vAlign w:val="bottom"/>
            <w:tcBorders>
              <w:top w:val="single" w:sz="8" w:color="00539B"/>
            </w:tcBorders>
            <w:vMerge w:val="restart"/>
          </w:tcPr>
          <w:p>
            <w:pPr>
              <w:jc w:val="right"/>
              <w:ind w:right="48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5"/>
        </w:trPr>
        <w:tc>
          <w:tcPr>
            <w:tcW w:w="5640" w:type="dxa"/>
            <w:vAlign w:val="bottom"/>
            <w:tcBorders>
              <w:bottom w:val="single" w:sz="8" w:color="00539B"/>
            </w:tcBorders>
            <w:vMerge w:val="continue"/>
          </w:tcPr>
          <w:p>
            <w:pPr>
              <w:spacing w:after="0"/>
              <w:rPr>
                <w:sz w:val="16"/>
                <w:szCs w:val="16"/>
                <w:color w:val="auto"/>
              </w:rPr>
            </w:pPr>
          </w:p>
        </w:tc>
        <w:tc>
          <w:tcPr>
            <w:tcW w:w="280" w:type="dxa"/>
            <w:vAlign w:val="bottom"/>
            <w:tcBorders>
              <w:bottom w:val="single" w:sz="8" w:color="00539B"/>
            </w:tcBorders>
          </w:tcPr>
          <w:p>
            <w:pPr>
              <w:spacing w:after="0"/>
              <w:rPr>
                <w:sz w:val="16"/>
                <w:szCs w:val="16"/>
                <w:color w:val="auto"/>
              </w:rPr>
            </w:pPr>
          </w:p>
        </w:tc>
        <w:tc>
          <w:tcPr>
            <w:tcW w:w="1060" w:type="dxa"/>
            <w:vAlign w:val="bottom"/>
            <w:tcBorders>
              <w:bottom w:val="single" w:sz="8" w:color="00539B"/>
            </w:tcBorders>
          </w:tcPr>
          <w:p>
            <w:pPr>
              <w:jc w:val="right"/>
              <w:ind w:right="388"/>
              <w:spacing w:after="0"/>
              <w:rPr>
                <w:sz w:val="20"/>
                <w:szCs w:val="20"/>
                <w:color w:val="auto"/>
              </w:rPr>
            </w:pPr>
            <w:r>
              <w:rPr>
                <w:rFonts w:ascii="Arial" w:cs="Arial" w:eastAsia="Arial" w:hAnsi="Arial"/>
                <w:sz w:val="14"/>
                <w:szCs w:val="14"/>
                <w:color w:val="auto"/>
              </w:rPr>
              <w:t>States</w:t>
            </w:r>
          </w:p>
        </w:tc>
        <w:tc>
          <w:tcPr>
            <w:tcW w:w="340" w:type="dxa"/>
            <w:vAlign w:val="bottom"/>
            <w:tcBorders>
              <w:bottom w:val="single" w:sz="8" w:color="00539B"/>
            </w:tcBorders>
          </w:tcPr>
          <w:p>
            <w:pPr>
              <w:spacing w:after="0"/>
              <w:rPr>
                <w:sz w:val="16"/>
                <w:szCs w:val="16"/>
                <w:color w:val="auto"/>
              </w:rPr>
            </w:pPr>
          </w:p>
        </w:tc>
        <w:tc>
          <w:tcPr>
            <w:tcW w:w="1080" w:type="dxa"/>
            <w:vAlign w:val="bottom"/>
            <w:tcBorders>
              <w:bottom w:val="single" w:sz="8" w:color="00539B"/>
            </w:tcBorders>
            <w:vMerge w:val="continue"/>
          </w:tcPr>
          <w:p>
            <w:pPr>
              <w:spacing w:after="0"/>
              <w:rPr>
                <w:sz w:val="16"/>
                <w:szCs w:val="16"/>
                <w:color w:val="auto"/>
              </w:rPr>
            </w:pPr>
          </w:p>
        </w:tc>
        <w:tc>
          <w:tcPr>
            <w:tcW w:w="260" w:type="dxa"/>
            <w:vAlign w:val="bottom"/>
            <w:tcBorders>
              <w:bottom w:val="single" w:sz="8" w:color="00539B"/>
            </w:tcBorders>
          </w:tcPr>
          <w:p>
            <w:pPr>
              <w:spacing w:after="0"/>
              <w:rPr>
                <w:sz w:val="16"/>
                <w:szCs w:val="16"/>
                <w:color w:val="auto"/>
              </w:rPr>
            </w:pPr>
          </w:p>
        </w:tc>
        <w:tc>
          <w:tcPr>
            <w:tcW w:w="1120" w:type="dxa"/>
            <w:vAlign w:val="bottom"/>
            <w:tcBorders>
              <w:bottom w:val="single" w:sz="8" w:color="00539B"/>
            </w:tcBorders>
          </w:tcPr>
          <w:p>
            <w:pPr>
              <w:jc w:val="right"/>
              <w:ind w:right="308"/>
              <w:spacing w:after="0"/>
              <w:rPr>
                <w:sz w:val="20"/>
                <w:szCs w:val="20"/>
                <w:color w:val="auto"/>
              </w:rPr>
            </w:pPr>
            <w:r>
              <w:rPr>
                <w:rFonts w:ascii="Arial" w:cs="Arial" w:eastAsia="Arial" w:hAnsi="Arial"/>
                <w:sz w:val="14"/>
                <w:szCs w:val="14"/>
                <w:color w:val="auto"/>
              </w:rPr>
              <w:t>countries</w:t>
            </w:r>
          </w:p>
        </w:tc>
        <w:tc>
          <w:tcPr>
            <w:tcW w:w="340" w:type="dxa"/>
            <w:vAlign w:val="bottom"/>
            <w:tcBorders>
              <w:bottom w:val="single" w:sz="8" w:color="00539B"/>
            </w:tcBorders>
          </w:tcPr>
          <w:p>
            <w:pPr>
              <w:spacing w:after="0"/>
              <w:rPr>
                <w:sz w:val="16"/>
                <w:szCs w:val="16"/>
                <w:color w:val="auto"/>
              </w:rPr>
            </w:pPr>
          </w:p>
        </w:tc>
        <w:tc>
          <w:tcPr>
            <w:tcW w:w="1080" w:type="dxa"/>
            <w:vAlign w:val="bottom"/>
            <w:tcBorders>
              <w:bottom w:val="single" w:sz="8" w:color="00539B"/>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640" w:type="dxa"/>
            <w:vAlign w:val="bottom"/>
            <w:shd w:val="clear" w:color="auto" w:fill="E0E3F1"/>
          </w:tcPr>
          <w:p>
            <w:pPr>
              <w:ind w:left="20"/>
              <w:spacing w:after="0"/>
              <w:rPr>
                <w:sz w:val="20"/>
                <w:szCs w:val="20"/>
                <w:color w:val="auto"/>
              </w:rPr>
            </w:pPr>
            <w:r>
              <w:rPr>
                <w:rFonts w:ascii="Arial" w:cs="Arial" w:eastAsia="Arial" w:hAnsi="Arial"/>
                <w:sz w:val="14"/>
                <w:szCs w:val="14"/>
                <w:color w:val="auto"/>
              </w:rPr>
              <w:t>2025</w:t>
            </w:r>
          </w:p>
        </w:tc>
        <w:tc>
          <w:tcPr>
            <w:tcW w:w="280" w:type="dxa"/>
            <w:vAlign w:val="bottom"/>
            <w:shd w:val="clear" w:color="auto" w:fill="E0E3F1"/>
          </w:tcPr>
          <w:p>
            <w:pPr>
              <w:spacing w:after="0"/>
              <w:rPr>
                <w:sz w:val="16"/>
                <w:szCs w:val="16"/>
                <w:color w:val="auto"/>
              </w:rPr>
            </w:pPr>
          </w:p>
        </w:tc>
        <w:tc>
          <w:tcPr>
            <w:tcW w:w="1060" w:type="dxa"/>
            <w:vAlign w:val="bottom"/>
            <w:shd w:val="clear" w:color="auto" w:fill="E0E3F1"/>
          </w:tcPr>
          <w:p>
            <w:pPr>
              <w:spacing w:after="0"/>
              <w:rPr>
                <w:sz w:val="16"/>
                <w:szCs w:val="16"/>
                <w:color w:val="auto"/>
              </w:rPr>
            </w:pPr>
          </w:p>
        </w:tc>
        <w:tc>
          <w:tcPr>
            <w:tcW w:w="340" w:type="dxa"/>
            <w:vAlign w:val="bottom"/>
            <w:shd w:val="clear" w:color="auto" w:fill="E0E3F1"/>
          </w:tcPr>
          <w:p>
            <w:pPr>
              <w:spacing w:after="0"/>
              <w:rPr>
                <w:sz w:val="16"/>
                <w:szCs w:val="16"/>
                <w:color w:val="auto"/>
              </w:rPr>
            </w:pPr>
          </w:p>
        </w:tc>
        <w:tc>
          <w:tcPr>
            <w:tcW w:w="1080" w:type="dxa"/>
            <w:vAlign w:val="bottom"/>
            <w:shd w:val="clear" w:color="auto" w:fill="E0E3F1"/>
          </w:tcPr>
          <w:p>
            <w:pPr>
              <w:spacing w:after="0"/>
              <w:rPr>
                <w:sz w:val="16"/>
                <w:szCs w:val="16"/>
                <w:color w:val="auto"/>
              </w:rPr>
            </w:pPr>
          </w:p>
        </w:tc>
        <w:tc>
          <w:tcPr>
            <w:tcW w:w="260" w:type="dxa"/>
            <w:vAlign w:val="bottom"/>
            <w:shd w:val="clear" w:color="auto" w:fill="E0E3F1"/>
          </w:tcPr>
          <w:p>
            <w:pPr>
              <w:spacing w:after="0"/>
              <w:rPr>
                <w:sz w:val="16"/>
                <w:szCs w:val="16"/>
                <w:color w:val="auto"/>
              </w:rPr>
            </w:pPr>
          </w:p>
        </w:tc>
        <w:tc>
          <w:tcPr>
            <w:tcW w:w="1120" w:type="dxa"/>
            <w:vAlign w:val="bottom"/>
            <w:shd w:val="clear" w:color="auto" w:fill="E0E3F1"/>
          </w:tcPr>
          <w:p>
            <w:pPr>
              <w:spacing w:after="0"/>
              <w:rPr>
                <w:sz w:val="16"/>
                <w:szCs w:val="16"/>
                <w:color w:val="auto"/>
              </w:rPr>
            </w:pPr>
          </w:p>
        </w:tc>
        <w:tc>
          <w:tcPr>
            <w:tcW w:w="340" w:type="dxa"/>
            <w:vAlign w:val="bottom"/>
            <w:shd w:val="clear" w:color="auto" w:fill="E0E3F1"/>
          </w:tcPr>
          <w:p>
            <w:pPr>
              <w:spacing w:after="0"/>
              <w:rPr>
                <w:sz w:val="16"/>
                <w:szCs w:val="16"/>
                <w:color w:val="auto"/>
              </w:rPr>
            </w:pPr>
          </w:p>
        </w:tc>
        <w:tc>
          <w:tcPr>
            <w:tcW w:w="1080" w:type="dxa"/>
            <w:vAlign w:val="bottom"/>
            <w:shd w:val="clear" w:color="auto" w:fill="E0E3F1"/>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640" w:type="dxa"/>
            <w:vAlign w:val="bottom"/>
            <w:shd w:val="clear" w:color="auto" w:fill="E0E3F1"/>
          </w:tcPr>
          <w:p>
            <w:pPr>
              <w:ind w:left="20"/>
              <w:spacing w:after="0"/>
              <w:rPr>
                <w:sz w:val="20"/>
                <w:szCs w:val="20"/>
                <w:color w:val="auto"/>
              </w:rPr>
            </w:pPr>
            <w:r>
              <w:rPr>
                <w:rFonts w:ascii="Arial" w:cs="Arial" w:eastAsia="Arial" w:hAnsi="Arial"/>
                <w:sz w:val="14"/>
                <w:szCs w:val="14"/>
                <w:color w:val="auto"/>
              </w:rPr>
              <w:t>Net sales</w:t>
            </w:r>
          </w:p>
        </w:tc>
        <w:tc>
          <w:tcPr>
            <w:tcW w:w="280" w:type="dxa"/>
            <w:vAlign w:val="bottom"/>
            <w:shd w:val="clear" w:color="auto" w:fill="E0E3F1"/>
          </w:tcPr>
          <w:p>
            <w:pPr>
              <w:jc w:val="right"/>
              <w:ind w:right="108"/>
              <w:spacing w:after="0"/>
              <w:rPr>
                <w:sz w:val="20"/>
                <w:szCs w:val="20"/>
                <w:color w:val="auto"/>
              </w:rPr>
            </w:pPr>
            <w:r>
              <w:rPr>
                <w:rFonts w:ascii="Arial" w:cs="Arial" w:eastAsia="Arial" w:hAnsi="Arial"/>
                <w:sz w:val="14"/>
                <w:szCs w:val="14"/>
                <w:color w:val="auto"/>
              </w:rPr>
              <w:t>$</w:t>
            </w:r>
          </w:p>
        </w:tc>
        <w:tc>
          <w:tcPr>
            <w:tcW w:w="10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4,168.3</w:t>
            </w:r>
          </w:p>
        </w:tc>
        <w:tc>
          <w:tcPr>
            <w:tcW w:w="340" w:type="dxa"/>
            <w:vAlign w:val="bottom"/>
            <w:shd w:val="clear" w:color="auto" w:fill="E0E3F1"/>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0E3F1"/>
          </w:tcPr>
          <w:p>
            <w:pPr>
              <w:jc w:val="right"/>
              <w:spacing w:after="0"/>
              <w:rPr>
                <w:sz w:val="20"/>
                <w:szCs w:val="20"/>
                <w:color w:val="auto"/>
              </w:rPr>
            </w:pPr>
            <w:r>
              <w:rPr>
                <w:rFonts w:ascii="Arial" w:cs="Arial" w:eastAsia="Arial" w:hAnsi="Arial"/>
                <w:sz w:val="14"/>
                <w:szCs w:val="14"/>
                <w:color w:val="auto"/>
              </w:rPr>
              <w:t>1,268.5</w:t>
            </w:r>
          </w:p>
        </w:tc>
        <w:tc>
          <w:tcPr>
            <w:tcW w:w="260" w:type="dxa"/>
            <w:vAlign w:val="bottom"/>
            <w:shd w:val="clear" w:color="auto" w:fill="E0E3F1"/>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E0E3F1"/>
          </w:tcPr>
          <w:p>
            <w:pPr>
              <w:jc w:val="right"/>
              <w:spacing w:after="0"/>
              <w:rPr>
                <w:sz w:val="20"/>
                <w:szCs w:val="20"/>
                <w:color w:val="auto"/>
              </w:rPr>
            </w:pPr>
            <w:r>
              <w:rPr>
                <w:rFonts w:ascii="Arial" w:cs="Arial" w:eastAsia="Arial" w:hAnsi="Arial"/>
                <w:sz w:val="14"/>
                <w:szCs w:val="14"/>
                <w:color w:val="auto"/>
              </w:rPr>
              <w:t>1,403.5</w:t>
            </w:r>
          </w:p>
        </w:tc>
        <w:tc>
          <w:tcPr>
            <w:tcW w:w="340" w:type="dxa"/>
            <w:vAlign w:val="bottom"/>
            <w:shd w:val="clear" w:color="auto" w:fill="E0E3F1"/>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0E3F1"/>
          </w:tcPr>
          <w:p>
            <w:pPr>
              <w:jc w:val="right"/>
              <w:spacing w:after="0"/>
              <w:rPr>
                <w:sz w:val="20"/>
                <w:szCs w:val="20"/>
                <w:color w:val="auto"/>
              </w:rPr>
            </w:pPr>
            <w:r>
              <w:rPr>
                <w:rFonts w:ascii="Arial" w:cs="Arial" w:eastAsia="Arial" w:hAnsi="Arial"/>
                <w:sz w:val="14"/>
                <w:szCs w:val="14"/>
                <w:color w:val="auto"/>
              </w:rPr>
              <w:t>6,840.3</w:t>
            </w:r>
          </w:p>
        </w:tc>
        <w:tc>
          <w:tcPr>
            <w:tcW w:w="0" w:type="dxa"/>
            <w:vAlign w:val="bottom"/>
          </w:tcPr>
          <w:p>
            <w:pPr>
              <w:spacing w:after="0"/>
              <w:rPr>
                <w:sz w:val="1"/>
                <w:szCs w:val="1"/>
                <w:color w:val="auto"/>
              </w:rPr>
            </w:pPr>
          </w:p>
        </w:tc>
      </w:tr>
      <w:tr>
        <w:trPr>
          <w:trHeight w:val="207"/>
        </w:trPr>
        <w:tc>
          <w:tcPr>
            <w:tcW w:w="5640" w:type="dxa"/>
            <w:vAlign w:val="bottom"/>
            <w:tcBorders>
              <w:bottom w:val="single" w:sz="8" w:color="00539B"/>
            </w:tcBorders>
            <w:shd w:val="clear" w:color="auto" w:fill="E0E3F1"/>
          </w:tcPr>
          <w:p>
            <w:pPr>
              <w:ind w:left="20"/>
              <w:spacing w:after="0"/>
              <w:rPr>
                <w:sz w:val="20"/>
                <w:szCs w:val="20"/>
                <w:color w:val="auto"/>
              </w:rPr>
            </w:pPr>
            <w:r>
              <w:rPr>
                <w:rFonts w:ascii="Arial" w:cs="Arial" w:eastAsia="Arial" w:hAnsi="Arial"/>
                <w:sz w:val="14"/>
                <w:szCs w:val="14"/>
                <w:color w:val="auto"/>
              </w:rPr>
              <w:t>Long-lived assets</w:t>
            </w:r>
          </w:p>
        </w:tc>
        <w:tc>
          <w:tcPr>
            <w:tcW w:w="280" w:type="dxa"/>
            <w:vAlign w:val="bottom"/>
            <w:tcBorders>
              <w:bottom w:val="single" w:sz="8" w:color="00539B"/>
            </w:tcBorders>
            <w:shd w:val="clear" w:color="auto" w:fill="E0E3F1"/>
          </w:tcPr>
          <w:p>
            <w:pPr>
              <w:spacing w:after="0"/>
              <w:rPr>
                <w:sz w:val="17"/>
                <w:szCs w:val="17"/>
                <w:color w:val="auto"/>
              </w:rPr>
            </w:pPr>
          </w:p>
        </w:tc>
        <w:tc>
          <w:tcPr>
            <w:tcW w:w="106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8,016.0</w:t>
            </w:r>
          </w:p>
        </w:tc>
        <w:tc>
          <w:tcPr>
            <w:tcW w:w="340" w:type="dxa"/>
            <w:vAlign w:val="bottom"/>
            <w:tcBorders>
              <w:bottom w:val="single" w:sz="8" w:color="00539B"/>
            </w:tcBorders>
            <w:shd w:val="clear" w:color="auto" w:fill="E0E3F1"/>
          </w:tcPr>
          <w:p>
            <w:pPr>
              <w:spacing w:after="0"/>
              <w:rPr>
                <w:sz w:val="17"/>
                <w:szCs w:val="17"/>
                <w:color w:val="auto"/>
              </w:rPr>
            </w:pPr>
          </w:p>
        </w:tc>
        <w:tc>
          <w:tcPr>
            <w:tcW w:w="108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1,196.2</w:t>
            </w:r>
          </w:p>
        </w:tc>
        <w:tc>
          <w:tcPr>
            <w:tcW w:w="260" w:type="dxa"/>
            <w:vAlign w:val="bottom"/>
            <w:tcBorders>
              <w:bottom w:val="single" w:sz="8" w:color="00539B"/>
            </w:tcBorders>
            <w:shd w:val="clear" w:color="auto" w:fill="E0E3F1"/>
          </w:tcPr>
          <w:p>
            <w:pPr>
              <w:spacing w:after="0"/>
              <w:rPr>
                <w:sz w:val="17"/>
                <w:szCs w:val="17"/>
                <w:color w:val="auto"/>
              </w:rPr>
            </w:pPr>
          </w:p>
        </w:tc>
        <w:tc>
          <w:tcPr>
            <w:tcW w:w="112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831.0</w:t>
            </w:r>
          </w:p>
        </w:tc>
        <w:tc>
          <w:tcPr>
            <w:tcW w:w="340" w:type="dxa"/>
            <w:vAlign w:val="bottom"/>
            <w:tcBorders>
              <w:bottom w:val="single" w:sz="8" w:color="00539B"/>
            </w:tcBorders>
            <w:shd w:val="clear" w:color="auto" w:fill="E0E3F1"/>
          </w:tcPr>
          <w:p>
            <w:pPr>
              <w:spacing w:after="0"/>
              <w:rPr>
                <w:sz w:val="17"/>
                <w:szCs w:val="17"/>
                <w:color w:val="auto"/>
              </w:rPr>
            </w:pPr>
          </w:p>
        </w:tc>
        <w:tc>
          <w:tcPr>
            <w:tcW w:w="108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10,043.2</w:t>
            </w:r>
          </w:p>
        </w:tc>
        <w:tc>
          <w:tcPr>
            <w:tcW w:w="0" w:type="dxa"/>
            <w:vAlign w:val="bottom"/>
          </w:tcPr>
          <w:p>
            <w:pPr>
              <w:spacing w:after="0"/>
              <w:rPr>
                <w:sz w:val="1"/>
                <w:szCs w:val="1"/>
                <w:color w:val="auto"/>
              </w:rPr>
            </w:pPr>
          </w:p>
        </w:tc>
      </w:tr>
      <w:tr>
        <w:trPr>
          <w:trHeight w:val="192"/>
        </w:trPr>
        <w:tc>
          <w:tcPr>
            <w:tcW w:w="5640" w:type="dxa"/>
            <w:vAlign w:val="bottom"/>
          </w:tcPr>
          <w:p>
            <w:pPr>
              <w:ind w:left="20"/>
              <w:spacing w:after="0"/>
              <w:rPr>
                <w:sz w:val="20"/>
                <w:szCs w:val="20"/>
                <w:color w:val="auto"/>
              </w:rPr>
            </w:pPr>
            <w:r>
              <w:rPr>
                <w:rFonts w:ascii="Arial" w:cs="Arial" w:eastAsia="Arial" w:hAnsi="Arial"/>
                <w:sz w:val="14"/>
                <w:szCs w:val="14"/>
                <w:color w:val="auto"/>
              </w:rPr>
              <w:t>2024</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640" w:type="dxa"/>
            <w:vAlign w:val="bottom"/>
          </w:tcPr>
          <w:p>
            <w:pPr>
              <w:ind w:left="20"/>
              <w:spacing w:after="0"/>
              <w:rPr>
                <w:sz w:val="20"/>
                <w:szCs w:val="20"/>
                <w:color w:val="auto"/>
              </w:rPr>
            </w:pPr>
            <w:r>
              <w:rPr>
                <w:rFonts w:ascii="Arial" w:cs="Arial" w:eastAsia="Arial" w:hAnsi="Arial"/>
                <w:sz w:val="14"/>
                <w:szCs w:val="14"/>
                <w:color w:val="auto"/>
              </w:rPr>
              <w:t>Net sales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4,103.9</w:t>
            </w:r>
          </w:p>
        </w:tc>
        <w:tc>
          <w:tcPr>
            <w:tcW w:w="3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1,239.3</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1,380.5</w:t>
            </w: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6,723.7</w:t>
            </w:r>
          </w:p>
        </w:tc>
        <w:tc>
          <w:tcPr>
            <w:tcW w:w="0" w:type="dxa"/>
            <w:vAlign w:val="bottom"/>
          </w:tcPr>
          <w:p>
            <w:pPr>
              <w:spacing w:after="0"/>
              <w:rPr>
                <w:sz w:val="1"/>
                <w:szCs w:val="1"/>
                <w:color w:val="auto"/>
              </w:rPr>
            </w:pPr>
          </w:p>
        </w:tc>
      </w:tr>
      <w:tr>
        <w:trPr>
          <w:trHeight w:val="207"/>
        </w:trPr>
        <w:tc>
          <w:tcPr>
            <w:tcW w:w="564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Long-lived assets</w:t>
            </w:r>
          </w:p>
        </w:tc>
        <w:tc>
          <w:tcPr>
            <w:tcW w:w="280" w:type="dxa"/>
            <w:vAlign w:val="bottom"/>
            <w:tcBorders>
              <w:bottom w:val="single" w:sz="8" w:color="00539B"/>
            </w:tcBorders>
          </w:tcPr>
          <w:p>
            <w:pPr>
              <w:spacing w:after="0"/>
              <w:rPr>
                <w:sz w:val="17"/>
                <w:szCs w:val="17"/>
                <w:color w:val="auto"/>
              </w:rPr>
            </w:pPr>
          </w:p>
        </w:tc>
        <w:tc>
          <w:tcPr>
            <w:tcW w:w="106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8,017.9</w:t>
            </w:r>
          </w:p>
        </w:tc>
        <w:tc>
          <w:tcPr>
            <w:tcW w:w="340" w:type="dxa"/>
            <w:vAlign w:val="bottom"/>
            <w:tcBorders>
              <w:bottom w:val="single" w:sz="8" w:color="00539B"/>
            </w:tcBorders>
          </w:tcPr>
          <w:p>
            <w:pPr>
              <w:spacing w:after="0"/>
              <w:rPr>
                <w:sz w:val="17"/>
                <w:szCs w:val="17"/>
                <w:color w:val="auto"/>
              </w:rPr>
            </w:pPr>
          </w:p>
        </w:tc>
        <w:tc>
          <w:tcPr>
            <w:tcW w:w="108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1,117.0</w:t>
            </w:r>
          </w:p>
        </w:tc>
        <w:tc>
          <w:tcPr>
            <w:tcW w:w="260" w:type="dxa"/>
            <w:vAlign w:val="bottom"/>
            <w:tcBorders>
              <w:bottom w:val="single" w:sz="8" w:color="00539B"/>
            </w:tcBorders>
          </w:tcPr>
          <w:p>
            <w:pPr>
              <w:spacing w:after="0"/>
              <w:rPr>
                <w:sz w:val="17"/>
                <w:szCs w:val="17"/>
                <w:color w:val="auto"/>
              </w:rPr>
            </w:pPr>
          </w:p>
        </w:tc>
        <w:tc>
          <w:tcPr>
            <w:tcW w:w="112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824.5</w:t>
            </w:r>
          </w:p>
        </w:tc>
        <w:tc>
          <w:tcPr>
            <w:tcW w:w="340" w:type="dxa"/>
            <w:vAlign w:val="bottom"/>
            <w:tcBorders>
              <w:bottom w:val="single" w:sz="8" w:color="00539B"/>
            </w:tcBorders>
          </w:tcPr>
          <w:p>
            <w:pPr>
              <w:spacing w:after="0"/>
              <w:rPr>
                <w:sz w:val="17"/>
                <w:szCs w:val="17"/>
                <w:color w:val="auto"/>
              </w:rPr>
            </w:pPr>
          </w:p>
        </w:tc>
        <w:tc>
          <w:tcPr>
            <w:tcW w:w="108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9,959.4</w:t>
            </w:r>
          </w:p>
        </w:tc>
        <w:tc>
          <w:tcPr>
            <w:tcW w:w="0" w:type="dxa"/>
            <w:vAlign w:val="bottom"/>
          </w:tcPr>
          <w:p>
            <w:pPr>
              <w:spacing w:after="0"/>
              <w:rPr>
                <w:sz w:val="1"/>
                <w:szCs w:val="1"/>
                <w:color w:val="auto"/>
              </w:rPr>
            </w:pPr>
          </w:p>
        </w:tc>
      </w:tr>
      <w:tr>
        <w:trPr>
          <w:trHeight w:val="192"/>
        </w:trPr>
        <w:tc>
          <w:tcPr>
            <w:tcW w:w="5640" w:type="dxa"/>
            <w:vAlign w:val="bottom"/>
          </w:tcPr>
          <w:p>
            <w:pPr>
              <w:ind w:left="20"/>
              <w:spacing w:after="0"/>
              <w:rPr>
                <w:sz w:val="20"/>
                <w:szCs w:val="20"/>
                <w:color w:val="auto"/>
              </w:rPr>
            </w:pPr>
            <w:r>
              <w:rPr>
                <w:rFonts w:ascii="Arial" w:cs="Arial" w:eastAsia="Arial" w:hAnsi="Arial"/>
                <w:sz w:val="14"/>
                <w:szCs w:val="14"/>
                <w:color w:val="auto"/>
              </w:rPr>
              <w:t>2023</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640" w:type="dxa"/>
            <w:vAlign w:val="bottom"/>
          </w:tcPr>
          <w:p>
            <w:pPr>
              <w:ind w:left="20"/>
              <w:spacing w:after="0"/>
              <w:rPr>
                <w:sz w:val="20"/>
                <w:szCs w:val="20"/>
                <w:color w:val="auto"/>
              </w:rPr>
            </w:pPr>
            <w:r>
              <w:rPr>
                <w:rFonts w:ascii="Arial" w:cs="Arial" w:eastAsia="Arial" w:hAnsi="Arial"/>
                <w:sz w:val="14"/>
                <w:szCs w:val="14"/>
                <w:color w:val="auto"/>
              </w:rPr>
              <w:t>Net sales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4,083.8</w:t>
            </w:r>
          </w:p>
        </w:tc>
        <w:tc>
          <w:tcPr>
            <w:tcW w:w="3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1,212.8</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1,365.6</w:t>
            </w: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6,662.2</w:t>
            </w:r>
          </w:p>
        </w:tc>
        <w:tc>
          <w:tcPr>
            <w:tcW w:w="0" w:type="dxa"/>
            <w:vAlign w:val="bottom"/>
          </w:tcPr>
          <w:p>
            <w:pPr>
              <w:spacing w:after="0"/>
              <w:rPr>
                <w:sz w:val="1"/>
                <w:szCs w:val="1"/>
                <w:color w:val="auto"/>
              </w:rPr>
            </w:pPr>
          </w:p>
        </w:tc>
      </w:tr>
      <w:tr>
        <w:trPr>
          <w:trHeight w:val="218"/>
        </w:trPr>
        <w:tc>
          <w:tcPr>
            <w:tcW w:w="564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Long-lived assets</w:t>
            </w:r>
          </w:p>
        </w:tc>
        <w:tc>
          <w:tcPr>
            <w:tcW w:w="280" w:type="dxa"/>
            <w:vAlign w:val="bottom"/>
            <w:tcBorders>
              <w:bottom w:val="single" w:sz="8" w:color="00539B"/>
            </w:tcBorders>
          </w:tcPr>
          <w:p>
            <w:pPr>
              <w:spacing w:after="0"/>
              <w:rPr>
                <w:sz w:val="18"/>
                <w:szCs w:val="18"/>
                <w:color w:val="auto"/>
              </w:rPr>
            </w:pPr>
          </w:p>
        </w:tc>
        <w:tc>
          <w:tcPr>
            <w:tcW w:w="106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7,946.1</w:t>
            </w:r>
          </w:p>
        </w:tc>
        <w:tc>
          <w:tcPr>
            <w:tcW w:w="340" w:type="dxa"/>
            <w:vAlign w:val="bottom"/>
            <w:tcBorders>
              <w:bottom w:val="single" w:sz="8" w:color="00539B"/>
            </w:tcBorders>
          </w:tcPr>
          <w:p>
            <w:pPr>
              <w:spacing w:after="0"/>
              <w:rPr>
                <w:sz w:val="18"/>
                <w:szCs w:val="18"/>
                <w:color w:val="auto"/>
              </w:rPr>
            </w:pPr>
          </w:p>
        </w:tc>
        <w:tc>
          <w:tcPr>
            <w:tcW w:w="108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1,138.6</w:t>
            </w:r>
          </w:p>
        </w:tc>
        <w:tc>
          <w:tcPr>
            <w:tcW w:w="260" w:type="dxa"/>
            <w:vAlign w:val="bottom"/>
            <w:tcBorders>
              <w:bottom w:val="single" w:sz="8" w:color="00539B"/>
            </w:tcBorders>
          </w:tcPr>
          <w:p>
            <w:pPr>
              <w:spacing w:after="0"/>
              <w:rPr>
                <w:sz w:val="18"/>
                <w:szCs w:val="18"/>
                <w:color w:val="auto"/>
              </w:rPr>
            </w:pPr>
          </w:p>
        </w:tc>
        <w:tc>
          <w:tcPr>
            <w:tcW w:w="112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856.8</w:t>
            </w:r>
          </w:p>
        </w:tc>
        <w:tc>
          <w:tcPr>
            <w:tcW w:w="340" w:type="dxa"/>
            <w:vAlign w:val="bottom"/>
            <w:tcBorders>
              <w:bottom w:val="single" w:sz="8" w:color="00539B"/>
            </w:tcBorders>
          </w:tcPr>
          <w:p>
            <w:pPr>
              <w:spacing w:after="0"/>
              <w:rPr>
                <w:sz w:val="18"/>
                <w:szCs w:val="18"/>
                <w:color w:val="auto"/>
              </w:rPr>
            </w:pPr>
          </w:p>
        </w:tc>
        <w:tc>
          <w:tcPr>
            <w:tcW w:w="108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9,941.5</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Long-lived assets include property, plant and equipment, goodwill and intangible assets, net of accumulated depreciation and amortization.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539B"/>
        </w:rPr>
        <w:t>Product Categories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Our net sales by product categories consist of the following: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640" w:type="dxa"/>
            <w:vAlign w:val="bottom"/>
            <w:tcBorders>
              <w:top w:val="single" w:sz="8" w:color="00539B"/>
              <w:bottom w:val="single" w:sz="8" w:color="00539B"/>
            </w:tcBorders>
          </w:tcPr>
          <w:p>
            <w:pPr>
              <w:ind w:left="20"/>
              <w:spacing w:after="0"/>
              <w:rPr>
                <w:sz w:val="20"/>
                <w:szCs w:val="20"/>
                <w:color w:val="auto"/>
              </w:rPr>
            </w:pPr>
            <w:r>
              <w:rPr>
                <w:rFonts w:ascii="Arial" w:cs="Arial" w:eastAsia="Arial" w:hAnsi="Arial"/>
                <w:sz w:val="14"/>
                <w:szCs w:val="14"/>
                <w:color w:val="auto"/>
              </w:rPr>
              <w:t>For the year ended November 30 (millions)</w:t>
            </w:r>
          </w:p>
        </w:tc>
        <w:tc>
          <w:tcPr>
            <w:tcW w:w="360" w:type="dxa"/>
            <w:vAlign w:val="bottom"/>
            <w:tcBorders>
              <w:top w:val="single" w:sz="8" w:color="00539B"/>
              <w:bottom w:val="single" w:sz="8" w:color="00539B"/>
            </w:tcBorders>
            <w:shd w:val="clear" w:color="auto" w:fill="E0E3F1"/>
          </w:tcPr>
          <w:p>
            <w:pPr>
              <w:spacing w:after="0"/>
              <w:rPr>
                <w:sz w:val="19"/>
                <w:szCs w:val="19"/>
                <w:color w:val="auto"/>
              </w:rPr>
            </w:pPr>
          </w:p>
        </w:tc>
        <w:tc>
          <w:tcPr>
            <w:tcW w:w="1160" w:type="dxa"/>
            <w:vAlign w:val="bottom"/>
            <w:tcBorders>
              <w:top w:val="single" w:sz="8" w:color="00539B"/>
              <w:bottom w:val="single" w:sz="8" w:color="00539B"/>
            </w:tcBorders>
            <w:shd w:val="clear" w:color="auto" w:fill="E0E3F1"/>
          </w:tcPr>
          <w:p>
            <w:pPr>
              <w:jc w:val="right"/>
              <w:ind w:right="528"/>
              <w:spacing w:after="0"/>
              <w:rPr>
                <w:sz w:val="20"/>
                <w:szCs w:val="20"/>
                <w:color w:val="auto"/>
              </w:rPr>
            </w:pPr>
            <w:r>
              <w:rPr>
                <w:rFonts w:ascii="Arial" w:cs="Arial" w:eastAsia="Arial" w:hAnsi="Arial"/>
                <w:sz w:val="14"/>
                <w:szCs w:val="14"/>
                <w:color w:val="auto"/>
              </w:rPr>
              <w:t>2025</w:t>
            </w:r>
          </w:p>
        </w:tc>
        <w:tc>
          <w:tcPr>
            <w:tcW w:w="340" w:type="dxa"/>
            <w:vAlign w:val="bottom"/>
            <w:tcBorders>
              <w:top w:val="single" w:sz="8" w:color="00539B"/>
              <w:bottom w:val="single" w:sz="8" w:color="00539B"/>
            </w:tcBorders>
          </w:tcPr>
          <w:p>
            <w:pPr>
              <w:spacing w:after="0"/>
              <w:rPr>
                <w:sz w:val="19"/>
                <w:szCs w:val="19"/>
                <w:color w:val="auto"/>
              </w:rPr>
            </w:pPr>
          </w:p>
        </w:tc>
        <w:tc>
          <w:tcPr>
            <w:tcW w:w="1140" w:type="dxa"/>
            <w:vAlign w:val="bottom"/>
            <w:tcBorders>
              <w:top w:val="single" w:sz="8" w:color="00539B"/>
              <w:bottom w:val="single" w:sz="8" w:color="00539B"/>
            </w:tcBorders>
          </w:tcPr>
          <w:p>
            <w:pPr>
              <w:jc w:val="right"/>
              <w:ind w:right="488"/>
              <w:spacing w:after="0"/>
              <w:rPr>
                <w:sz w:val="20"/>
                <w:szCs w:val="20"/>
                <w:color w:val="auto"/>
              </w:rPr>
            </w:pPr>
            <w:r>
              <w:rPr>
                <w:rFonts w:ascii="Arial" w:cs="Arial" w:eastAsia="Arial" w:hAnsi="Arial"/>
                <w:sz w:val="14"/>
                <w:szCs w:val="14"/>
                <w:color w:val="auto"/>
              </w:rPr>
              <w:t>2024</w:t>
            </w:r>
          </w:p>
        </w:tc>
        <w:tc>
          <w:tcPr>
            <w:tcW w:w="380" w:type="dxa"/>
            <w:vAlign w:val="bottom"/>
            <w:tcBorders>
              <w:top w:val="single" w:sz="8" w:color="00539B"/>
              <w:bottom w:val="single" w:sz="8" w:color="00539B"/>
            </w:tcBorders>
          </w:tcPr>
          <w:p>
            <w:pPr>
              <w:spacing w:after="0"/>
              <w:rPr>
                <w:sz w:val="19"/>
                <w:szCs w:val="19"/>
                <w:color w:val="auto"/>
              </w:rPr>
            </w:pPr>
          </w:p>
        </w:tc>
        <w:tc>
          <w:tcPr>
            <w:tcW w:w="1180" w:type="dxa"/>
            <w:vAlign w:val="bottom"/>
            <w:tcBorders>
              <w:top w:val="single" w:sz="8" w:color="00539B"/>
              <w:bottom w:val="single" w:sz="8" w:color="00539B"/>
            </w:tcBorders>
          </w:tcPr>
          <w:p>
            <w:pPr>
              <w:jc w:val="right"/>
              <w:ind w:right="528"/>
              <w:spacing w:after="0"/>
              <w:rPr>
                <w:sz w:val="20"/>
                <w:szCs w:val="20"/>
                <w:color w:val="auto"/>
              </w:rPr>
            </w:pPr>
            <w:r>
              <w:rPr>
                <w:rFonts w:ascii="Arial" w:cs="Arial" w:eastAsia="Arial" w:hAnsi="Arial"/>
                <w:sz w:val="14"/>
                <w:szCs w:val="14"/>
                <w:color w:val="auto"/>
              </w:rPr>
              <w:t>2023</w:t>
            </w:r>
          </w:p>
        </w:tc>
      </w:tr>
      <w:tr>
        <w:trPr>
          <w:trHeight w:val="192"/>
        </w:trPr>
        <w:tc>
          <w:tcPr>
            <w:tcW w:w="6640" w:type="dxa"/>
            <w:vAlign w:val="bottom"/>
          </w:tcPr>
          <w:p>
            <w:pPr>
              <w:ind w:left="20"/>
              <w:spacing w:after="0"/>
              <w:rPr>
                <w:sz w:val="20"/>
                <w:szCs w:val="20"/>
                <w:color w:val="auto"/>
              </w:rPr>
            </w:pPr>
            <w:r>
              <w:rPr>
                <w:rFonts w:ascii="Arial" w:cs="Arial" w:eastAsia="Arial" w:hAnsi="Arial"/>
                <w:sz w:val="14"/>
                <w:szCs w:val="14"/>
                <w:color w:val="auto"/>
              </w:rPr>
              <w:t>Consumer segment:</w:t>
            </w:r>
          </w:p>
        </w:tc>
        <w:tc>
          <w:tcPr>
            <w:tcW w:w="360" w:type="dxa"/>
            <w:vAlign w:val="bottom"/>
            <w:shd w:val="clear" w:color="auto" w:fill="E0E3F1"/>
          </w:tcPr>
          <w:p>
            <w:pPr>
              <w:spacing w:after="0"/>
              <w:rPr>
                <w:sz w:val="16"/>
                <w:szCs w:val="16"/>
                <w:color w:val="auto"/>
              </w:rPr>
            </w:pPr>
          </w:p>
        </w:tc>
        <w:tc>
          <w:tcPr>
            <w:tcW w:w="1160" w:type="dxa"/>
            <w:vAlign w:val="bottom"/>
            <w:shd w:val="clear" w:color="auto" w:fill="E0E3F1"/>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03"/>
        </w:trPr>
        <w:tc>
          <w:tcPr>
            <w:tcW w:w="6640" w:type="dxa"/>
            <w:vAlign w:val="bottom"/>
          </w:tcPr>
          <w:p>
            <w:pPr>
              <w:ind w:left="140"/>
              <w:spacing w:after="0"/>
              <w:rPr>
                <w:sz w:val="20"/>
                <w:szCs w:val="20"/>
                <w:color w:val="auto"/>
              </w:rPr>
            </w:pPr>
            <w:r>
              <w:rPr>
                <w:rFonts w:ascii="Arial" w:cs="Arial" w:eastAsia="Arial" w:hAnsi="Arial"/>
                <w:sz w:val="14"/>
                <w:szCs w:val="14"/>
                <w:color w:val="auto"/>
              </w:rPr>
              <w:t>Spices &amp; seasoning</w:t>
            </w:r>
          </w:p>
        </w:tc>
        <w:tc>
          <w:tcPr>
            <w:tcW w:w="360" w:type="dxa"/>
            <w:vAlign w:val="bottom"/>
            <w:shd w:val="clear" w:color="auto" w:fill="E0E3F1"/>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1,707.6</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1,651.0</w:t>
            </w:r>
          </w:p>
        </w:tc>
        <w:tc>
          <w:tcPr>
            <w:tcW w:w="3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1,578.3</w:t>
            </w:r>
          </w:p>
        </w:tc>
      </w:tr>
      <w:tr>
        <w:trPr>
          <w:trHeight w:val="203"/>
        </w:trPr>
        <w:tc>
          <w:tcPr>
            <w:tcW w:w="6640" w:type="dxa"/>
            <w:vAlign w:val="bottom"/>
          </w:tcPr>
          <w:p>
            <w:pPr>
              <w:ind w:left="140"/>
              <w:spacing w:after="0"/>
              <w:rPr>
                <w:sz w:val="20"/>
                <w:szCs w:val="20"/>
                <w:color w:val="auto"/>
              </w:rPr>
            </w:pPr>
            <w:r>
              <w:rPr>
                <w:rFonts w:ascii="Arial" w:cs="Arial" w:eastAsia="Arial" w:hAnsi="Arial"/>
                <w:sz w:val="14"/>
                <w:szCs w:val="14"/>
                <w:color w:val="auto"/>
              </w:rPr>
              <w:t>Recipe mixes</w:t>
            </w:r>
          </w:p>
        </w:tc>
        <w:tc>
          <w:tcPr>
            <w:tcW w:w="360" w:type="dxa"/>
            <w:vAlign w:val="bottom"/>
            <w:shd w:val="clear" w:color="auto" w:fill="E0E3F1"/>
          </w:tcPr>
          <w:p>
            <w:pPr>
              <w:spacing w:after="0"/>
              <w:rPr>
                <w:sz w:val="17"/>
                <w:szCs w:val="17"/>
                <w:color w:val="auto"/>
              </w:rPr>
            </w:pPr>
          </w:p>
        </w:tc>
        <w:tc>
          <w:tcPr>
            <w:tcW w:w="11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439.1</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437.7</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430.5</w:t>
            </w:r>
          </w:p>
        </w:tc>
      </w:tr>
      <w:tr>
        <w:trPr>
          <w:trHeight w:val="203"/>
        </w:trPr>
        <w:tc>
          <w:tcPr>
            <w:tcW w:w="6640" w:type="dxa"/>
            <w:vAlign w:val="bottom"/>
          </w:tcPr>
          <w:p>
            <w:pPr>
              <w:ind w:left="140"/>
              <w:spacing w:after="0"/>
              <w:rPr>
                <w:sz w:val="20"/>
                <w:szCs w:val="20"/>
                <w:color w:val="auto"/>
              </w:rPr>
            </w:pPr>
            <w:r>
              <w:rPr>
                <w:rFonts w:ascii="Arial" w:cs="Arial" w:eastAsia="Arial" w:hAnsi="Arial"/>
                <w:sz w:val="14"/>
                <w:szCs w:val="14"/>
                <w:color w:val="auto"/>
              </w:rPr>
              <w:t>Condiments &amp; sauces</w:t>
            </w:r>
          </w:p>
        </w:tc>
        <w:tc>
          <w:tcPr>
            <w:tcW w:w="360" w:type="dxa"/>
            <w:vAlign w:val="bottom"/>
            <w:shd w:val="clear" w:color="auto" w:fill="E0E3F1"/>
          </w:tcPr>
          <w:p>
            <w:pPr>
              <w:spacing w:after="0"/>
              <w:rPr>
                <w:sz w:val="17"/>
                <w:szCs w:val="17"/>
                <w:color w:val="auto"/>
              </w:rPr>
            </w:pPr>
          </w:p>
        </w:tc>
        <w:tc>
          <w:tcPr>
            <w:tcW w:w="11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950.9</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936.6</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921.0</w:t>
            </w:r>
          </w:p>
        </w:tc>
      </w:tr>
      <w:tr>
        <w:trPr>
          <w:trHeight w:val="203"/>
        </w:trPr>
        <w:tc>
          <w:tcPr>
            <w:tcW w:w="6640" w:type="dxa"/>
            <w:vAlign w:val="bottom"/>
          </w:tcPr>
          <w:p>
            <w:pPr>
              <w:ind w:left="140"/>
              <w:spacing w:after="0"/>
              <w:rPr>
                <w:sz w:val="20"/>
                <w:szCs w:val="20"/>
                <w:color w:val="auto"/>
              </w:rPr>
            </w:pPr>
            <w:r>
              <w:rPr>
                <w:rFonts w:ascii="Arial" w:cs="Arial" w:eastAsia="Arial" w:hAnsi="Arial"/>
                <w:sz w:val="14"/>
                <w:szCs w:val="14"/>
                <w:color w:val="auto"/>
              </w:rPr>
              <w:t>Regional leaders</w:t>
            </w:r>
          </w:p>
        </w:tc>
        <w:tc>
          <w:tcPr>
            <w:tcW w:w="360" w:type="dxa"/>
            <w:vAlign w:val="bottom"/>
            <w:shd w:val="clear" w:color="auto" w:fill="E0E3F1"/>
          </w:tcPr>
          <w:p>
            <w:pPr>
              <w:spacing w:after="0"/>
              <w:rPr>
                <w:sz w:val="17"/>
                <w:szCs w:val="17"/>
                <w:color w:val="auto"/>
              </w:rPr>
            </w:pPr>
          </w:p>
        </w:tc>
        <w:tc>
          <w:tcPr>
            <w:tcW w:w="11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852.7</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823.2</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877.5</w:t>
            </w:r>
          </w:p>
        </w:tc>
      </w:tr>
      <w:tr>
        <w:trPr>
          <w:trHeight w:val="203"/>
        </w:trPr>
        <w:tc>
          <w:tcPr>
            <w:tcW w:w="6640" w:type="dxa"/>
            <w:vAlign w:val="bottom"/>
          </w:tcPr>
          <w:p>
            <w:pPr>
              <w:ind w:left="40"/>
              <w:spacing w:after="0"/>
              <w:rPr>
                <w:sz w:val="20"/>
                <w:szCs w:val="20"/>
                <w:color w:val="auto"/>
              </w:rPr>
            </w:pPr>
            <w:r>
              <w:rPr>
                <w:rFonts w:ascii="Arial" w:cs="Arial" w:eastAsia="Arial" w:hAnsi="Arial"/>
                <w:sz w:val="14"/>
                <w:szCs w:val="14"/>
                <w:color w:val="auto"/>
              </w:rPr>
              <w:t>Flavor Solutions segment:</w:t>
            </w:r>
          </w:p>
        </w:tc>
        <w:tc>
          <w:tcPr>
            <w:tcW w:w="360" w:type="dxa"/>
            <w:vAlign w:val="bottom"/>
            <w:shd w:val="clear" w:color="auto" w:fill="E0E3F1"/>
          </w:tcPr>
          <w:p>
            <w:pPr>
              <w:spacing w:after="0"/>
              <w:rPr>
                <w:sz w:val="17"/>
                <w:szCs w:val="17"/>
                <w:color w:val="auto"/>
              </w:rPr>
            </w:pPr>
          </w:p>
        </w:tc>
        <w:tc>
          <w:tcPr>
            <w:tcW w:w="1160" w:type="dxa"/>
            <w:vAlign w:val="bottom"/>
            <w:shd w:val="clear" w:color="auto" w:fill="E0E3F1"/>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6640" w:type="dxa"/>
            <w:vAlign w:val="bottom"/>
          </w:tcPr>
          <w:p>
            <w:pPr>
              <w:ind w:left="140"/>
              <w:spacing w:after="0"/>
              <w:rPr>
                <w:sz w:val="20"/>
                <w:szCs w:val="20"/>
                <w:color w:val="auto"/>
              </w:rPr>
            </w:pPr>
            <w:r>
              <w:rPr>
                <w:rFonts w:ascii="Arial" w:cs="Arial" w:eastAsia="Arial" w:hAnsi="Arial"/>
                <w:sz w:val="14"/>
                <w:szCs w:val="14"/>
                <w:color w:val="auto"/>
              </w:rPr>
              <w:t>Flavors</w:t>
            </w:r>
          </w:p>
        </w:tc>
        <w:tc>
          <w:tcPr>
            <w:tcW w:w="360" w:type="dxa"/>
            <w:vAlign w:val="bottom"/>
            <w:shd w:val="clear" w:color="auto" w:fill="E0E3F1"/>
          </w:tcPr>
          <w:p>
            <w:pPr>
              <w:spacing w:after="0"/>
              <w:rPr>
                <w:sz w:val="17"/>
                <w:szCs w:val="17"/>
                <w:color w:val="auto"/>
              </w:rPr>
            </w:pPr>
          </w:p>
        </w:tc>
        <w:tc>
          <w:tcPr>
            <w:tcW w:w="11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1,619.9</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1,618.6</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1,585.7</w:t>
            </w:r>
          </w:p>
        </w:tc>
      </w:tr>
      <w:tr>
        <w:trPr>
          <w:trHeight w:val="203"/>
        </w:trPr>
        <w:tc>
          <w:tcPr>
            <w:tcW w:w="6640" w:type="dxa"/>
            <w:vAlign w:val="bottom"/>
          </w:tcPr>
          <w:p>
            <w:pPr>
              <w:ind w:left="140"/>
              <w:spacing w:after="0"/>
              <w:rPr>
                <w:sz w:val="20"/>
                <w:szCs w:val="20"/>
                <w:color w:val="auto"/>
              </w:rPr>
            </w:pPr>
            <w:r>
              <w:rPr>
                <w:rFonts w:ascii="Arial" w:cs="Arial" w:eastAsia="Arial" w:hAnsi="Arial"/>
                <w:sz w:val="14"/>
                <w:szCs w:val="14"/>
                <w:color w:val="auto"/>
              </w:rPr>
              <w:t>Branded foodservice</w:t>
            </w:r>
          </w:p>
        </w:tc>
        <w:tc>
          <w:tcPr>
            <w:tcW w:w="360" w:type="dxa"/>
            <w:vAlign w:val="bottom"/>
            <w:shd w:val="clear" w:color="auto" w:fill="E0E3F1"/>
          </w:tcPr>
          <w:p>
            <w:pPr>
              <w:spacing w:after="0"/>
              <w:rPr>
                <w:sz w:val="17"/>
                <w:szCs w:val="17"/>
                <w:color w:val="auto"/>
              </w:rPr>
            </w:pPr>
          </w:p>
        </w:tc>
        <w:tc>
          <w:tcPr>
            <w:tcW w:w="11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614.1</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615.1</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598.4</w:t>
            </w:r>
          </w:p>
        </w:tc>
      </w:tr>
      <w:tr>
        <w:trPr>
          <w:trHeight w:val="203"/>
        </w:trPr>
        <w:tc>
          <w:tcPr>
            <w:tcW w:w="6640" w:type="dxa"/>
            <w:vAlign w:val="bottom"/>
          </w:tcPr>
          <w:p>
            <w:pPr>
              <w:ind w:left="140"/>
              <w:spacing w:after="0"/>
              <w:rPr>
                <w:sz w:val="20"/>
                <w:szCs w:val="20"/>
                <w:color w:val="auto"/>
              </w:rPr>
            </w:pPr>
            <w:r>
              <w:rPr>
                <w:rFonts w:ascii="Arial" w:cs="Arial" w:eastAsia="Arial" w:hAnsi="Arial"/>
                <w:sz w:val="14"/>
                <w:szCs w:val="14"/>
                <w:color w:val="auto"/>
              </w:rPr>
              <w:t>Custom condiments</w:t>
            </w:r>
          </w:p>
        </w:tc>
        <w:tc>
          <w:tcPr>
            <w:tcW w:w="360" w:type="dxa"/>
            <w:vAlign w:val="bottom"/>
            <w:shd w:val="clear" w:color="auto" w:fill="E0E3F1"/>
          </w:tcPr>
          <w:p>
            <w:pPr>
              <w:spacing w:after="0"/>
              <w:rPr>
                <w:sz w:val="17"/>
                <w:szCs w:val="17"/>
                <w:color w:val="auto"/>
              </w:rPr>
            </w:pPr>
          </w:p>
        </w:tc>
        <w:tc>
          <w:tcPr>
            <w:tcW w:w="11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329.3</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336.8</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317.1</w:t>
            </w:r>
          </w:p>
        </w:tc>
      </w:tr>
      <w:tr>
        <w:trPr>
          <w:trHeight w:val="207"/>
        </w:trPr>
        <w:tc>
          <w:tcPr>
            <w:tcW w:w="6640" w:type="dxa"/>
            <w:vAlign w:val="bottom"/>
            <w:tcBorders>
              <w:bottom w:val="single" w:sz="8" w:color="00539B"/>
            </w:tcBorders>
          </w:tcPr>
          <w:p>
            <w:pPr>
              <w:ind w:left="140"/>
              <w:spacing w:after="0"/>
              <w:rPr>
                <w:sz w:val="20"/>
                <w:szCs w:val="20"/>
                <w:color w:val="auto"/>
              </w:rPr>
            </w:pPr>
            <w:r>
              <w:rPr>
                <w:rFonts w:ascii="Arial" w:cs="Arial" w:eastAsia="Arial" w:hAnsi="Arial"/>
                <w:sz w:val="14"/>
                <w:szCs w:val="14"/>
                <w:color w:val="auto"/>
              </w:rPr>
              <w:t>Coatings, bulk spices &amp; herbs</w:t>
            </w:r>
          </w:p>
        </w:tc>
        <w:tc>
          <w:tcPr>
            <w:tcW w:w="360" w:type="dxa"/>
            <w:vAlign w:val="bottom"/>
            <w:tcBorders>
              <w:bottom w:val="single" w:sz="8" w:color="00539B"/>
            </w:tcBorders>
            <w:shd w:val="clear" w:color="auto" w:fill="E0E3F1"/>
          </w:tcPr>
          <w:p>
            <w:pPr>
              <w:spacing w:after="0"/>
              <w:rPr>
                <w:sz w:val="17"/>
                <w:szCs w:val="17"/>
                <w:color w:val="auto"/>
              </w:rPr>
            </w:pPr>
          </w:p>
        </w:tc>
        <w:tc>
          <w:tcPr>
            <w:tcW w:w="116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326.7</w:t>
            </w:r>
          </w:p>
        </w:tc>
        <w:tc>
          <w:tcPr>
            <w:tcW w:w="340" w:type="dxa"/>
            <w:vAlign w:val="bottom"/>
            <w:tcBorders>
              <w:bottom w:val="single" w:sz="8" w:color="00539B"/>
            </w:tcBorders>
          </w:tcPr>
          <w:p>
            <w:pPr>
              <w:spacing w:after="0"/>
              <w:rPr>
                <w:sz w:val="17"/>
                <w:szCs w:val="17"/>
                <w:color w:val="auto"/>
              </w:rPr>
            </w:pPr>
          </w:p>
        </w:tc>
        <w:tc>
          <w:tcPr>
            <w:tcW w:w="114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304.7</w:t>
            </w:r>
          </w:p>
        </w:tc>
        <w:tc>
          <w:tcPr>
            <w:tcW w:w="380" w:type="dxa"/>
            <w:vAlign w:val="bottom"/>
            <w:tcBorders>
              <w:bottom w:val="single" w:sz="8" w:color="00539B"/>
            </w:tcBorders>
          </w:tcPr>
          <w:p>
            <w:pPr>
              <w:spacing w:after="0"/>
              <w:rPr>
                <w:sz w:val="17"/>
                <w:szCs w:val="17"/>
                <w:color w:val="auto"/>
              </w:rPr>
            </w:pPr>
          </w:p>
        </w:tc>
        <w:tc>
          <w:tcPr>
            <w:tcW w:w="118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353.7</w:t>
            </w:r>
          </w:p>
        </w:tc>
      </w:tr>
      <w:tr>
        <w:trPr>
          <w:trHeight w:val="196"/>
        </w:trPr>
        <w:tc>
          <w:tcPr>
            <w:tcW w:w="664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Total net sales</w:t>
            </w:r>
          </w:p>
        </w:tc>
        <w:tc>
          <w:tcPr>
            <w:tcW w:w="360" w:type="dxa"/>
            <w:vAlign w:val="bottom"/>
            <w:tcBorders>
              <w:bottom w:val="single" w:sz="8" w:color="00539B"/>
            </w:tcBorders>
            <w:shd w:val="clear" w:color="auto" w:fill="E0E3F1"/>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6,840.3</w:t>
            </w:r>
          </w:p>
        </w:tc>
        <w:tc>
          <w:tcPr>
            <w:tcW w:w="340" w:type="dxa"/>
            <w:vAlign w:val="bottom"/>
            <w:tcBorders>
              <w:bottom w:val="single" w:sz="8" w:color="00539B"/>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6,723.7</w:t>
            </w:r>
          </w:p>
        </w:tc>
        <w:tc>
          <w:tcPr>
            <w:tcW w:w="380" w:type="dxa"/>
            <w:vAlign w:val="bottom"/>
            <w:tcBorders>
              <w:bottom w:val="single" w:sz="8" w:color="00539B"/>
            </w:tcBorders>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6,662.2</w:t>
            </w: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00539B"/>
        </w:rPr>
        <w:t>16. SUPPLEMENTAL FINANCIAL STATEMENT DATA</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Supplemental consolidated information with respect to our income statement, balance sheet, and cash flow follow:</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640" w:type="dxa"/>
            <w:vAlign w:val="bottom"/>
            <w:tcBorders>
              <w:top w:val="single" w:sz="8" w:color="00539B"/>
            </w:tcBorders>
          </w:tcPr>
          <w:p>
            <w:pPr>
              <w:ind w:left="20"/>
              <w:spacing w:after="0"/>
              <w:rPr>
                <w:sz w:val="20"/>
                <w:szCs w:val="20"/>
                <w:color w:val="auto"/>
              </w:rPr>
            </w:pPr>
            <w:r>
              <w:rPr>
                <w:rFonts w:ascii="Arial" w:cs="Arial" w:eastAsia="Arial" w:hAnsi="Arial"/>
                <w:sz w:val="14"/>
                <w:szCs w:val="14"/>
                <w:color w:val="auto"/>
              </w:rPr>
              <w:t>For the year ended November 30 (millions)</w:t>
            </w:r>
          </w:p>
        </w:tc>
        <w:tc>
          <w:tcPr>
            <w:tcW w:w="140" w:type="dxa"/>
            <w:vAlign w:val="bottom"/>
            <w:tcBorders>
              <w:top w:val="single" w:sz="8" w:color="00539B"/>
            </w:tcBorders>
            <w:shd w:val="clear" w:color="auto" w:fill="E0E3F1"/>
          </w:tcPr>
          <w:p>
            <w:pPr>
              <w:spacing w:after="0"/>
              <w:rPr>
                <w:sz w:val="19"/>
                <w:szCs w:val="19"/>
                <w:color w:val="auto"/>
              </w:rPr>
            </w:pPr>
          </w:p>
        </w:tc>
        <w:tc>
          <w:tcPr>
            <w:tcW w:w="120" w:type="dxa"/>
            <w:vAlign w:val="bottom"/>
            <w:tcBorders>
              <w:top w:val="single" w:sz="8" w:color="00539B"/>
            </w:tcBorders>
            <w:shd w:val="clear" w:color="auto" w:fill="E0E3F1"/>
          </w:tcPr>
          <w:p>
            <w:pPr>
              <w:spacing w:after="0"/>
              <w:rPr>
                <w:sz w:val="19"/>
                <w:szCs w:val="19"/>
                <w:color w:val="auto"/>
              </w:rPr>
            </w:pPr>
          </w:p>
        </w:tc>
        <w:tc>
          <w:tcPr>
            <w:tcW w:w="1260" w:type="dxa"/>
            <w:vAlign w:val="bottom"/>
            <w:tcBorders>
              <w:top w:val="single" w:sz="8" w:color="00539B"/>
            </w:tcBorders>
            <w:shd w:val="clear" w:color="auto" w:fill="E0E3F1"/>
          </w:tcPr>
          <w:p>
            <w:pPr>
              <w:jc w:val="right"/>
              <w:ind w:right="528"/>
              <w:spacing w:after="0"/>
              <w:rPr>
                <w:sz w:val="20"/>
                <w:szCs w:val="20"/>
                <w:color w:val="auto"/>
              </w:rPr>
            </w:pPr>
            <w:r>
              <w:rPr>
                <w:rFonts w:ascii="Arial" w:cs="Arial" w:eastAsia="Arial" w:hAnsi="Arial"/>
                <w:sz w:val="14"/>
                <w:szCs w:val="14"/>
                <w:color w:val="auto"/>
              </w:rPr>
              <w:t>2025</w:t>
            </w:r>
          </w:p>
        </w:tc>
        <w:tc>
          <w:tcPr>
            <w:tcW w:w="120" w:type="dxa"/>
            <w:vAlign w:val="bottom"/>
            <w:tcBorders>
              <w:top w:val="single" w:sz="8" w:color="00539B"/>
            </w:tcBorders>
          </w:tcPr>
          <w:p>
            <w:pPr>
              <w:spacing w:after="0"/>
              <w:rPr>
                <w:sz w:val="19"/>
                <w:szCs w:val="19"/>
                <w:color w:val="auto"/>
              </w:rPr>
            </w:pPr>
          </w:p>
        </w:tc>
        <w:tc>
          <w:tcPr>
            <w:tcW w:w="280" w:type="dxa"/>
            <w:vAlign w:val="bottom"/>
            <w:tcBorders>
              <w:top w:val="single" w:sz="8" w:color="00539B"/>
            </w:tcBorders>
          </w:tcPr>
          <w:p>
            <w:pPr>
              <w:spacing w:after="0"/>
              <w:rPr>
                <w:sz w:val="19"/>
                <w:szCs w:val="19"/>
                <w:color w:val="auto"/>
              </w:rPr>
            </w:pPr>
          </w:p>
        </w:tc>
        <w:tc>
          <w:tcPr>
            <w:tcW w:w="1100" w:type="dxa"/>
            <w:vAlign w:val="bottom"/>
            <w:tcBorders>
              <w:top w:val="single" w:sz="8" w:color="00539B"/>
            </w:tcBorders>
          </w:tcPr>
          <w:p>
            <w:pPr>
              <w:jc w:val="right"/>
              <w:ind w:right="508"/>
              <w:spacing w:after="0"/>
              <w:rPr>
                <w:sz w:val="20"/>
                <w:szCs w:val="20"/>
                <w:color w:val="auto"/>
              </w:rPr>
            </w:pPr>
            <w:r>
              <w:rPr>
                <w:rFonts w:ascii="Arial" w:cs="Arial" w:eastAsia="Arial" w:hAnsi="Arial"/>
                <w:sz w:val="14"/>
                <w:szCs w:val="14"/>
                <w:color w:val="auto"/>
              </w:rPr>
              <w:t>2024</w:t>
            </w:r>
          </w:p>
        </w:tc>
        <w:tc>
          <w:tcPr>
            <w:tcW w:w="140" w:type="dxa"/>
            <w:vAlign w:val="bottom"/>
            <w:tcBorders>
              <w:top w:val="single" w:sz="8" w:color="00539B"/>
            </w:tcBorders>
          </w:tcPr>
          <w:p>
            <w:pPr>
              <w:spacing w:after="0"/>
              <w:rPr>
                <w:sz w:val="19"/>
                <w:szCs w:val="19"/>
                <w:color w:val="auto"/>
              </w:rPr>
            </w:pPr>
          </w:p>
        </w:tc>
        <w:tc>
          <w:tcPr>
            <w:tcW w:w="1400" w:type="dxa"/>
            <w:vAlign w:val="bottom"/>
            <w:tcBorders>
              <w:top w:val="single" w:sz="8" w:color="00539B"/>
            </w:tcBorders>
          </w:tcPr>
          <w:p>
            <w:pPr>
              <w:jc w:val="right"/>
              <w:ind w:right="528"/>
              <w:spacing w:after="0"/>
              <w:rPr>
                <w:sz w:val="20"/>
                <w:szCs w:val="20"/>
                <w:color w:val="auto"/>
              </w:rPr>
            </w:pPr>
            <w:r>
              <w:rPr>
                <w:rFonts w:ascii="Arial" w:cs="Arial" w:eastAsia="Arial" w:hAnsi="Arial"/>
                <w:sz w:val="14"/>
                <w:szCs w:val="14"/>
                <w:color w:val="auto"/>
              </w:rPr>
              <w:t>2023</w:t>
            </w:r>
          </w:p>
        </w:tc>
      </w:tr>
      <w:tr>
        <w:trPr>
          <w:trHeight w:val="203"/>
        </w:trPr>
        <w:tc>
          <w:tcPr>
            <w:tcW w:w="6640" w:type="dxa"/>
            <w:vAlign w:val="bottom"/>
          </w:tcPr>
          <w:p>
            <w:pPr>
              <w:ind w:left="20"/>
              <w:spacing w:after="0"/>
              <w:rPr>
                <w:sz w:val="20"/>
                <w:szCs w:val="20"/>
                <w:color w:val="auto"/>
              </w:rPr>
            </w:pPr>
            <w:r>
              <w:rPr>
                <w:rFonts w:ascii="Arial" w:cs="Arial" w:eastAsia="Arial" w:hAnsi="Arial"/>
                <w:sz w:val="14"/>
                <w:szCs w:val="14"/>
                <w:color w:val="auto"/>
              </w:rPr>
              <w:t>Other income, net</w:t>
            </w:r>
          </w:p>
        </w:tc>
        <w:tc>
          <w:tcPr>
            <w:tcW w:w="140" w:type="dxa"/>
            <w:vAlign w:val="bottom"/>
            <w:shd w:val="clear" w:color="auto" w:fill="E0E3F1"/>
          </w:tcPr>
          <w:p>
            <w:pPr>
              <w:spacing w:after="0"/>
              <w:rPr>
                <w:sz w:val="17"/>
                <w:szCs w:val="17"/>
                <w:color w:val="auto"/>
              </w:rPr>
            </w:pPr>
          </w:p>
        </w:tc>
        <w:tc>
          <w:tcPr>
            <w:tcW w:w="120" w:type="dxa"/>
            <w:vAlign w:val="bottom"/>
            <w:shd w:val="clear" w:color="auto" w:fill="E0E3F1"/>
          </w:tcPr>
          <w:p>
            <w:pPr>
              <w:spacing w:after="0"/>
              <w:rPr>
                <w:sz w:val="17"/>
                <w:szCs w:val="17"/>
                <w:color w:val="auto"/>
              </w:rPr>
            </w:pPr>
          </w:p>
        </w:tc>
        <w:tc>
          <w:tcPr>
            <w:tcW w:w="1260" w:type="dxa"/>
            <w:vAlign w:val="bottom"/>
            <w:shd w:val="clear" w:color="auto" w:fill="E0E3F1"/>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6640" w:type="dxa"/>
            <w:vAlign w:val="bottom"/>
          </w:tcPr>
          <w:p>
            <w:pPr>
              <w:ind w:left="140"/>
              <w:spacing w:after="0"/>
              <w:rPr>
                <w:sz w:val="20"/>
                <w:szCs w:val="20"/>
                <w:color w:val="auto"/>
              </w:rPr>
            </w:pPr>
            <w:r>
              <w:rPr>
                <w:rFonts w:ascii="Arial" w:cs="Arial" w:eastAsia="Arial" w:hAnsi="Arial"/>
                <w:sz w:val="14"/>
                <w:szCs w:val="14"/>
                <w:color w:val="auto"/>
              </w:rPr>
              <w:t>Interest income</w:t>
            </w:r>
          </w:p>
        </w:tc>
        <w:tc>
          <w:tcPr>
            <w:tcW w:w="140" w:type="dxa"/>
            <w:vAlign w:val="bottom"/>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E0E3F1"/>
          </w:tcPr>
          <w:p>
            <w:pPr>
              <w:spacing w:after="0"/>
              <w:rPr>
                <w:sz w:val="17"/>
                <w:szCs w:val="17"/>
                <w:color w:val="auto"/>
              </w:rPr>
            </w:pPr>
          </w:p>
        </w:tc>
        <w:tc>
          <w:tcPr>
            <w:tcW w:w="12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40.1</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45.9</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36.6</w:t>
            </w:r>
          </w:p>
        </w:tc>
      </w:tr>
      <w:tr>
        <w:trPr>
          <w:trHeight w:val="203"/>
        </w:trPr>
        <w:tc>
          <w:tcPr>
            <w:tcW w:w="6640" w:type="dxa"/>
            <w:vAlign w:val="bottom"/>
          </w:tcPr>
          <w:p>
            <w:pPr>
              <w:ind w:left="140"/>
              <w:spacing w:after="0"/>
              <w:rPr>
                <w:sz w:val="20"/>
                <w:szCs w:val="20"/>
                <w:color w:val="auto"/>
              </w:rPr>
            </w:pPr>
            <w:r>
              <w:rPr>
                <w:rFonts w:ascii="Arial" w:cs="Arial" w:eastAsia="Arial" w:hAnsi="Arial"/>
                <w:sz w:val="14"/>
                <w:szCs w:val="14"/>
                <w:color w:val="auto"/>
              </w:rPr>
              <w:t>Pension and other postretirement benefit income</w:t>
            </w:r>
          </w:p>
        </w:tc>
        <w:tc>
          <w:tcPr>
            <w:tcW w:w="140" w:type="dxa"/>
            <w:vAlign w:val="bottom"/>
            <w:shd w:val="clear" w:color="auto" w:fill="E0E3F1"/>
          </w:tcPr>
          <w:p>
            <w:pPr>
              <w:spacing w:after="0"/>
              <w:rPr>
                <w:sz w:val="17"/>
                <w:szCs w:val="17"/>
                <w:color w:val="auto"/>
              </w:rPr>
            </w:pPr>
          </w:p>
        </w:tc>
        <w:tc>
          <w:tcPr>
            <w:tcW w:w="120" w:type="dxa"/>
            <w:vAlign w:val="bottom"/>
            <w:shd w:val="clear" w:color="auto" w:fill="E0E3F1"/>
          </w:tcPr>
          <w:p>
            <w:pPr>
              <w:spacing w:after="0"/>
              <w:rPr>
                <w:sz w:val="17"/>
                <w:szCs w:val="17"/>
                <w:color w:val="auto"/>
              </w:rPr>
            </w:pPr>
          </w:p>
        </w:tc>
        <w:tc>
          <w:tcPr>
            <w:tcW w:w="12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8.4</w:t>
            </w:r>
          </w:p>
        </w:tc>
        <w:tc>
          <w:tcPr>
            <w:tcW w:w="1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10.7</w:t>
            </w:r>
          </w:p>
        </w:tc>
      </w:tr>
      <w:tr>
        <w:trPr>
          <w:trHeight w:val="207"/>
        </w:trPr>
        <w:tc>
          <w:tcPr>
            <w:tcW w:w="6640" w:type="dxa"/>
            <w:vAlign w:val="bottom"/>
            <w:tcBorders>
              <w:bottom w:val="single" w:sz="8" w:color="00539B"/>
            </w:tcBorders>
          </w:tcPr>
          <w:p>
            <w:pPr>
              <w:ind w:left="140"/>
              <w:spacing w:after="0"/>
              <w:rPr>
                <w:sz w:val="20"/>
                <w:szCs w:val="20"/>
                <w:color w:val="auto"/>
              </w:rPr>
            </w:pPr>
            <w:r>
              <w:rPr>
                <w:rFonts w:ascii="Arial" w:cs="Arial" w:eastAsia="Arial" w:hAnsi="Arial"/>
                <w:sz w:val="14"/>
                <w:szCs w:val="14"/>
                <w:color w:val="auto"/>
              </w:rPr>
              <w:t>Other</w:t>
            </w:r>
          </w:p>
        </w:tc>
        <w:tc>
          <w:tcPr>
            <w:tcW w:w="140" w:type="dxa"/>
            <w:vAlign w:val="bottom"/>
            <w:tcBorders>
              <w:bottom w:val="single" w:sz="8" w:color="00539B"/>
            </w:tcBorders>
            <w:shd w:val="clear" w:color="auto" w:fill="E0E3F1"/>
          </w:tcPr>
          <w:p>
            <w:pPr>
              <w:spacing w:after="0"/>
              <w:rPr>
                <w:sz w:val="17"/>
                <w:szCs w:val="17"/>
                <w:color w:val="auto"/>
              </w:rPr>
            </w:pPr>
          </w:p>
        </w:tc>
        <w:tc>
          <w:tcPr>
            <w:tcW w:w="120" w:type="dxa"/>
            <w:vAlign w:val="bottom"/>
            <w:tcBorders>
              <w:bottom w:val="single" w:sz="8" w:color="00539B"/>
            </w:tcBorders>
            <w:shd w:val="clear" w:color="auto" w:fill="E0E3F1"/>
          </w:tcPr>
          <w:p>
            <w:pPr>
              <w:spacing w:after="0"/>
              <w:rPr>
                <w:sz w:val="17"/>
                <w:szCs w:val="17"/>
                <w:color w:val="auto"/>
              </w:rPr>
            </w:pPr>
          </w:p>
        </w:tc>
        <w:tc>
          <w:tcPr>
            <w:tcW w:w="126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(6.5)</w:t>
            </w:r>
          </w:p>
        </w:tc>
        <w:tc>
          <w:tcPr>
            <w:tcW w:w="120" w:type="dxa"/>
            <w:vAlign w:val="bottom"/>
            <w:tcBorders>
              <w:bottom w:val="single" w:sz="8" w:color="00539B"/>
            </w:tcBorders>
          </w:tcPr>
          <w:p>
            <w:pPr>
              <w:spacing w:after="0"/>
              <w:rPr>
                <w:sz w:val="17"/>
                <w:szCs w:val="17"/>
                <w:color w:val="auto"/>
              </w:rPr>
            </w:pPr>
          </w:p>
        </w:tc>
        <w:tc>
          <w:tcPr>
            <w:tcW w:w="280" w:type="dxa"/>
            <w:vAlign w:val="bottom"/>
            <w:tcBorders>
              <w:bottom w:val="single" w:sz="8" w:color="00539B"/>
            </w:tcBorders>
          </w:tcPr>
          <w:p>
            <w:pPr>
              <w:spacing w:after="0"/>
              <w:rPr>
                <w:sz w:val="17"/>
                <w:szCs w:val="17"/>
                <w:color w:val="auto"/>
              </w:rPr>
            </w:pPr>
          </w:p>
        </w:tc>
        <w:tc>
          <w:tcPr>
            <w:tcW w:w="110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(6.9)</w:t>
            </w:r>
          </w:p>
        </w:tc>
        <w:tc>
          <w:tcPr>
            <w:tcW w:w="140" w:type="dxa"/>
            <w:vAlign w:val="bottom"/>
            <w:tcBorders>
              <w:bottom w:val="single" w:sz="8" w:color="00539B"/>
            </w:tcBorders>
          </w:tcPr>
          <w:p>
            <w:pPr>
              <w:spacing w:after="0"/>
              <w:rPr>
                <w:sz w:val="17"/>
                <w:szCs w:val="17"/>
                <w:color w:val="auto"/>
              </w:rPr>
            </w:pPr>
          </w:p>
        </w:tc>
        <w:tc>
          <w:tcPr>
            <w:tcW w:w="140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(3.4)</w:t>
            </w:r>
          </w:p>
        </w:tc>
      </w:tr>
      <w:tr>
        <w:trPr>
          <w:trHeight w:val="196"/>
        </w:trPr>
        <w:tc>
          <w:tcPr>
            <w:tcW w:w="6640" w:type="dxa"/>
            <w:vAlign w:val="bottom"/>
            <w:tcBorders>
              <w:bottom w:val="single" w:sz="8" w:color="00539B"/>
            </w:tcBorders>
          </w:tcPr>
          <w:p>
            <w:pPr>
              <w:spacing w:after="0"/>
              <w:rPr>
                <w:sz w:val="17"/>
                <w:szCs w:val="17"/>
                <w:color w:val="auto"/>
              </w:rPr>
            </w:pPr>
          </w:p>
        </w:tc>
        <w:tc>
          <w:tcPr>
            <w:tcW w:w="14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00539B"/>
            </w:tcBorders>
            <w:shd w:val="clear" w:color="auto" w:fill="E0E3F1"/>
          </w:tcPr>
          <w:p>
            <w:pPr>
              <w:spacing w:after="0"/>
              <w:rPr>
                <w:sz w:val="17"/>
                <w:szCs w:val="17"/>
                <w:color w:val="auto"/>
              </w:rPr>
            </w:pPr>
          </w:p>
        </w:tc>
        <w:tc>
          <w:tcPr>
            <w:tcW w:w="126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38.4</w:t>
            </w:r>
          </w:p>
        </w:tc>
        <w:tc>
          <w:tcPr>
            <w:tcW w:w="12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00539B"/>
            </w:tcBorders>
          </w:tcPr>
          <w:p>
            <w:pPr>
              <w:spacing w:after="0"/>
              <w:rPr>
                <w:sz w:val="17"/>
                <w:szCs w:val="17"/>
                <w:color w:val="auto"/>
              </w:rPr>
            </w:pPr>
          </w:p>
        </w:tc>
        <w:tc>
          <w:tcPr>
            <w:tcW w:w="110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47.4</w:t>
            </w:r>
          </w:p>
        </w:tc>
        <w:tc>
          <w:tcPr>
            <w:tcW w:w="14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43.9</w:t>
            </w:r>
          </w:p>
        </w:tc>
      </w:tr>
      <w:tr>
        <w:trPr>
          <w:trHeight w:val="274"/>
        </w:trPr>
        <w:tc>
          <w:tcPr>
            <w:tcW w:w="6640" w:type="dxa"/>
            <w:vAlign w:val="bottom"/>
            <w:tcBorders>
              <w:bottom w:val="single" w:sz="8" w:color="00539B"/>
            </w:tcBorders>
          </w:tcPr>
          <w:p>
            <w:pPr>
              <w:spacing w:after="0"/>
              <w:rPr>
                <w:sz w:val="23"/>
                <w:szCs w:val="23"/>
                <w:color w:val="auto"/>
              </w:rPr>
            </w:pPr>
          </w:p>
        </w:tc>
        <w:tc>
          <w:tcPr>
            <w:tcW w:w="140" w:type="dxa"/>
            <w:vAlign w:val="bottom"/>
            <w:tcBorders>
              <w:bottom w:val="single" w:sz="8" w:color="00539B"/>
            </w:tcBorders>
          </w:tcPr>
          <w:p>
            <w:pPr>
              <w:spacing w:after="0"/>
              <w:rPr>
                <w:sz w:val="23"/>
                <w:szCs w:val="23"/>
                <w:color w:val="auto"/>
              </w:rPr>
            </w:pPr>
          </w:p>
        </w:tc>
        <w:tc>
          <w:tcPr>
            <w:tcW w:w="120" w:type="dxa"/>
            <w:vAlign w:val="bottom"/>
            <w:tcBorders>
              <w:bottom w:val="single" w:sz="8" w:color="00539B"/>
            </w:tcBorders>
          </w:tcPr>
          <w:p>
            <w:pPr>
              <w:spacing w:after="0"/>
              <w:rPr>
                <w:sz w:val="23"/>
                <w:szCs w:val="23"/>
                <w:color w:val="auto"/>
              </w:rPr>
            </w:pPr>
          </w:p>
        </w:tc>
        <w:tc>
          <w:tcPr>
            <w:tcW w:w="1260" w:type="dxa"/>
            <w:vAlign w:val="bottom"/>
            <w:tcBorders>
              <w:bottom w:val="single" w:sz="8" w:color="00539B"/>
            </w:tcBorders>
          </w:tcPr>
          <w:p>
            <w:pPr>
              <w:spacing w:after="0"/>
              <w:rPr>
                <w:sz w:val="23"/>
                <w:szCs w:val="23"/>
                <w:color w:val="auto"/>
              </w:rPr>
            </w:pPr>
          </w:p>
        </w:tc>
        <w:tc>
          <w:tcPr>
            <w:tcW w:w="120" w:type="dxa"/>
            <w:vAlign w:val="bottom"/>
            <w:tcBorders>
              <w:bottom w:val="single" w:sz="8" w:color="00539B"/>
            </w:tcBorders>
          </w:tcPr>
          <w:p>
            <w:pPr>
              <w:spacing w:after="0"/>
              <w:rPr>
                <w:sz w:val="23"/>
                <w:szCs w:val="23"/>
                <w:color w:val="auto"/>
              </w:rPr>
            </w:pPr>
          </w:p>
        </w:tc>
        <w:tc>
          <w:tcPr>
            <w:tcW w:w="280" w:type="dxa"/>
            <w:vAlign w:val="bottom"/>
            <w:tcBorders>
              <w:bottom w:val="single" w:sz="8" w:color="00539B"/>
            </w:tcBorders>
          </w:tcPr>
          <w:p>
            <w:pPr>
              <w:spacing w:after="0"/>
              <w:rPr>
                <w:sz w:val="23"/>
                <w:szCs w:val="23"/>
                <w:color w:val="auto"/>
              </w:rPr>
            </w:pPr>
          </w:p>
        </w:tc>
        <w:tc>
          <w:tcPr>
            <w:tcW w:w="1100" w:type="dxa"/>
            <w:vAlign w:val="bottom"/>
            <w:tcBorders>
              <w:bottom w:val="single" w:sz="8" w:color="00539B"/>
            </w:tcBorders>
          </w:tcPr>
          <w:p>
            <w:pPr>
              <w:spacing w:after="0"/>
              <w:rPr>
                <w:sz w:val="23"/>
                <w:szCs w:val="23"/>
                <w:color w:val="auto"/>
              </w:rPr>
            </w:pPr>
          </w:p>
        </w:tc>
        <w:tc>
          <w:tcPr>
            <w:tcW w:w="140" w:type="dxa"/>
            <w:vAlign w:val="bottom"/>
            <w:tcBorders>
              <w:bottom w:val="single" w:sz="8" w:color="00539B"/>
            </w:tcBorders>
          </w:tcPr>
          <w:p>
            <w:pPr>
              <w:spacing w:after="0"/>
              <w:rPr>
                <w:sz w:val="23"/>
                <w:szCs w:val="23"/>
                <w:color w:val="auto"/>
              </w:rPr>
            </w:pPr>
          </w:p>
        </w:tc>
        <w:tc>
          <w:tcPr>
            <w:tcW w:w="1400" w:type="dxa"/>
            <w:vAlign w:val="bottom"/>
          </w:tcPr>
          <w:p>
            <w:pPr>
              <w:spacing w:after="0"/>
              <w:rPr>
                <w:sz w:val="23"/>
                <w:szCs w:val="23"/>
                <w:color w:val="auto"/>
              </w:rPr>
            </w:pPr>
          </w:p>
        </w:tc>
      </w:tr>
      <w:tr>
        <w:trPr>
          <w:trHeight w:val="198"/>
        </w:trPr>
        <w:tc>
          <w:tcPr>
            <w:tcW w:w="664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At November 30 (millions)</w:t>
            </w:r>
          </w:p>
        </w:tc>
        <w:tc>
          <w:tcPr>
            <w:tcW w:w="140" w:type="dxa"/>
            <w:vAlign w:val="bottom"/>
            <w:tcBorders>
              <w:bottom w:val="single" w:sz="8" w:color="00539B"/>
            </w:tcBorders>
          </w:tcPr>
          <w:p>
            <w:pPr>
              <w:spacing w:after="0"/>
              <w:rPr>
                <w:sz w:val="17"/>
                <w:szCs w:val="17"/>
                <w:color w:val="auto"/>
              </w:rPr>
            </w:pPr>
          </w:p>
        </w:tc>
        <w:tc>
          <w:tcPr>
            <w:tcW w:w="120" w:type="dxa"/>
            <w:vAlign w:val="bottom"/>
            <w:tcBorders>
              <w:bottom w:val="single" w:sz="8" w:color="00539B"/>
            </w:tcBorders>
            <w:shd w:val="clear" w:color="auto" w:fill="E0E3F1"/>
          </w:tcPr>
          <w:p>
            <w:pPr>
              <w:spacing w:after="0"/>
              <w:rPr>
                <w:sz w:val="17"/>
                <w:szCs w:val="17"/>
                <w:color w:val="auto"/>
              </w:rPr>
            </w:pPr>
          </w:p>
        </w:tc>
        <w:tc>
          <w:tcPr>
            <w:tcW w:w="1260" w:type="dxa"/>
            <w:vAlign w:val="bottom"/>
            <w:tcBorders>
              <w:bottom w:val="single" w:sz="8" w:color="00539B"/>
            </w:tcBorders>
            <w:shd w:val="clear" w:color="auto" w:fill="E0E3F1"/>
          </w:tcPr>
          <w:p>
            <w:pPr>
              <w:jc w:val="right"/>
              <w:ind w:right="388"/>
              <w:spacing w:after="0"/>
              <w:rPr>
                <w:sz w:val="20"/>
                <w:szCs w:val="20"/>
                <w:color w:val="auto"/>
              </w:rPr>
            </w:pPr>
            <w:r>
              <w:rPr>
                <w:rFonts w:ascii="Arial" w:cs="Arial" w:eastAsia="Arial" w:hAnsi="Arial"/>
                <w:sz w:val="14"/>
                <w:szCs w:val="14"/>
                <w:color w:val="auto"/>
              </w:rPr>
              <w:t>2025</w:t>
            </w:r>
          </w:p>
        </w:tc>
        <w:tc>
          <w:tcPr>
            <w:tcW w:w="120" w:type="dxa"/>
            <w:vAlign w:val="bottom"/>
            <w:tcBorders>
              <w:bottom w:val="single" w:sz="8" w:color="00539B"/>
            </w:tcBorders>
            <w:shd w:val="clear" w:color="auto" w:fill="E0E3F1"/>
          </w:tcPr>
          <w:p>
            <w:pPr>
              <w:spacing w:after="0"/>
              <w:rPr>
                <w:sz w:val="17"/>
                <w:szCs w:val="17"/>
                <w:color w:val="auto"/>
              </w:rPr>
            </w:pPr>
          </w:p>
        </w:tc>
        <w:tc>
          <w:tcPr>
            <w:tcW w:w="280" w:type="dxa"/>
            <w:vAlign w:val="bottom"/>
            <w:tcBorders>
              <w:bottom w:val="single" w:sz="8" w:color="00539B"/>
            </w:tcBorders>
          </w:tcPr>
          <w:p>
            <w:pPr>
              <w:spacing w:after="0"/>
              <w:rPr>
                <w:sz w:val="17"/>
                <w:szCs w:val="17"/>
                <w:color w:val="auto"/>
              </w:rPr>
            </w:pPr>
          </w:p>
        </w:tc>
        <w:tc>
          <w:tcPr>
            <w:tcW w:w="1100" w:type="dxa"/>
            <w:vAlign w:val="bottom"/>
            <w:tcBorders>
              <w:bottom w:val="single" w:sz="8" w:color="00539B"/>
            </w:tcBorders>
          </w:tcPr>
          <w:p>
            <w:pPr>
              <w:jc w:val="right"/>
              <w:ind w:right="388"/>
              <w:spacing w:after="0"/>
              <w:rPr>
                <w:sz w:val="20"/>
                <w:szCs w:val="20"/>
                <w:color w:val="auto"/>
              </w:rPr>
            </w:pPr>
            <w:r>
              <w:rPr>
                <w:rFonts w:ascii="Arial" w:cs="Arial" w:eastAsia="Arial" w:hAnsi="Arial"/>
                <w:sz w:val="14"/>
                <w:szCs w:val="14"/>
                <w:color w:val="auto"/>
              </w:rPr>
              <w:t>2024</w:t>
            </w:r>
          </w:p>
        </w:tc>
        <w:tc>
          <w:tcPr>
            <w:tcW w:w="140" w:type="dxa"/>
            <w:vAlign w:val="bottom"/>
            <w:tcBorders>
              <w:bottom w:val="single" w:sz="8" w:color="00539B"/>
            </w:tcBorders>
          </w:tcPr>
          <w:p>
            <w:pPr>
              <w:spacing w:after="0"/>
              <w:rPr>
                <w:sz w:val="17"/>
                <w:szCs w:val="17"/>
                <w:color w:val="auto"/>
              </w:rPr>
            </w:pPr>
          </w:p>
        </w:tc>
        <w:tc>
          <w:tcPr>
            <w:tcW w:w="1400" w:type="dxa"/>
            <w:vAlign w:val="bottom"/>
          </w:tcPr>
          <w:p>
            <w:pPr>
              <w:spacing w:after="0"/>
              <w:rPr>
                <w:sz w:val="17"/>
                <w:szCs w:val="17"/>
                <w:color w:val="auto"/>
              </w:rPr>
            </w:pPr>
          </w:p>
        </w:tc>
      </w:tr>
      <w:tr>
        <w:trPr>
          <w:trHeight w:val="196"/>
        </w:trPr>
        <w:tc>
          <w:tcPr>
            <w:tcW w:w="664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Trade accounts receivable allowance for doubtful accounts</w:t>
            </w:r>
          </w:p>
        </w:tc>
        <w:tc>
          <w:tcPr>
            <w:tcW w:w="140" w:type="dxa"/>
            <w:vAlign w:val="bottom"/>
            <w:tcBorders>
              <w:bottom w:val="single" w:sz="8" w:color="00539B"/>
            </w:tcBorders>
          </w:tcPr>
          <w:p>
            <w:pPr>
              <w:spacing w:after="0"/>
              <w:rPr>
                <w:sz w:val="17"/>
                <w:szCs w:val="17"/>
                <w:color w:val="auto"/>
              </w:rPr>
            </w:pPr>
          </w:p>
        </w:tc>
        <w:tc>
          <w:tcPr>
            <w:tcW w:w="12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00539B"/>
            </w:tcBorders>
            <w:gridSpan w:val="2"/>
            <w:shd w:val="clear" w:color="auto" w:fill="E0E3F1"/>
          </w:tcPr>
          <w:p>
            <w:pPr>
              <w:jc w:val="right"/>
              <w:spacing w:after="0"/>
              <w:rPr>
                <w:sz w:val="20"/>
                <w:szCs w:val="20"/>
                <w:color w:val="auto"/>
              </w:rPr>
            </w:pPr>
            <w:r>
              <w:rPr>
                <w:rFonts w:ascii="Arial" w:cs="Arial" w:eastAsia="Arial" w:hAnsi="Arial"/>
                <w:sz w:val="14"/>
                <w:szCs w:val="14"/>
                <w:color w:val="auto"/>
              </w:rPr>
              <w:t>4.1</w:t>
            </w:r>
          </w:p>
        </w:tc>
        <w:tc>
          <w:tcPr>
            <w:tcW w:w="280" w:type="dxa"/>
            <w:vAlign w:val="bottom"/>
            <w:tcBorders>
              <w:bottom w:val="single" w:sz="8" w:color="00539B"/>
            </w:tcBorders>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00539B"/>
            </w:tcBorders>
            <w:gridSpan w:val="2"/>
          </w:tcPr>
          <w:p>
            <w:pPr>
              <w:jc w:val="right"/>
              <w:ind w:right="8"/>
              <w:spacing w:after="0"/>
              <w:rPr>
                <w:sz w:val="20"/>
                <w:szCs w:val="20"/>
                <w:color w:val="auto"/>
              </w:rPr>
            </w:pPr>
            <w:r>
              <w:rPr>
                <w:rFonts w:ascii="Arial" w:cs="Arial" w:eastAsia="Arial" w:hAnsi="Arial"/>
                <w:sz w:val="14"/>
                <w:szCs w:val="14"/>
                <w:color w:val="auto"/>
              </w:rPr>
              <w:t>4.7</w:t>
            </w:r>
          </w:p>
        </w:tc>
        <w:tc>
          <w:tcPr>
            <w:tcW w:w="1400" w:type="dxa"/>
            <w:vAlign w:val="bottom"/>
          </w:tcPr>
          <w:p>
            <w:pPr>
              <w:spacing w:after="0"/>
              <w:rPr>
                <w:sz w:val="17"/>
                <w:szCs w:val="17"/>
                <w:color w:val="auto"/>
              </w:rPr>
            </w:pPr>
          </w:p>
        </w:tc>
      </w:tr>
      <w:tr>
        <w:trPr>
          <w:trHeight w:val="192"/>
        </w:trPr>
        <w:tc>
          <w:tcPr>
            <w:tcW w:w="6640" w:type="dxa"/>
            <w:vAlign w:val="bottom"/>
          </w:tcPr>
          <w:p>
            <w:pPr>
              <w:ind w:left="20"/>
              <w:spacing w:after="0"/>
              <w:rPr>
                <w:sz w:val="20"/>
                <w:szCs w:val="20"/>
                <w:color w:val="auto"/>
              </w:rPr>
            </w:pPr>
            <w:r>
              <w:rPr>
                <w:rFonts w:ascii="Arial" w:cs="Arial" w:eastAsia="Arial" w:hAnsi="Arial"/>
                <w:sz w:val="14"/>
                <w:szCs w:val="14"/>
                <w:color w:val="auto"/>
              </w:rPr>
              <w:t>Inventories</w:t>
            </w:r>
          </w:p>
        </w:tc>
        <w:tc>
          <w:tcPr>
            <w:tcW w:w="140" w:type="dxa"/>
            <w:vAlign w:val="bottom"/>
          </w:tcPr>
          <w:p>
            <w:pPr>
              <w:spacing w:after="0"/>
              <w:rPr>
                <w:sz w:val="16"/>
                <w:szCs w:val="16"/>
                <w:color w:val="auto"/>
              </w:rPr>
            </w:pPr>
          </w:p>
        </w:tc>
        <w:tc>
          <w:tcPr>
            <w:tcW w:w="120" w:type="dxa"/>
            <w:vAlign w:val="bottom"/>
            <w:shd w:val="clear" w:color="auto" w:fill="E0E3F1"/>
          </w:tcPr>
          <w:p>
            <w:pPr>
              <w:spacing w:after="0"/>
              <w:rPr>
                <w:sz w:val="16"/>
                <w:szCs w:val="16"/>
                <w:color w:val="auto"/>
              </w:rPr>
            </w:pPr>
          </w:p>
        </w:tc>
        <w:tc>
          <w:tcPr>
            <w:tcW w:w="1260" w:type="dxa"/>
            <w:vAlign w:val="bottom"/>
            <w:shd w:val="clear" w:color="auto" w:fill="E0E3F1"/>
          </w:tcPr>
          <w:p>
            <w:pPr>
              <w:spacing w:after="0"/>
              <w:rPr>
                <w:sz w:val="16"/>
                <w:szCs w:val="16"/>
                <w:color w:val="auto"/>
              </w:rPr>
            </w:pPr>
          </w:p>
        </w:tc>
        <w:tc>
          <w:tcPr>
            <w:tcW w:w="120" w:type="dxa"/>
            <w:vAlign w:val="bottom"/>
            <w:shd w:val="clear" w:color="auto" w:fill="E0E3F1"/>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03"/>
        </w:trPr>
        <w:tc>
          <w:tcPr>
            <w:tcW w:w="6640" w:type="dxa"/>
            <w:vAlign w:val="bottom"/>
          </w:tcPr>
          <w:p>
            <w:pPr>
              <w:ind w:left="140"/>
              <w:spacing w:after="0"/>
              <w:rPr>
                <w:sz w:val="20"/>
                <w:szCs w:val="20"/>
                <w:color w:val="auto"/>
              </w:rPr>
            </w:pPr>
            <w:r>
              <w:rPr>
                <w:rFonts w:ascii="Arial" w:cs="Arial" w:eastAsia="Arial" w:hAnsi="Arial"/>
                <w:sz w:val="14"/>
                <w:szCs w:val="14"/>
                <w:color w:val="auto"/>
              </w:rPr>
              <w:t>Finished products</w:t>
            </w:r>
          </w:p>
        </w:tc>
        <w:tc>
          <w:tcPr>
            <w:tcW w:w="140" w:type="dxa"/>
            <w:vAlign w:val="bottom"/>
          </w:tcPr>
          <w:p>
            <w:pPr>
              <w:spacing w:after="0"/>
              <w:rPr>
                <w:sz w:val="17"/>
                <w:szCs w:val="17"/>
                <w:color w:val="auto"/>
              </w:rPr>
            </w:pPr>
          </w:p>
        </w:tc>
        <w:tc>
          <w:tcPr>
            <w:tcW w:w="120" w:type="dxa"/>
            <w:vAlign w:val="bottom"/>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E0E3F1"/>
          </w:tcPr>
          <w:p>
            <w:pPr>
              <w:jc w:val="right"/>
              <w:spacing w:after="0"/>
              <w:rPr>
                <w:sz w:val="20"/>
                <w:szCs w:val="20"/>
                <w:color w:val="auto"/>
              </w:rPr>
            </w:pPr>
            <w:r>
              <w:rPr>
                <w:rFonts w:ascii="Arial" w:cs="Arial" w:eastAsia="Arial" w:hAnsi="Arial"/>
                <w:sz w:val="14"/>
                <w:szCs w:val="14"/>
                <w:color w:val="auto"/>
              </w:rPr>
              <w:t>629.1</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8"/>
              <w:spacing w:after="0"/>
              <w:rPr>
                <w:sz w:val="20"/>
                <w:szCs w:val="20"/>
                <w:color w:val="auto"/>
              </w:rPr>
            </w:pPr>
            <w:r>
              <w:rPr>
                <w:rFonts w:ascii="Arial" w:cs="Arial" w:eastAsia="Arial" w:hAnsi="Arial"/>
                <w:sz w:val="14"/>
                <w:szCs w:val="14"/>
                <w:color w:val="auto"/>
              </w:rPr>
              <w:t>618.3</w:t>
            </w:r>
          </w:p>
        </w:tc>
        <w:tc>
          <w:tcPr>
            <w:tcW w:w="1400" w:type="dxa"/>
            <w:vAlign w:val="bottom"/>
          </w:tcPr>
          <w:p>
            <w:pPr>
              <w:spacing w:after="0"/>
              <w:rPr>
                <w:sz w:val="17"/>
                <w:szCs w:val="17"/>
                <w:color w:val="auto"/>
              </w:rPr>
            </w:pPr>
          </w:p>
        </w:tc>
      </w:tr>
      <w:tr>
        <w:trPr>
          <w:trHeight w:val="207"/>
        </w:trPr>
        <w:tc>
          <w:tcPr>
            <w:tcW w:w="6640" w:type="dxa"/>
            <w:vAlign w:val="bottom"/>
            <w:tcBorders>
              <w:bottom w:val="single" w:sz="8" w:color="00539B"/>
            </w:tcBorders>
          </w:tcPr>
          <w:p>
            <w:pPr>
              <w:ind w:left="140"/>
              <w:spacing w:after="0"/>
              <w:rPr>
                <w:sz w:val="20"/>
                <w:szCs w:val="20"/>
                <w:color w:val="auto"/>
              </w:rPr>
            </w:pPr>
            <w:r>
              <w:rPr>
                <w:rFonts w:ascii="Arial" w:cs="Arial" w:eastAsia="Arial" w:hAnsi="Arial"/>
                <w:sz w:val="14"/>
                <w:szCs w:val="14"/>
                <w:color w:val="auto"/>
              </w:rPr>
              <w:t>Raw materials and work-in-process</w:t>
            </w:r>
          </w:p>
        </w:tc>
        <w:tc>
          <w:tcPr>
            <w:tcW w:w="140" w:type="dxa"/>
            <w:vAlign w:val="bottom"/>
            <w:tcBorders>
              <w:bottom w:val="single" w:sz="8" w:color="00539B"/>
            </w:tcBorders>
          </w:tcPr>
          <w:p>
            <w:pPr>
              <w:spacing w:after="0"/>
              <w:rPr>
                <w:sz w:val="17"/>
                <w:szCs w:val="17"/>
                <w:color w:val="auto"/>
              </w:rPr>
            </w:pPr>
          </w:p>
        </w:tc>
        <w:tc>
          <w:tcPr>
            <w:tcW w:w="120" w:type="dxa"/>
            <w:vAlign w:val="bottom"/>
            <w:tcBorders>
              <w:bottom w:val="single" w:sz="8" w:color="00539B"/>
            </w:tcBorders>
            <w:shd w:val="clear" w:color="auto" w:fill="E0E3F1"/>
          </w:tcPr>
          <w:p>
            <w:pPr>
              <w:spacing w:after="0"/>
              <w:rPr>
                <w:sz w:val="17"/>
                <w:szCs w:val="17"/>
                <w:color w:val="auto"/>
              </w:rPr>
            </w:pPr>
          </w:p>
        </w:tc>
        <w:tc>
          <w:tcPr>
            <w:tcW w:w="1380" w:type="dxa"/>
            <w:vAlign w:val="bottom"/>
            <w:tcBorders>
              <w:bottom w:val="single" w:sz="8" w:color="00539B"/>
            </w:tcBorders>
            <w:gridSpan w:val="2"/>
            <w:shd w:val="clear" w:color="auto" w:fill="E0E3F1"/>
          </w:tcPr>
          <w:p>
            <w:pPr>
              <w:jc w:val="right"/>
              <w:spacing w:after="0"/>
              <w:rPr>
                <w:sz w:val="20"/>
                <w:szCs w:val="20"/>
                <w:color w:val="auto"/>
              </w:rPr>
            </w:pPr>
            <w:r>
              <w:rPr>
                <w:rFonts w:ascii="Arial" w:cs="Arial" w:eastAsia="Arial" w:hAnsi="Arial"/>
                <w:sz w:val="14"/>
                <w:szCs w:val="14"/>
                <w:color w:val="auto"/>
              </w:rPr>
              <w:t>642.9</w:t>
            </w:r>
          </w:p>
        </w:tc>
        <w:tc>
          <w:tcPr>
            <w:tcW w:w="280" w:type="dxa"/>
            <w:vAlign w:val="bottom"/>
            <w:tcBorders>
              <w:bottom w:val="single" w:sz="8" w:color="00539B"/>
            </w:tcBorders>
          </w:tcPr>
          <w:p>
            <w:pPr>
              <w:spacing w:after="0"/>
              <w:rPr>
                <w:sz w:val="17"/>
                <w:szCs w:val="17"/>
                <w:color w:val="auto"/>
              </w:rPr>
            </w:pPr>
          </w:p>
        </w:tc>
        <w:tc>
          <w:tcPr>
            <w:tcW w:w="1240" w:type="dxa"/>
            <w:vAlign w:val="bottom"/>
            <w:tcBorders>
              <w:bottom w:val="single" w:sz="8" w:color="00539B"/>
            </w:tcBorders>
            <w:gridSpan w:val="2"/>
          </w:tcPr>
          <w:p>
            <w:pPr>
              <w:jc w:val="right"/>
              <w:ind w:right="8"/>
              <w:spacing w:after="0"/>
              <w:rPr>
                <w:sz w:val="20"/>
                <w:szCs w:val="20"/>
                <w:color w:val="auto"/>
              </w:rPr>
            </w:pPr>
            <w:r>
              <w:rPr>
                <w:rFonts w:ascii="Arial" w:cs="Arial" w:eastAsia="Arial" w:hAnsi="Arial"/>
                <w:sz w:val="14"/>
                <w:szCs w:val="14"/>
                <w:color w:val="auto"/>
              </w:rPr>
              <w:t>621.6</w:t>
            </w:r>
          </w:p>
        </w:tc>
        <w:tc>
          <w:tcPr>
            <w:tcW w:w="1400" w:type="dxa"/>
            <w:vAlign w:val="bottom"/>
          </w:tcPr>
          <w:p>
            <w:pPr>
              <w:spacing w:after="0"/>
              <w:rPr>
                <w:sz w:val="17"/>
                <w:szCs w:val="17"/>
                <w:color w:val="auto"/>
              </w:rPr>
            </w:pPr>
          </w:p>
        </w:tc>
      </w:tr>
      <w:tr>
        <w:trPr>
          <w:trHeight w:val="196"/>
        </w:trPr>
        <w:tc>
          <w:tcPr>
            <w:tcW w:w="6640" w:type="dxa"/>
            <w:vAlign w:val="bottom"/>
            <w:tcBorders>
              <w:bottom w:val="single" w:sz="8" w:color="00539B"/>
            </w:tcBorders>
          </w:tcPr>
          <w:p>
            <w:pPr>
              <w:spacing w:after="0"/>
              <w:rPr>
                <w:sz w:val="17"/>
                <w:szCs w:val="17"/>
                <w:color w:val="auto"/>
              </w:rPr>
            </w:pPr>
          </w:p>
        </w:tc>
        <w:tc>
          <w:tcPr>
            <w:tcW w:w="140" w:type="dxa"/>
            <w:vAlign w:val="bottom"/>
            <w:tcBorders>
              <w:bottom w:val="single" w:sz="8" w:color="00539B"/>
            </w:tcBorders>
          </w:tcPr>
          <w:p>
            <w:pPr>
              <w:spacing w:after="0"/>
              <w:rPr>
                <w:sz w:val="17"/>
                <w:szCs w:val="17"/>
                <w:color w:val="auto"/>
              </w:rPr>
            </w:pPr>
          </w:p>
        </w:tc>
        <w:tc>
          <w:tcPr>
            <w:tcW w:w="12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00539B"/>
            </w:tcBorders>
            <w:gridSpan w:val="2"/>
            <w:shd w:val="clear" w:color="auto" w:fill="E0E3F1"/>
          </w:tcPr>
          <w:p>
            <w:pPr>
              <w:jc w:val="right"/>
              <w:spacing w:after="0"/>
              <w:rPr>
                <w:sz w:val="20"/>
                <w:szCs w:val="20"/>
                <w:color w:val="auto"/>
              </w:rPr>
            </w:pPr>
            <w:r>
              <w:rPr>
                <w:rFonts w:ascii="Arial" w:cs="Arial" w:eastAsia="Arial" w:hAnsi="Arial"/>
                <w:sz w:val="14"/>
                <w:szCs w:val="14"/>
                <w:color w:val="auto"/>
              </w:rPr>
              <w:t>1,272.0</w:t>
            </w:r>
          </w:p>
        </w:tc>
        <w:tc>
          <w:tcPr>
            <w:tcW w:w="280" w:type="dxa"/>
            <w:vAlign w:val="bottom"/>
            <w:tcBorders>
              <w:bottom w:val="single" w:sz="8" w:color="00539B"/>
            </w:tcBorders>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00539B"/>
            </w:tcBorders>
            <w:gridSpan w:val="2"/>
          </w:tcPr>
          <w:p>
            <w:pPr>
              <w:jc w:val="right"/>
              <w:ind w:right="8"/>
              <w:spacing w:after="0"/>
              <w:rPr>
                <w:sz w:val="20"/>
                <w:szCs w:val="20"/>
                <w:color w:val="auto"/>
              </w:rPr>
            </w:pPr>
            <w:r>
              <w:rPr>
                <w:rFonts w:ascii="Arial" w:cs="Arial" w:eastAsia="Arial" w:hAnsi="Arial"/>
                <w:sz w:val="14"/>
                <w:szCs w:val="14"/>
                <w:color w:val="auto"/>
              </w:rPr>
              <w:t>1,239.9</w:t>
            </w:r>
          </w:p>
        </w:tc>
        <w:tc>
          <w:tcPr>
            <w:tcW w:w="1400" w:type="dxa"/>
            <w:vAlign w:val="bottom"/>
          </w:tcPr>
          <w:p>
            <w:pPr>
              <w:spacing w:after="0"/>
              <w:rPr>
                <w:sz w:val="17"/>
                <w:szCs w:val="17"/>
                <w:color w:val="auto"/>
              </w:rPr>
            </w:pPr>
          </w:p>
        </w:tc>
      </w:tr>
      <w:tr>
        <w:trPr>
          <w:trHeight w:val="192"/>
        </w:trPr>
        <w:tc>
          <w:tcPr>
            <w:tcW w:w="6640" w:type="dxa"/>
            <w:vAlign w:val="bottom"/>
          </w:tcPr>
          <w:p>
            <w:pPr>
              <w:ind w:left="20"/>
              <w:spacing w:after="0"/>
              <w:rPr>
                <w:sz w:val="20"/>
                <w:szCs w:val="20"/>
                <w:color w:val="auto"/>
              </w:rPr>
            </w:pPr>
            <w:r>
              <w:rPr>
                <w:rFonts w:ascii="Arial" w:cs="Arial" w:eastAsia="Arial" w:hAnsi="Arial"/>
                <w:sz w:val="14"/>
                <w:szCs w:val="14"/>
                <w:color w:val="auto"/>
              </w:rPr>
              <w:t>Prepaid expenses</w:t>
            </w:r>
          </w:p>
        </w:tc>
        <w:tc>
          <w:tcPr>
            <w:tcW w:w="140" w:type="dxa"/>
            <w:vAlign w:val="bottom"/>
          </w:tcPr>
          <w:p>
            <w:pPr>
              <w:spacing w:after="0"/>
              <w:rPr>
                <w:sz w:val="16"/>
                <w:szCs w:val="16"/>
                <w:color w:val="auto"/>
              </w:rPr>
            </w:pPr>
          </w:p>
        </w:tc>
        <w:tc>
          <w:tcPr>
            <w:tcW w:w="120" w:type="dxa"/>
            <w:vAlign w:val="bottom"/>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E0E3F1"/>
          </w:tcPr>
          <w:p>
            <w:pPr>
              <w:jc w:val="right"/>
              <w:spacing w:after="0"/>
              <w:rPr>
                <w:sz w:val="20"/>
                <w:szCs w:val="20"/>
                <w:color w:val="auto"/>
              </w:rPr>
            </w:pPr>
            <w:r>
              <w:rPr>
                <w:rFonts w:ascii="Arial" w:cs="Arial" w:eastAsia="Arial" w:hAnsi="Arial"/>
                <w:sz w:val="14"/>
                <w:szCs w:val="14"/>
                <w:color w:val="auto"/>
              </w:rPr>
              <w:t>53.2</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8"/>
              <w:spacing w:after="0"/>
              <w:rPr>
                <w:sz w:val="20"/>
                <w:szCs w:val="20"/>
                <w:color w:val="auto"/>
              </w:rPr>
            </w:pPr>
            <w:r>
              <w:rPr>
                <w:rFonts w:ascii="Arial" w:cs="Arial" w:eastAsia="Arial" w:hAnsi="Arial"/>
                <w:sz w:val="14"/>
                <w:szCs w:val="14"/>
                <w:color w:val="auto"/>
              </w:rPr>
              <w:t>51.5</w:t>
            </w:r>
          </w:p>
        </w:tc>
        <w:tc>
          <w:tcPr>
            <w:tcW w:w="1400" w:type="dxa"/>
            <w:vAlign w:val="bottom"/>
          </w:tcPr>
          <w:p>
            <w:pPr>
              <w:spacing w:after="0"/>
              <w:rPr>
                <w:sz w:val="16"/>
                <w:szCs w:val="16"/>
                <w:color w:val="auto"/>
              </w:rPr>
            </w:pPr>
          </w:p>
        </w:tc>
      </w:tr>
      <w:tr>
        <w:trPr>
          <w:trHeight w:val="207"/>
        </w:trPr>
        <w:tc>
          <w:tcPr>
            <w:tcW w:w="664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Other current assets</w:t>
            </w:r>
          </w:p>
        </w:tc>
        <w:tc>
          <w:tcPr>
            <w:tcW w:w="140" w:type="dxa"/>
            <w:vAlign w:val="bottom"/>
            <w:tcBorders>
              <w:bottom w:val="single" w:sz="8" w:color="00539B"/>
            </w:tcBorders>
          </w:tcPr>
          <w:p>
            <w:pPr>
              <w:spacing w:after="0"/>
              <w:rPr>
                <w:sz w:val="17"/>
                <w:szCs w:val="17"/>
                <w:color w:val="auto"/>
              </w:rPr>
            </w:pPr>
          </w:p>
        </w:tc>
        <w:tc>
          <w:tcPr>
            <w:tcW w:w="120" w:type="dxa"/>
            <w:vAlign w:val="bottom"/>
            <w:tcBorders>
              <w:bottom w:val="single" w:sz="8" w:color="00539B"/>
            </w:tcBorders>
            <w:shd w:val="clear" w:color="auto" w:fill="E0E3F1"/>
          </w:tcPr>
          <w:p>
            <w:pPr>
              <w:spacing w:after="0"/>
              <w:rPr>
                <w:sz w:val="17"/>
                <w:szCs w:val="17"/>
                <w:color w:val="auto"/>
              </w:rPr>
            </w:pPr>
          </w:p>
        </w:tc>
        <w:tc>
          <w:tcPr>
            <w:tcW w:w="1380" w:type="dxa"/>
            <w:vAlign w:val="bottom"/>
            <w:tcBorders>
              <w:bottom w:val="single" w:sz="8" w:color="00539B"/>
            </w:tcBorders>
            <w:gridSpan w:val="2"/>
            <w:shd w:val="clear" w:color="auto" w:fill="E0E3F1"/>
          </w:tcPr>
          <w:p>
            <w:pPr>
              <w:jc w:val="right"/>
              <w:spacing w:after="0"/>
              <w:rPr>
                <w:sz w:val="20"/>
                <w:szCs w:val="20"/>
                <w:color w:val="auto"/>
              </w:rPr>
            </w:pPr>
            <w:r>
              <w:rPr>
                <w:rFonts w:ascii="Arial" w:cs="Arial" w:eastAsia="Arial" w:hAnsi="Arial"/>
                <w:sz w:val="14"/>
                <w:szCs w:val="14"/>
                <w:color w:val="auto"/>
              </w:rPr>
              <w:t>88.1</w:t>
            </w:r>
          </w:p>
        </w:tc>
        <w:tc>
          <w:tcPr>
            <w:tcW w:w="280" w:type="dxa"/>
            <w:vAlign w:val="bottom"/>
            <w:tcBorders>
              <w:bottom w:val="single" w:sz="8" w:color="00539B"/>
            </w:tcBorders>
          </w:tcPr>
          <w:p>
            <w:pPr>
              <w:spacing w:after="0"/>
              <w:rPr>
                <w:sz w:val="17"/>
                <w:szCs w:val="17"/>
                <w:color w:val="auto"/>
              </w:rPr>
            </w:pPr>
          </w:p>
        </w:tc>
        <w:tc>
          <w:tcPr>
            <w:tcW w:w="1240" w:type="dxa"/>
            <w:vAlign w:val="bottom"/>
            <w:tcBorders>
              <w:bottom w:val="single" w:sz="8" w:color="00539B"/>
            </w:tcBorders>
            <w:gridSpan w:val="2"/>
          </w:tcPr>
          <w:p>
            <w:pPr>
              <w:jc w:val="right"/>
              <w:ind w:right="8"/>
              <w:spacing w:after="0"/>
              <w:rPr>
                <w:sz w:val="20"/>
                <w:szCs w:val="20"/>
                <w:color w:val="auto"/>
              </w:rPr>
            </w:pPr>
            <w:r>
              <w:rPr>
                <w:rFonts w:ascii="Arial" w:cs="Arial" w:eastAsia="Arial" w:hAnsi="Arial"/>
                <w:sz w:val="14"/>
                <w:szCs w:val="14"/>
                <w:color w:val="auto"/>
              </w:rPr>
              <w:t>74.1</w:t>
            </w:r>
          </w:p>
        </w:tc>
        <w:tc>
          <w:tcPr>
            <w:tcW w:w="1400" w:type="dxa"/>
            <w:vAlign w:val="bottom"/>
          </w:tcPr>
          <w:p>
            <w:pPr>
              <w:spacing w:after="0"/>
              <w:rPr>
                <w:sz w:val="17"/>
                <w:szCs w:val="17"/>
                <w:color w:val="auto"/>
              </w:rPr>
            </w:pPr>
          </w:p>
        </w:tc>
      </w:tr>
      <w:tr>
        <w:trPr>
          <w:trHeight w:val="196"/>
        </w:trPr>
        <w:tc>
          <w:tcPr>
            <w:tcW w:w="6640" w:type="dxa"/>
            <w:vAlign w:val="bottom"/>
            <w:tcBorders>
              <w:bottom w:val="single" w:sz="8" w:color="00539B"/>
            </w:tcBorders>
          </w:tcPr>
          <w:p>
            <w:pPr>
              <w:spacing w:after="0"/>
              <w:rPr>
                <w:sz w:val="17"/>
                <w:szCs w:val="17"/>
                <w:color w:val="auto"/>
              </w:rPr>
            </w:pPr>
          </w:p>
        </w:tc>
        <w:tc>
          <w:tcPr>
            <w:tcW w:w="140" w:type="dxa"/>
            <w:vAlign w:val="bottom"/>
            <w:tcBorders>
              <w:bottom w:val="single" w:sz="8" w:color="00539B"/>
            </w:tcBorders>
          </w:tcPr>
          <w:p>
            <w:pPr>
              <w:spacing w:after="0"/>
              <w:rPr>
                <w:sz w:val="17"/>
                <w:szCs w:val="17"/>
                <w:color w:val="auto"/>
              </w:rPr>
            </w:pPr>
          </w:p>
        </w:tc>
        <w:tc>
          <w:tcPr>
            <w:tcW w:w="12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00539B"/>
            </w:tcBorders>
            <w:gridSpan w:val="2"/>
            <w:shd w:val="clear" w:color="auto" w:fill="E0E3F1"/>
          </w:tcPr>
          <w:p>
            <w:pPr>
              <w:jc w:val="right"/>
              <w:spacing w:after="0"/>
              <w:rPr>
                <w:sz w:val="20"/>
                <w:szCs w:val="20"/>
                <w:color w:val="auto"/>
              </w:rPr>
            </w:pPr>
            <w:r>
              <w:rPr>
                <w:rFonts w:ascii="Arial" w:cs="Arial" w:eastAsia="Arial" w:hAnsi="Arial"/>
                <w:sz w:val="14"/>
                <w:szCs w:val="14"/>
                <w:color w:val="auto"/>
              </w:rPr>
              <w:t>141.3</w:t>
            </w:r>
          </w:p>
        </w:tc>
        <w:tc>
          <w:tcPr>
            <w:tcW w:w="280" w:type="dxa"/>
            <w:vAlign w:val="bottom"/>
            <w:tcBorders>
              <w:bottom w:val="single" w:sz="8" w:color="00539B"/>
            </w:tcBorders>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00539B"/>
            </w:tcBorders>
            <w:gridSpan w:val="2"/>
          </w:tcPr>
          <w:p>
            <w:pPr>
              <w:jc w:val="right"/>
              <w:ind w:right="8"/>
              <w:spacing w:after="0"/>
              <w:rPr>
                <w:sz w:val="20"/>
                <w:szCs w:val="20"/>
                <w:color w:val="auto"/>
              </w:rPr>
            </w:pPr>
            <w:r>
              <w:rPr>
                <w:rFonts w:ascii="Arial" w:cs="Arial" w:eastAsia="Arial" w:hAnsi="Arial"/>
                <w:sz w:val="14"/>
                <w:szCs w:val="14"/>
                <w:color w:val="auto"/>
              </w:rPr>
              <w:t>125.6</w:t>
            </w:r>
          </w:p>
        </w:tc>
        <w:tc>
          <w:tcPr>
            <w:tcW w:w="1400" w:type="dxa"/>
            <w:vAlign w:val="bottom"/>
          </w:tcPr>
          <w:p>
            <w:pPr>
              <w:spacing w:after="0"/>
              <w:rPr>
                <w:sz w:val="17"/>
                <w:szCs w:val="17"/>
                <w:color w:val="auto"/>
              </w:rPr>
            </w:pPr>
          </w:p>
        </w:tc>
      </w:tr>
      <w:tr>
        <w:trPr>
          <w:trHeight w:val="192"/>
        </w:trPr>
        <w:tc>
          <w:tcPr>
            <w:tcW w:w="6640" w:type="dxa"/>
            <w:vAlign w:val="bottom"/>
          </w:tcPr>
          <w:p>
            <w:pPr>
              <w:ind w:left="20"/>
              <w:spacing w:after="0"/>
              <w:rPr>
                <w:sz w:val="20"/>
                <w:szCs w:val="20"/>
                <w:color w:val="auto"/>
              </w:rPr>
            </w:pPr>
            <w:r>
              <w:rPr>
                <w:rFonts w:ascii="Arial" w:cs="Arial" w:eastAsia="Arial" w:hAnsi="Arial"/>
                <w:sz w:val="14"/>
                <w:szCs w:val="14"/>
                <w:color w:val="auto"/>
              </w:rPr>
              <w:t>Property, plant and equipment</w:t>
            </w:r>
          </w:p>
        </w:tc>
        <w:tc>
          <w:tcPr>
            <w:tcW w:w="140" w:type="dxa"/>
            <w:vAlign w:val="bottom"/>
          </w:tcPr>
          <w:p>
            <w:pPr>
              <w:spacing w:after="0"/>
              <w:rPr>
                <w:sz w:val="16"/>
                <w:szCs w:val="16"/>
                <w:color w:val="auto"/>
              </w:rPr>
            </w:pPr>
          </w:p>
        </w:tc>
        <w:tc>
          <w:tcPr>
            <w:tcW w:w="120" w:type="dxa"/>
            <w:vAlign w:val="bottom"/>
            <w:shd w:val="clear" w:color="auto" w:fill="E0E3F1"/>
          </w:tcPr>
          <w:p>
            <w:pPr>
              <w:spacing w:after="0"/>
              <w:rPr>
                <w:sz w:val="16"/>
                <w:szCs w:val="16"/>
                <w:color w:val="auto"/>
              </w:rPr>
            </w:pPr>
          </w:p>
        </w:tc>
        <w:tc>
          <w:tcPr>
            <w:tcW w:w="1260" w:type="dxa"/>
            <w:vAlign w:val="bottom"/>
            <w:shd w:val="clear" w:color="auto" w:fill="E0E3F1"/>
          </w:tcPr>
          <w:p>
            <w:pPr>
              <w:spacing w:after="0"/>
              <w:rPr>
                <w:sz w:val="16"/>
                <w:szCs w:val="16"/>
                <w:color w:val="auto"/>
              </w:rPr>
            </w:pPr>
          </w:p>
        </w:tc>
        <w:tc>
          <w:tcPr>
            <w:tcW w:w="120" w:type="dxa"/>
            <w:vAlign w:val="bottom"/>
            <w:shd w:val="clear" w:color="auto" w:fill="E0E3F1"/>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03"/>
        </w:trPr>
        <w:tc>
          <w:tcPr>
            <w:tcW w:w="6640" w:type="dxa"/>
            <w:vAlign w:val="bottom"/>
          </w:tcPr>
          <w:p>
            <w:pPr>
              <w:ind w:left="140"/>
              <w:spacing w:after="0"/>
              <w:rPr>
                <w:sz w:val="20"/>
                <w:szCs w:val="20"/>
                <w:color w:val="auto"/>
              </w:rPr>
            </w:pPr>
            <w:r>
              <w:rPr>
                <w:rFonts w:ascii="Arial" w:cs="Arial" w:eastAsia="Arial" w:hAnsi="Arial"/>
                <w:sz w:val="14"/>
                <w:szCs w:val="14"/>
                <w:color w:val="auto"/>
              </w:rPr>
              <w:t>Land and improvements</w:t>
            </w:r>
          </w:p>
        </w:tc>
        <w:tc>
          <w:tcPr>
            <w:tcW w:w="140" w:type="dxa"/>
            <w:vAlign w:val="bottom"/>
          </w:tcPr>
          <w:p>
            <w:pPr>
              <w:spacing w:after="0"/>
              <w:rPr>
                <w:sz w:val="17"/>
                <w:szCs w:val="17"/>
                <w:color w:val="auto"/>
              </w:rPr>
            </w:pPr>
          </w:p>
        </w:tc>
        <w:tc>
          <w:tcPr>
            <w:tcW w:w="120" w:type="dxa"/>
            <w:vAlign w:val="bottom"/>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E0E3F1"/>
          </w:tcPr>
          <w:p>
            <w:pPr>
              <w:jc w:val="right"/>
              <w:spacing w:after="0"/>
              <w:rPr>
                <w:sz w:val="20"/>
                <w:szCs w:val="20"/>
                <w:color w:val="auto"/>
              </w:rPr>
            </w:pPr>
            <w:r>
              <w:rPr>
                <w:rFonts w:ascii="Arial" w:cs="Arial" w:eastAsia="Arial" w:hAnsi="Arial"/>
                <w:sz w:val="14"/>
                <w:szCs w:val="14"/>
                <w:color w:val="auto"/>
              </w:rPr>
              <w:t>98.6</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8"/>
              <w:spacing w:after="0"/>
              <w:rPr>
                <w:sz w:val="20"/>
                <w:szCs w:val="20"/>
                <w:color w:val="auto"/>
              </w:rPr>
            </w:pPr>
            <w:r>
              <w:rPr>
                <w:rFonts w:ascii="Arial" w:cs="Arial" w:eastAsia="Arial" w:hAnsi="Arial"/>
                <w:sz w:val="14"/>
                <w:szCs w:val="14"/>
                <w:color w:val="auto"/>
              </w:rPr>
              <w:t>94.1</w:t>
            </w:r>
          </w:p>
        </w:tc>
        <w:tc>
          <w:tcPr>
            <w:tcW w:w="1400" w:type="dxa"/>
            <w:vAlign w:val="bottom"/>
          </w:tcPr>
          <w:p>
            <w:pPr>
              <w:spacing w:after="0"/>
              <w:rPr>
                <w:sz w:val="17"/>
                <w:szCs w:val="17"/>
                <w:color w:val="auto"/>
              </w:rPr>
            </w:pPr>
          </w:p>
        </w:tc>
      </w:tr>
      <w:tr>
        <w:trPr>
          <w:trHeight w:val="203"/>
        </w:trPr>
        <w:tc>
          <w:tcPr>
            <w:tcW w:w="6640" w:type="dxa"/>
            <w:vAlign w:val="bottom"/>
          </w:tcPr>
          <w:p>
            <w:pPr>
              <w:ind w:left="140"/>
              <w:spacing w:after="0"/>
              <w:rPr>
                <w:sz w:val="20"/>
                <w:szCs w:val="20"/>
                <w:color w:val="auto"/>
              </w:rPr>
            </w:pPr>
            <w:r>
              <w:rPr>
                <w:rFonts w:ascii="Arial" w:cs="Arial" w:eastAsia="Arial" w:hAnsi="Arial"/>
                <w:sz w:val="14"/>
                <w:szCs w:val="14"/>
                <w:color w:val="auto"/>
              </w:rPr>
              <w:t>Buildings (including finance leases)</w:t>
            </w:r>
          </w:p>
        </w:tc>
        <w:tc>
          <w:tcPr>
            <w:tcW w:w="140" w:type="dxa"/>
            <w:vAlign w:val="bottom"/>
          </w:tcPr>
          <w:p>
            <w:pPr>
              <w:spacing w:after="0"/>
              <w:rPr>
                <w:sz w:val="17"/>
                <w:szCs w:val="17"/>
                <w:color w:val="auto"/>
              </w:rPr>
            </w:pPr>
          </w:p>
        </w:tc>
        <w:tc>
          <w:tcPr>
            <w:tcW w:w="120" w:type="dxa"/>
            <w:vAlign w:val="bottom"/>
            <w:shd w:val="clear" w:color="auto" w:fill="E0E3F1"/>
          </w:tcPr>
          <w:p>
            <w:pPr>
              <w:spacing w:after="0"/>
              <w:rPr>
                <w:sz w:val="17"/>
                <w:szCs w:val="17"/>
                <w:color w:val="auto"/>
              </w:rPr>
            </w:pPr>
          </w:p>
        </w:tc>
        <w:tc>
          <w:tcPr>
            <w:tcW w:w="1380" w:type="dxa"/>
            <w:vAlign w:val="bottom"/>
            <w:gridSpan w:val="2"/>
            <w:shd w:val="clear" w:color="auto" w:fill="E0E3F1"/>
          </w:tcPr>
          <w:p>
            <w:pPr>
              <w:jc w:val="right"/>
              <w:spacing w:after="0"/>
              <w:rPr>
                <w:sz w:val="20"/>
                <w:szCs w:val="20"/>
                <w:color w:val="auto"/>
              </w:rPr>
            </w:pPr>
            <w:r>
              <w:rPr>
                <w:rFonts w:ascii="Arial" w:cs="Arial" w:eastAsia="Arial" w:hAnsi="Arial"/>
                <w:sz w:val="14"/>
                <w:szCs w:val="14"/>
                <w:color w:val="auto"/>
              </w:rPr>
              <w:t>925.1</w:t>
            </w:r>
          </w:p>
        </w:tc>
        <w:tc>
          <w:tcPr>
            <w:tcW w:w="280" w:type="dxa"/>
            <w:vAlign w:val="bottom"/>
          </w:tcPr>
          <w:p>
            <w:pPr>
              <w:spacing w:after="0"/>
              <w:rPr>
                <w:sz w:val="17"/>
                <w:szCs w:val="17"/>
                <w:color w:val="auto"/>
              </w:rPr>
            </w:pPr>
          </w:p>
        </w:tc>
        <w:tc>
          <w:tcPr>
            <w:tcW w:w="1240" w:type="dxa"/>
            <w:vAlign w:val="bottom"/>
            <w:gridSpan w:val="2"/>
          </w:tcPr>
          <w:p>
            <w:pPr>
              <w:jc w:val="right"/>
              <w:ind w:right="8"/>
              <w:spacing w:after="0"/>
              <w:rPr>
                <w:sz w:val="20"/>
                <w:szCs w:val="20"/>
                <w:color w:val="auto"/>
              </w:rPr>
            </w:pPr>
            <w:r>
              <w:rPr>
                <w:rFonts w:ascii="Arial" w:cs="Arial" w:eastAsia="Arial" w:hAnsi="Arial"/>
                <w:sz w:val="14"/>
                <w:szCs w:val="14"/>
                <w:color w:val="auto"/>
              </w:rPr>
              <w:t>835.8</w:t>
            </w:r>
          </w:p>
        </w:tc>
        <w:tc>
          <w:tcPr>
            <w:tcW w:w="1400" w:type="dxa"/>
            <w:vAlign w:val="bottom"/>
          </w:tcPr>
          <w:p>
            <w:pPr>
              <w:spacing w:after="0"/>
              <w:rPr>
                <w:sz w:val="17"/>
                <w:szCs w:val="17"/>
                <w:color w:val="auto"/>
              </w:rPr>
            </w:pPr>
          </w:p>
        </w:tc>
      </w:tr>
      <w:tr>
        <w:trPr>
          <w:trHeight w:val="203"/>
        </w:trPr>
        <w:tc>
          <w:tcPr>
            <w:tcW w:w="6640" w:type="dxa"/>
            <w:vAlign w:val="bottom"/>
          </w:tcPr>
          <w:p>
            <w:pPr>
              <w:ind w:left="140"/>
              <w:spacing w:after="0"/>
              <w:rPr>
                <w:sz w:val="20"/>
                <w:szCs w:val="20"/>
                <w:color w:val="auto"/>
              </w:rPr>
            </w:pPr>
            <w:r>
              <w:rPr>
                <w:rFonts w:ascii="Arial" w:cs="Arial" w:eastAsia="Arial" w:hAnsi="Arial"/>
                <w:sz w:val="14"/>
                <w:szCs w:val="14"/>
                <w:color w:val="auto"/>
              </w:rPr>
              <w:t>Machinery, equipment and other</w:t>
            </w:r>
          </w:p>
        </w:tc>
        <w:tc>
          <w:tcPr>
            <w:tcW w:w="140" w:type="dxa"/>
            <w:vAlign w:val="bottom"/>
          </w:tcPr>
          <w:p>
            <w:pPr>
              <w:spacing w:after="0"/>
              <w:rPr>
                <w:sz w:val="17"/>
                <w:szCs w:val="17"/>
                <w:color w:val="auto"/>
              </w:rPr>
            </w:pPr>
          </w:p>
        </w:tc>
        <w:tc>
          <w:tcPr>
            <w:tcW w:w="120" w:type="dxa"/>
            <w:vAlign w:val="bottom"/>
            <w:shd w:val="clear" w:color="auto" w:fill="E0E3F1"/>
          </w:tcPr>
          <w:p>
            <w:pPr>
              <w:spacing w:after="0"/>
              <w:rPr>
                <w:sz w:val="17"/>
                <w:szCs w:val="17"/>
                <w:color w:val="auto"/>
              </w:rPr>
            </w:pPr>
          </w:p>
        </w:tc>
        <w:tc>
          <w:tcPr>
            <w:tcW w:w="1380" w:type="dxa"/>
            <w:vAlign w:val="bottom"/>
            <w:gridSpan w:val="2"/>
            <w:shd w:val="clear" w:color="auto" w:fill="E0E3F1"/>
          </w:tcPr>
          <w:p>
            <w:pPr>
              <w:jc w:val="right"/>
              <w:spacing w:after="0"/>
              <w:rPr>
                <w:sz w:val="20"/>
                <w:szCs w:val="20"/>
                <w:color w:val="auto"/>
              </w:rPr>
            </w:pPr>
            <w:r>
              <w:rPr>
                <w:rFonts w:ascii="Arial" w:cs="Arial" w:eastAsia="Arial" w:hAnsi="Arial"/>
                <w:sz w:val="14"/>
                <w:szCs w:val="14"/>
                <w:color w:val="auto"/>
              </w:rPr>
              <w:t>1,747.5</w:t>
            </w:r>
          </w:p>
        </w:tc>
        <w:tc>
          <w:tcPr>
            <w:tcW w:w="280" w:type="dxa"/>
            <w:vAlign w:val="bottom"/>
          </w:tcPr>
          <w:p>
            <w:pPr>
              <w:spacing w:after="0"/>
              <w:rPr>
                <w:sz w:val="17"/>
                <w:szCs w:val="17"/>
                <w:color w:val="auto"/>
              </w:rPr>
            </w:pPr>
          </w:p>
        </w:tc>
        <w:tc>
          <w:tcPr>
            <w:tcW w:w="1240" w:type="dxa"/>
            <w:vAlign w:val="bottom"/>
            <w:gridSpan w:val="2"/>
          </w:tcPr>
          <w:p>
            <w:pPr>
              <w:jc w:val="right"/>
              <w:ind w:right="8"/>
              <w:spacing w:after="0"/>
              <w:rPr>
                <w:sz w:val="20"/>
                <w:szCs w:val="20"/>
                <w:color w:val="auto"/>
              </w:rPr>
            </w:pPr>
            <w:r>
              <w:rPr>
                <w:rFonts w:ascii="Arial" w:cs="Arial" w:eastAsia="Arial" w:hAnsi="Arial"/>
                <w:sz w:val="14"/>
                <w:szCs w:val="14"/>
                <w:color w:val="auto"/>
              </w:rPr>
              <w:t>1,571.2</w:t>
            </w:r>
          </w:p>
        </w:tc>
        <w:tc>
          <w:tcPr>
            <w:tcW w:w="1400" w:type="dxa"/>
            <w:vAlign w:val="bottom"/>
          </w:tcPr>
          <w:p>
            <w:pPr>
              <w:spacing w:after="0"/>
              <w:rPr>
                <w:sz w:val="17"/>
                <w:szCs w:val="17"/>
                <w:color w:val="auto"/>
              </w:rPr>
            </w:pPr>
          </w:p>
        </w:tc>
      </w:tr>
      <w:tr>
        <w:trPr>
          <w:trHeight w:val="203"/>
        </w:trPr>
        <w:tc>
          <w:tcPr>
            <w:tcW w:w="6640" w:type="dxa"/>
            <w:vAlign w:val="bottom"/>
          </w:tcPr>
          <w:p>
            <w:pPr>
              <w:ind w:left="140"/>
              <w:spacing w:after="0"/>
              <w:rPr>
                <w:sz w:val="20"/>
                <w:szCs w:val="20"/>
                <w:color w:val="auto"/>
              </w:rPr>
            </w:pPr>
            <w:r>
              <w:rPr>
                <w:rFonts w:ascii="Arial" w:cs="Arial" w:eastAsia="Arial" w:hAnsi="Arial"/>
                <w:sz w:val="14"/>
                <w:szCs w:val="14"/>
                <w:color w:val="auto"/>
              </w:rPr>
              <w:t>Construction-in-progress</w:t>
            </w:r>
          </w:p>
        </w:tc>
        <w:tc>
          <w:tcPr>
            <w:tcW w:w="140" w:type="dxa"/>
            <w:vAlign w:val="bottom"/>
          </w:tcPr>
          <w:p>
            <w:pPr>
              <w:spacing w:after="0"/>
              <w:rPr>
                <w:sz w:val="17"/>
                <w:szCs w:val="17"/>
                <w:color w:val="auto"/>
              </w:rPr>
            </w:pPr>
          </w:p>
        </w:tc>
        <w:tc>
          <w:tcPr>
            <w:tcW w:w="120" w:type="dxa"/>
            <w:vAlign w:val="bottom"/>
            <w:shd w:val="clear" w:color="auto" w:fill="E0E3F1"/>
          </w:tcPr>
          <w:p>
            <w:pPr>
              <w:spacing w:after="0"/>
              <w:rPr>
                <w:sz w:val="17"/>
                <w:szCs w:val="17"/>
                <w:color w:val="auto"/>
              </w:rPr>
            </w:pPr>
          </w:p>
        </w:tc>
        <w:tc>
          <w:tcPr>
            <w:tcW w:w="1380" w:type="dxa"/>
            <w:vAlign w:val="bottom"/>
            <w:gridSpan w:val="2"/>
            <w:shd w:val="clear" w:color="auto" w:fill="E0E3F1"/>
          </w:tcPr>
          <w:p>
            <w:pPr>
              <w:jc w:val="right"/>
              <w:spacing w:after="0"/>
              <w:rPr>
                <w:sz w:val="20"/>
                <w:szCs w:val="20"/>
                <w:color w:val="auto"/>
              </w:rPr>
            </w:pPr>
            <w:r>
              <w:rPr>
                <w:rFonts w:ascii="Arial" w:cs="Arial" w:eastAsia="Arial" w:hAnsi="Arial"/>
                <w:sz w:val="14"/>
                <w:szCs w:val="14"/>
                <w:color w:val="auto"/>
              </w:rPr>
              <w:t>186.8</w:t>
            </w:r>
          </w:p>
        </w:tc>
        <w:tc>
          <w:tcPr>
            <w:tcW w:w="280" w:type="dxa"/>
            <w:vAlign w:val="bottom"/>
          </w:tcPr>
          <w:p>
            <w:pPr>
              <w:spacing w:after="0"/>
              <w:rPr>
                <w:sz w:val="17"/>
                <w:szCs w:val="17"/>
                <w:color w:val="auto"/>
              </w:rPr>
            </w:pPr>
          </w:p>
        </w:tc>
        <w:tc>
          <w:tcPr>
            <w:tcW w:w="1240" w:type="dxa"/>
            <w:vAlign w:val="bottom"/>
            <w:gridSpan w:val="2"/>
          </w:tcPr>
          <w:p>
            <w:pPr>
              <w:jc w:val="right"/>
              <w:ind w:right="8"/>
              <w:spacing w:after="0"/>
              <w:rPr>
                <w:sz w:val="20"/>
                <w:szCs w:val="20"/>
                <w:color w:val="auto"/>
              </w:rPr>
            </w:pPr>
            <w:r>
              <w:rPr>
                <w:rFonts w:ascii="Arial" w:cs="Arial" w:eastAsia="Arial" w:hAnsi="Arial"/>
                <w:sz w:val="14"/>
                <w:szCs w:val="14"/>
                <w:color w:val="auto"/>
              </w:rPr>
              <w:t>247.1</w:t>
            </w:r>
          </w:p>
        </w:tc>
        <w:tc>
          <w:tcPr>
            <w:tcW w:w="1400" w:type="dxa"/>
            <w:vAlign w:val="bottom"/>
          </w:tcPr>
          <w:p>
            <w:pPr>
              <w:spacing w:after="0"/>
              <w:rPr>
                <w:sz w:val="17"/>
                <w:szCs w:val="17"/>
                <w:color w:val="auto"/>
              </w:rPr>
            </w:pPr>
          </w:p>
        </w:tc>
      </w:tr>
      <w:tr>
        <w:trPr>
          <w:trHeight w:val="207"/>
        </w:trPr>
        <w:tc>
          <w:tcPr>
            <w:tcW w:w="6640" w:type="dxa"/>
            <w:vAlign w:val="bottom"/>
            <w:tcBorders>
              <w:bottom w:val="single" w:sz="8" w:color="00539B"/>
            </w:tcBorders>
          </w:tcPr>
          <w:p>
            <w:pPr>
              <w:ind w:left="140"/>
              <w:spacing w:after="0"/>
              <w:rPr>
                <w:sz w:val="20"/>
                <w:szCs w:val="20"/>
                <w:color w:val="auto"/>
              </w:rPr>
            </w:pPr>
            <w:r>
              <w:rPr>
                <w:rFonts w:ascii="Arial" w:cs="Arial" w:eastAsia="Arial" w:hAnsi="Arial"/>
                <w:sz w:val="14"/>
                <w:szCs w:val="14"/>
                <w:color w:val="auto"/>
              </w:rPr>
              <w:t>Accumulated depreciation</w:t>
            </w:r>
          </w:p>
        </w:tc>
        <w:tc>
          <w:tcPr>
            <w:tcW w:w="140" w:type="dxa"/>
            <w:vAlign w:val="bottom"/>
            <w:tcBorders>
              <w:bottom w:val="single" w:sz="8" w:color="00539B"/>
            </w:tcBorders>
          </w:tcPr>
          <w:p>
            <w:pPr>
              <w:spacing w:after="0"/>
              <w:rPr>
                <w:sz w:val="17"/>
                <w:szCs w:val="17"/>
                <w:color w:val="auto"/>
              </w:rPr>
            </w:pPr>
          </w:p>
        </w:tc>
        <w:tc>
          <w:tcPr>
            <w:tcW w:w="120" w:type="dxa"/>
            <w:vAlign w:val="bottom"/>
            <w:tcBorders>
              <w:bottom w:val="single" w:sz="8" w:color="00539B"/>
            </w:tcBorders>
            <w:shd w:val="clear" w:color="auto" w:fill="E0E3F1"/>
          </w:tcPr>
          <w:p>
            <w:pPr>
              <w:spacing w:after="0"/>
              <w:rPr>
                <w:sz w:val="17"/>
                <w:szCs w:val="17"/>
                <w:color w:val="auto"/>
              </w:rPr>
            </w:pPr>
          </w:p>
        </w:tc>
        <w:tc>
          <w:tcPr>
            <w:tcW w:w="1380" w:type="dxa"/>
            <w:vAlign w:val="bottom"/>
            <w:tcBorders>
              <w:bottom w:val="single" w:sz="8" w:color="00539B"/>
            </w:tcBorders>
            <w:gridSpan w:val="2"/>
            <w:shd w:val="clear" w:color="auto" w:fill="E0E3F1"/>
          </w:tcPr>
          <w:p>
            <w:pPr>
              <w:jc w:val="right"/>
              <w:spacing w:after="0"/>
              <w:rPr>
                <w:sz w:val="20"/>
                <w:szCs w:val="20"/>
                <w:color w:val="auto"/>
              </w:rPr>
            </w:pPr>
            <w:r>
              <w:rPr>
                <w:rFonts w:ascii="Arial" w:cs="Arial" w:eastAsia="Arial" w:hAnsi="Arial"/>
                <w:sz w:val="14"/>
                <w:szCs w:val="14"/>
                <w:color w:val="auto"/>
              </w:rPr>
              <w:t>(1,509.2)</w:t>
            </w:r>
          </w:p>
        </w:tc>
        <w:tc>
          <w:tcPr>
            <w:tcW w:w="280" w:type="dxa"/>
            <w:vAlign w:val="bottom"/>
            <w:tcBorders>
              <w:bottom w:val="single" w:sz="8" w:color="00539B"/>
            </w:tcBorders>
          </w:tcPr>
          <w:p>
            <w:pPr>
              <w:spacing w:after="0"/>
              <w:rPr>
                <w:sz w:val="17"/>
                <w:szCs w:val="17"/>
                <w:color w:val="auto"/>
              </w:rPr>
            </w:pPr>
          </w:p>
        </w:tc>
        <w:tc>
          <w:tcPr>
            <w:tcW w:w="1240" w:type="dxa"/>
            <w:vAlign w:val="bottom"/>
            <w:tcBorders>
              <w:bottom w:val="single" w:sz="8" w:color="00539B"/>
            </w:tcBorders>
            <w:gridSpan w:val="2"/>
          </w:tcPr>
          <w:p>
            <w:pPr>
              <w:jc w:val="right"/>
              <w:spacing w:after="0"/>
              <w:rPr>
                <w:sz w:val="20"/>
                <w:szCs w:val="20"/>
                <w:color w:val="auto"/>
              </w:rPr>
            </w:pPr>
            <w:r>
              <w:rPr>
                <w:rFonts w:ascii="Arial" w:cs="Arial" w:eastAsia="Arial" w:hAnsi="Arial"/>
                <w:sz w:val="14"/>
                <w:szCs w:val="14"/>
                <w:color w:val="auto"/>
              </w:rPr>
              <w:t>(1,335.2)</w:t>
            </w:r>
          </w:p>
        </w:tc>
        <w:tc>
          <w:tcPr>
            <w:tcW w:w="1400" w:type="dxa"/>
            <w:vAlign w:val="bottom"/>
          </w:tcPr>
          <w:p>
            <w:pPr>
              <w:spacing w:after="0"/>
              <w:rPr>
                <w:sz w:val="17"/>
                <w:szCs w:val="17"/>
                <w:color w:val="auto"/>
              </w:rPr>
            </w:pPr>
          </w:p>
        </w:tc>
      </w:tr>
      <w:tr>
        <w:trPr>
          <w:trHeight w:val="196"/>
        </w:trPr>
        <w:tc>
          <w:tcPr>
            <w:tcW w:w="6640" w:type="dxa"/>
            <w:vAlign w:val="bottom"/>
            <w:tcBorders>
              <w:bottom w:val="single" w:sz="8" w:color="00539B"/>
            </w:tcBorders>
          </w:tcPr>
          <w:p>
            <w:pPr>
              <w:spacing w:after="0"/>
              <w:rPr>
                <w:sz w:val="17"/>
                <w:szCs w:val="17"/>
                <w:color w:val="auto"/>
              </w:rPr>
            </w:pPr>
          </w:p>
        </w:tc>
        <w:tc>
          <w:tcPr>
            <w:tcW w:w="140" w:type="dxa"/>
            <w:vAlign w:val="bottom"/>
            <w:tcBorders>
              <w:bottom w:val="single" w:sz="8" w:color="00539B"/>
            </w:tcBorders>
          </w:tcPr>
          <w:p>
            <w:pPr>
              <w:spacing w:after="0"/>
              <w:rPr>
                <w:sz w:val="17"/>
                <w:szCs w:val="17"/>
                <w:color w:val="auto"/>
              </w:rPr>
            </w:pPr>
          </w:p>
        </w:tc>
        <w:tc>
          <w:tcPr>
            <w:tcW w:w="12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00539B"/>
            </w:tcBorders>
            <w:gridSpan w:val="2"/>
            <w:shd w:val="clear" w:color="auto" w:fill="E0E3F1"/>
          </w:tcPr>
          <w:p>
            <w:pPr>
              <w:jc w:val="right"/>
              <w:spacing w:after="0"/>
              <w:rPr>
                <w:sz w:val="20"/>
                <w:szCs w:val="20"/>
                <w:color w:val="auto"/>
              </w:rPr>
            </w:pPr>
            <w:r>
              <w:rPr>
                <w:rFonts w:ascii="Arial" w:cs="Arial" w:eastAsia="Arial" w:hAnsi="Arial"/>
                <w:sz w:val="14"/>
                <w:szCs w:val="14"/>
                <w:color w:val="auto"/>
              </w:rPr>
              <w:t>1,448.8</w:t>
            </w:r>
          </w:p>
        </w:tc>
        <w:tc>
          <w:tcPr>
            <w:tcW w:w="280" w:type="dxa"/>
            <w:vAlign w:val="bottom"/>
            <w:tcBorders>
              <w:bottom w:val="single" w:sz="8" w:color="00539B"/>
            </w:tcBorders>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00539B"/>
            </w:tcBorders>
            <w:gridSpan w:val="2"/>
          </w:tcPr>
          <w:p>
            <w:pPr>
              <w:jc w:val="right"/>
              <w:ind w:right="8"/>
              <w:spacing w:after="0"/>
              <w:rPr>
                <w:sz w:val="20"/>
                <w:szCs w:val="20"/>
                <w:color w:val="auto"/>
              </w:rPr>
            </w:pPr>
            <w:r>
              <w:rPr>
                <w:rFonts w:ascii="Arial" w:cs="Arial" w:eastAsia="Arial" w:hAnsi="Arial"/>
                <w:sz w:val="14"/>
                <w:szCs w:val="14"/>
                <w:color w:val="auto"/>
              </w:rPr>
              <w:t>1,413.0</w:t>
            </w:r>
          </w:p>
        </w:tc>
        <w:tc>
          <w:tcPr>
            <w:tcW w:w="1400" w:type="dxa"/>
            <w:vAlign w:val="bottom"/>
          </w:tcPr>
          <w:p>
            <w:pPr>
              <w:spacing w:after="0"/>
              <w:rPr>
                <w:sz w:val="17"/>
                <w:szCs w:val="17"/>
                <w:color w:val="auto"/>
              </w:rPr>
            </w:pPr>
          </w:p>
        </w:tc>
      </w:tr>
      <w:tr>
        <w:trPr>
          <w:trHeight w:val="192"/>
        </w:trPr>
        <w:tc>
          <w:tcPr>
            <w:tcW w:w="6640" w:type="dxa"/>
            <w:vAlign w:val="bottom"/>
          </w:tcPr>
          <w:p>
            <w:pPr>
              <w:ind w:left="20"/>
              <w:spacing w:after="0"/>
              <w:rPr>
                <w:sz w:val="20"/>
                <w:szCs w:val="20"/>
                <w:color w:val="auto"/>
              </w:rPr>
            </w:pPr>
            <w:r>
              <w:rPr>
                <w:rFonts w:ascii="Arial" w:cs="Arial" w:eastAsia="Arial" w:hAnsi="Arial"/>
                <w:sz w:val="14"/>
                <w:szCs w:val="14"/>
                <w:color w:val="auto"/>
              </w:rPr>
              <w:t>Other long-term assets</w:t>
            </w:r>
          </w:p>
        </w:tc>
        <w:tc>
          <w:tcPr>
            <w:tcW w:w="140" w:type="dxa"/>
            <w:vAlign w:val="bottom"/>
          </w:tcPr>
          <w:p>
            <w:pPr>
              <w:spacing w:after="0"/>
              <w:rPr>
                <w:sz w:val="16"/>
                <w:szCs w:val="16"/>
                <w:color w:val="auto"/>
              </w:rPr>
            </w:pPr>
          </w:p>
        </w:tc>
        <w:tc>
          <w:tcPr>
            <w:tcW w:w="120" w:type="dxa"/>
            <w:vAlign w:val="bottom"/>
            <w:shd w:val="clear" w:color="auto" w:fill="E0E3F1"/>
          </w:tcPr>
          <w:p>
            <w:pPr>
              <w:spacing w:after="0"/>
              <w:rPr>
                <w:sz w:val="16"/>
                <w:szCs w:val="16"/>
                <w:color w:val="auto"/>
              </w:rPr>
            </w:pPr>
          </w:p>
        </w:tc>
        <w:tc>
          <w:tcPr>
            <w:tcW w:w="1260" w:type="dxa"/>
            <w:vAlign w:val="bottom"/>
            <w:shd w:val="clear" w:color="auto" w:fill="E0E3F1"/>
          </w:tcPr>
          <w:p>
            <w:pPr>
              <w:spacing w:after="0"/>
              <w:rPr>
                <w:sz w:val="16"/>
                <w:szCs w:val="16"/>
                <w:color w:val="auto"/>
              </w:rPr>
            </w:pPr>
          </w:p>
        </w:tc>
        <w:tc>
          <w:tcPr>
            <w:tcW w:w="120" w:type="dxa"/>
            <w:vAlign w:val="bottom"/>
            <w:shd w:val="clear" w:color="auto" w:fill="E0E3F1"/>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03"/>
        </w:trPr>
        <w:tc>
          <w:tcPr>
            <w:tcW w:w="6640" w:type="dxa"/>
            <w:vAlign w:val="bottom"/>
          </w:tcPr>
          <w:p>
            <w:pPr>
              <w:ind w:left="140"/>
              <w:spacing w:after="0"/>
              <w:rPr>
                <w:sz w:val="20"/>
                <w:szCs w:val="20"/>
                <w:color w:val="auto"/>
              </w:rPr>
            </w:pPr>
            <w:r>
              <w:rPr>
                <w:rFonts w:ascii="Arial" w:cs="Arial" w:eastAsia="Arial" w:hAnsi="Arial"/>
                <w:sz w:val="14"/>
                <w:szCs w:val="14"/>
                <w:color w:val="auto"/>
              </w:rPr>
              <w:t>Investments in affiliates</w:t>
            </w:r>
          </w:p>
        </w:tc>
        <w:tc>
          <w:tcPr>
            <w:tcW w:w="140" w:type="dxa"/>
            <w:vAlign w:val="bottom"/>
          </w:tcPr>
          <w:p>
            <w:pPr>
              <w:spacing w:after="0"/>
              <w:rPr>
                <w:sz w:val="17"/>
                <w:szCs w:val="17"/>
                <w:color w:val="auto"/>
              </w:rPr>
            </w:pPr>
          </w:p>
        </w:tc>
        <w:tc>
          <w:tcPr>
            <w:tcW w:w="120" w:type="dxa"/>
            <w:vAlign w:val="bottom"/>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E0E3F1"/>
          </w:tcPr>
          <w:p>
            <w:pPr>
              <w:jc w:val="right"/>
              <w:spacing w:after="0"/>
              <w:rPr>
                <w:sz w:val="20"/>
                <w:szCs w:val="20"/>
                <w:color w:val="auto"/>
              </w:rPr>
            </w:pPr>
            <w:r>
              <w:rPr>
                <w:rFonts w:ascii="Arial" w:cs="Arial" w:eastAsia="Arial" w:hAnsi="Arial"/>
                <w:sz w:val="14"/>
                <w:szCs w:val="14"/>
                <w:color w:val="auto"/>
              </w:rPr>
              <w:t>167.8</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8"/>
              <w:spacing w:after="0"/>
              <w:rPr>
                <w:sz w:val="20"/>
                <w:szCs w:val="20"/>
                <w:color w:val="auto"/>
              </w:rPr>
            </w:pPr>
            <w:r>
              <w:rPr>
                <w:rFonts w:ascii="Arial" w:cs="Arial" w:eastAsia="Arial" w:hAnsi="Arial"/>
                <w:sz w:val="14"/>
                <w:szCs w:val="14"/>
                <w:color w:val="auto"/>
              </w:rPr>
              <w:t>152.2</w:t>
            </w:r>
          </w:p>
        </w:tc>
        <w:tc>
          <w:tcPr>
            <w:tcW w:w="1400" w:type="dxa"/>
            <w:vAlign w:val="bottom"/>
          </w:tcPr>
          <w:p>
            <w:pPr>
              <w:spacing w:after="0"/>
              <w:rPr>
                <w:sz w:val="17"/>
                <w:szCs w:val="17"/>
                <w:color w:val="auto"/>
              </w:rPr>
            </w:pPr>
          </w:p>
        </w:tc>
      </w:tr>
      <w:tr>
        <w:trPr>
          <w:trHeight w:val="203"/>
        </w:trPr>
        <w:tc>
          <w:tcPr>
            <w:tcW w:w="6640" w:type="dxa"/>
            <w:vAlign w:val="bottom"/>
          </w:tcPr>
          <w:p>
            <w:pPr>
              <w:ind w:left="140"/>
              <w:spacing w:after="0"/>
              <w:rPr>
                <w:sz w:val="20"/>
                <w:szCs w:val="20"/>
                <w:color w:val="auto"/>
              </w:rPr>
            </w:pPr>
            <w:r>
              <w:rPr>
                <w:rFonts w:ascii="Arial" w:cs="Arial" w:eastAsia="Arial" w:hAnsi="Arial"/>
                <w:sz w:val="14"/>
                <w:szCs w:val="14"/>
                <w:color w:val="auto"/>
              </w:rPr>
              <w:t>Long-term investments</w:t>
            </w:r>
          </w:p>
        </w:tc>
        <w:tc>
          <w:tcPr>
            <w:tcW w:w="140" w:type="dxa"/>
            <w:vAlign w:val="bottom"/>
          </w:tcPr>
          <w:p>
            <w:pPr>
              <w:spacing w:after="0"/>
              <w:rPr>
                <w:sz w:val="17"/>
                <w:szCs w:val="17"/>
                <w:color w:val="auto"/>
              </w:rPr>
            </w:pPr>
          </w:p>
        </w:tc>
        <w:tc>
          <w:tcPr>
            <w:tcW w:w="120" w:type="dxa"/>
            <w:vAlign w:val="bottom"/>
            <w:shd w:val="clear" w:color="auto" w:fill="E0E3F1"/>
          </w:tcPr>
          <w:p>
            <w:pPr>
              <w:spacing w:after="0"/>
              <w:rPr>
                <w:sz w:val="17"/>
                <w:szCs w:val="17"/>
                <w:color w:val="auto"/>
              </w:rPr>
            </w:pPr>
          </w:p>
        </w:tc>
        <w:tc>
          <w:tcPr>
            <w:tcW w:w="1380" w:type="dxa"/>
            <w:vAlign w:val="bottom"/>
            <w:gridSpan w:val="2"/>
            <w:shd w:val="clear" w:color="auto" w:fill="E0E3F1"/>
          </w:tcPr>
          <w:p>
            <w:pPr>
              <w:jc w:val="right"/>
              <w:spacing w:after="0"/>
              <w:rPr>
                <w:sz w:val="20"/>
                <w:szCs w:val="20"/>
                <w:color w:val="auto"/>
              </w:rPr>
            </w:pPr>
            <w:r>
              <w:rPr>
                <w:rFonts w:ascii="Arial" w:cs="Arial" w:eastAsia="Arial" w:hAnsi="Arial"/>
                <w:sz w:val="14"/>
                <w:szCs w:val="14"/>
                <w:color w:val="auto"/>
              </w:rPr>
              <w:t>132.9</w:t>
            </w:r>
          </w:p>
        </w:tc>
        <w:tc>
          <w:tcPr>
            <w:tcW w:w="280" w:type="dxa"/>
            <w:vAlign w:val="bottom"/>
          </w:tcPr>
          <w:p>
            <w:pPr>
              <w:spacing w:after="0"/>
              <w:rPr>
                <w:sz w:val="17"/>
                <w:szCs w:val="17"/>
                <w:color w:val="auto"/>
              </w:rPr>
            </w:pPr>
          </w:p>
        </w:tc>
        <w:tc>
          <w:tcPr>
            <w:tcW w:w="1240" w:type="dxa"/>
            <w:vAlign w:val="bottom"/>
            <w:gridSpan w:val="2"/>
          </w:tcPr>
          <w:p>
            <w:pPr>
              <w:jc w:val="right"/>
              <w:ind w:right="8"/>
              <w:spacing w:after="0"/>
              <w:rPr>
                <w:sz w:val="20"/>
                <w:szCs w:val="20"/>
                <w:color w:val="auto"/>
              </w:rPr>
            </w:pPr>
            <w:r>
              <w:rPr>
                <w:rFonts w:ascii="Arial" w:cs="Arial" w:eastAsia="Arial" w:hAnsi="Arial"/>
                <w:sz w:val="14"/>
                <w:szCs w:val="14"/>
                <w:color w:val="auto"/>
              </w:rPr>
              <w:t>130.5</w:t>
            </w:r>
          </w:p>
        </w:tc>
        <w:tc>
          <w:tcPr>
            <w:tcW w:w="1400" w:type="dxa"/>
            <w:vAlign w:val="bottom"/>
          </w:tcPr>
          <w:p>
            <w:pPr>
              <w:spacing w:after="0"/>
              <w:rPr>
                <w:sz w:val="17"/>
                <w:szCs w:val="17"/>
                <w:color w:val="auto"/>
              </w:rPr>
            </w:pPr>
          </w:p>
        </w:tc>
      </w:tr>
      <w:tr>
        <w:trPr>
          <w:trHeight w:val="203"/>
        </w:trPr>
        <w:tc>
          <w:tcPr>
            <w:tcW w:w="6640" w:type="dxa"/>
            <w:vAlign w:val="bottom"/>
          </w:tcPr>
          <w:p>
            <w:pPr>
              <w:ind w:left="140"/>
              <w:spacing w:after="0"/>
              <w:rPr>
                <w:sz w:val="20"/>
                <w:szCs w:val="20"/>
                <w:color w:val="auto"/>
              </w:rPr>
            </w:pPr>
            <w:r>
              <w:rPr>
                <w:rFonts w:ascii="Arial" w:cs="Arial" w:eastAsia="Arial" w:hAnsi="Arial"/>
                <w:sz w:val="14"/>
                <w:szCs w:val="14"/>
                <w:color w:val="auto"/>
              </w:rPr>
              <w:t>Right of use asset</w:t>
            </w:r>
          </w:p>
        </w:tc>
        <w:tc>
          <w:tcPr>
            <w:tcW w:w="140" w:type="dxa"/>
            <w:vAlign w:val="bottom"/>
          </w:tcPr>
          <w:p>
            <w:pPr>
              <w:spacing w:after="0"/>
              <w:rPr>
                <w:sz w:val="17"/>
                <w:szCs w:val="17"/>
                <w:color w:val="auto"/>
              </w:rPr>
            </w:pPr>
          </w:p>
        </w:tc>
        <w:tc>
          <w:tcPr>
            <w:tcW w:w="120" w:type="dxa"/>
            <w:vAlign w:val="bottom"/>
            <w:shd w:val="clear" w:color="auto" w:fill="E0E3F1"/>
          </w:tcPr>
          <w:p>
            <w:pPr>
              <w:spacing w:after="0"/>
              <w:rPr>
                <w:sz w:val="17"/>
                <w:szCs w:val="17"/>
                <w:color w:val="auto"/>
              </w:rPr>
            </w:pPr>
          </w:p>
        </w:tc>
        <w:tc>
          <w:tcPr>
            <w:tcW w:w="1380" w:type="dxa"/>
            <w:vAlign w:val="bottom"/>
            <w:gridSpan w:val="2"/>
            <w:shd w:val="clear" w:color="auto" w:fill="E0E3F1"/>
          </w:tcPr>
          <w:p>
            <w:pPr>
              <w:jc w:val="right"/>
              <w:spacing w:after="0"/>
              <w:rPr>
                <w:sz w:val="20"/>
                <w:szCs w:val="20"/>
                <w:color w:val="auto"/>
              </w:rPr>
            </w:pPr>
            <w:r>
              <w:rPr>
                <w:rFonts w:ascii="Arial" w:cs="Arial" w:eastAsia="Arial" w:hAnsi="Arial"/>
                <w:sz w:val="14"/>
                <w:szCs w:val="14"/>
                <w:color w:val="auto"/>
              </w:rPr>
              <w:t>216.8</w:t>
            </w:r>
          </w:p>
        </w:tc>
        <w:tc>
          <w:tcPr>
            <w:tcW w:w="280" w:type="dxa"/>
            <w:vAlign w:val="bottom"/>
          </w:tcPr>
          <w:p>
            <w:pPr>
              <w:spacing w:after="0"/>
              <w:rPr>
                <w:sz w:val="17"/>
                <w:szCs w:val="17"/>
                <w:color w:val="auto"/>
              </w:rPr>
            </w:pPr>
          </w:p>
        </w:tc>
        <w:tc>
          <w:tcPr>
            <w:tcW w:w="1240" w:type="dxa"/>
            <w:vAlign w:val="bottom"/>
            <w:gridSpan w:val="2"/>
          </w:tcPr>
          <w:p>
            <w:pPr>
              <w:jc w:val="right"/>
              <w:ind w:right="8"/>
              <w:spacing w:after="0"/>
              <w:rPr>
                <w:sz w:val="20"/>
                <w:szCs w:val="20"/>
                <w:color w:val="auto"/>
              </w:rPr>
            </w:pPr>
            <w:r>
              <w:rPr>
                <w:rFonts w:ascii="Arial" w:cs="Arial" w:eastAsia="Arial" w:hAnsi="Arial"/>
                <w:sz w:val="14"/>
                <w:szCs w:val="14"/>
                <w:color w:val="auto"/>
              </w:rPr>
              <w:t>211.0</w:t>
            </w:r>
          </w:p>
        </w:tc>
        <w:tc>
          <w:tcPr>
            <w:tcW w:w="1400" w:type="dxa"/>
            <w:vAlign w:val="bottom"/>
          </w:tcPr>
          <w:p>
            <w:pPr>
              <w:spacing w:after="0"/>
              <w:rPr>
                <w:sz w:val="17"/>
                <w:szCs w:val="17"/>
                <w:color w:val="auto"/>
              </w:rPr>
            </w:pPr>
          </w:p>
        </w:tc>
      </w:tr>
      <w:tr>
        <w:trPr>
          <w:trHeight w:val="203"/>
        </w:trPr>
        <w:tc>
          <w:tcPr>
            <w:tcW w:w="6640" w:type="dxa"/>
            <w:vAlign w:val="bottom"/>
          </w:tcPr>
          <w:p>
            <w:pPr>
              <w:ind w:left="140"/>
              <w:spacing w:after="0"/>
              <w:rPr>
                <w:sz w:val="20"/>
                <w:szCs w:val="20"/>
                <w:color w:val="auto"/>
              </w:rPr>
            </w:pPr>
            <w:r>
              <w:rPr>
                <w:rFonts w:ascii="Arial" w:cs="Arial" w:eastAsia="Arial" w:hAnsi="Arial"/>
                <w:sz w:val="14"/>
                <w:szCs w:val="14"/>
                <w:color w:val="auto"/>
              </w:rPr>
              <w:t>Software, net of accumulated amortization of $307.1 for 2025 and $288.4 for 2024</w:t>
            </w:r>
          </w:p>
        </w:tc>
        <w:tc>
          <w:tcPr>
            <w:tcW w:w="140" w:type="dxa"/>
            <w:vAlign w:val="bottom"/>
          </w:tcPr>
          <w:p>
            <w:pPr>
              <w:spacing w:after="0"/>
              <w:rPr>
                <w:sz w:val="17"/>
                <w:szCs w:val="17"/>
                <w:color w:val="auto"/>
              </w:rPr>
            </w:pPr>
          </w:p>
        </w:tc>
        <w:tc>
          <w:tcPr>
            <w:tcW w:w="120" w:type="dxa"/>
            <w:vAlign w:val="bottom"/>
            <w:shd w:val="clear" w:color="auto" w:fill="E0E3F1"/>
          </w:tcPr>
          <w:p>
            <w:pPr>
              <w:spacing w:after="0"/>
              <w:rPr>
                <w:sz w:val="17"/>
                <w:szCs w:val="17"/>
                <w:color w:val="auto"/>
              </w:rPr>
            </w:pPr>
          </w:p>
        </w:tc>
        <w:tc>
          <w:tcPr>
            <w:tcW w:w="1380" w:type="dxa"/>
            <w:vAlign w:val="bottom"/>
            <w:gridSpan w:val="2"/>
            <w:shd w:val="clear" w:color="auto" w:fill="E0E3F1"/>
          </w:tcPr>
          <w:p>
            <w:pPr>
              <w:jc w:val="right"/>
              <w:spacing w:after="0"/>
              <w:rPr>
                <w:sz w:val="20"/>
                <w:szCs w:val="20"/>
                <w:color w:val="auto"/>
              </w:rPr>
            </w:pPr>
            <w:r>
              <w:rPr>
                <w:rFonts w:ascii="Arial" w:cs="Arial" w:eastAsia="Arial" w:hAnsi="Arial"/>
                <w:sz w:val="14"/>
                <w:szCs w:val="14"/>
                <w:color w:val="auto"/>
              </w:rPr>
              <w:t>208.7</w:t>
            </w:r>
          </w:p>
        </w:tc>
        <w:tc>
          <w:tcPr>
            <w:tcW w:w="280" w:type="dxa"/>
            <w:vAlign w:val="bottom"/>
          </w:tcPr>
          <w:p>
            <w:pPr>
              <w:spacing w:after="0"/>
              <w:rPr>
                <w:sz w:val="17"/>
                <w:szCs w:val="17"/>
                <w:color w:val="auto"/>
              </w:rPr>
            </w:pPr>
          </w:p>
        </w:tc>
        <w:tc>
          <w:tcPr>
            <w:tcW w:w="1240" w:type="dxa"/>
            <w:vAlign w:val="bottom"/>
            <w:gridSpan w:val="2"/>
          </w:tcPr>
          <w:p>
            <w:pPr>
              <w:jc w:val="right"/>
              <w:ind w:right="8"/>
              <w:spacing w:after="0"/>
              <w:rPr>
                <w:sz w:val="20"/>
                <w:szCs w:val="20"/>
                <w:color w:val="auto"/>
              </w:rPr>
            </w:pPr>
            <w:r>
              <w:rPr>
                <w:rFonts w:ascii="Arial" w:cs="Arial" w:eastAsia="Arial" w:hAnsi="Arial"/>
                <w:sz w:val="14"/>
                <w:szCs w:val="14"/>
                <w:color w:val="auto"/>
              </w:rPr>
              <w:t>179.1</w:t>
            </w:r>
          </w:p>
        </w:tc>
        <w:tc>
          <w:tcPr>
            <w:tcW w:w="1400" w:type="dxa"/>
            <w:vAlign w:val="bottom"/>
          </w:tcPr>
          <w:p>
            <w:pPr>
              <w:spacing w:after="0"/>
              <w:rPr>
                <w:sz w:val="17"/>
                <w:szCs w:val="17"/>
                <w:color w:val="auto"/>
              </w:rPr>
            </w:pPr>
          </w:p>
        </w:tc>
      </w:tr>
      <w:tr>
        <w:trPr>
          <w:trHeight w:val="203"/>
        </w:trPr>
        <w:tc>
          <w:tcPr>
            <w:tcW w:w="6640" w:type="dxa"/>
            <w:vAlign w:val="bottom"/>
          </w:tcPr>
          <w:p>
            <w:pPr>
              <w:ind w:left="140"/>
              <w:spacing w:after="0"/>
              <w:rPr>
                <w:sz w:val="20"/>
                <w:szCs w:val="20"/>
                <w:color w:val="auto"/>
              </w:rPr>
            </w:pPr>
            <w:r>
              <w:rPr>
                <w:rFonts w:ascii="Arial" w:cs="Arial" w:eastAsia="Arial" w:hAnsi="Arial"/>
                <w:sz w:val="14"/>
                <w:szCs w:val="14"/>
                <w:color w:val="auto"/>
              </w:rPr>
              <w:t>Pension asset</w:t>
            </w:r>
          </w:p>
        </w:tc>
        <w:tc>
          <w:tcPr>
            <w:tcW w:w="140" w:type="dxa"/>
            <w:vAlign w:val="bottom"/>
          </w:tcPr>
          <w:p>
            <w:pPr>
              <w:spacing w:after="0"/>
              <w:rPr>
                <w:sz w:val="17"/>
                <w:szCs w:val="17"/>
                <w:color w:val="auto"/>
              </w:rPr>
            </w:pPr>
          </w:p>
        </w:tc>
        <w:tc>
          <w:tcPr>
            <w:tcW w:w="120" w:type="dxa"/>
            <w:vAlign w:val="bottom"/>
            <w:shd w:val="clear" w:color="auto" w:fill="E0E3F1"/>
          </w:tcPr>
          <w:p>
            <w:pPr>
              <w:spacing w:after="0"/>
              <w:rPr>
                <w:sz w:val="17"/>
                <w:szCs w:val="17"/>
                <w:color w:val="auto"/>
              </w:rPr>
            </w:pPr>
          </w:p>
        </w:tc>
        <w:tc>
          <w:tcPr>
            <w:tcW w:w="1380" w:type="dxa"/>
            <w:vAlign w:val="bottom"/>
            <w:gridSpan w:val="2"/>
            <w:shd w:val="clear" w:color="auto" w:fill="E0E3F1"/>
          </w:tcPr>
          <w:p>
            <w:pPr>
              <w:jc w:val="right"/>
              <w:spacing w:after="0"/>
              <w:rPr>
                <w:sz w:val="20"/>
                <w:szCs w:val="20"/>
                <w:color w:val="auto"/>
              </w:rPr>
            </w:pPr>
            <w:r>
              <w:rPr>
                <w:rFonts w:ascii="Arial" w:cs="Arial" w:eastAsia="Arial" w:hAnsi="Arial"/>
                <w:sz w:val="14"/>
                <w:szCs w:val="14"/>
                <w:color w:val="auto"/>
              </w:rPr>
              <w:t>147.3</w:t>
            </w:r>
          </w:p>
        </w:tc>
        <w:tc>
          <w:tcPr>
            <w:tcW w:w="280" w:type="dxa"/>
            <w:vAlign w:val="bottom"/>
          </w:tcPr>
          <w:p>
            <w:pPr>
              <w:spacing w:after="0"/>
              <w:rPr>
                <w:sz w:val="17"/>
                <w:szCs w:val="17"/>
                <w:color w:val="auto"/>
              </w:rPr>
            </w:pPr>
          </w:p>
        </w:tc>
        <w:tc>
          <w:tcPr>
            <w:tcW w:w="1240" w:type="dxa"/>
            <w:vAlign w:val="bottom"/>
            <w:gridSpan w:val="2"/>
          </w:tcPr>
          <w:p>
            <w:pPr>
              <w:jc w:val="right"/>
              <w:ind w:right="8"/>
              <w:spacing w:after="0"/>
              <w:rPr>
                <w:sz w:val="20"/>
                <w:szCs w:val="20"/>
                <w:color w:val="auto"/>
              </w:rPr>
            </w:pPr>
            <w:r>
              <w:rPr>
                <w:rFonts w:ascii="Arial" w:cs="Arial" w:eastAsia="Arial" w:hAnsi="Arial"/>
                <w:sz w:val="14"/>
                <w:szCs w:val="14"/>
                <w:color w:val="auto"/>
              </w:rPr>
              <w:t>122.4</w:t>
            </w:r>
          </w:p>
        </w:tc>
        <w:tc>
          <w:tcPr>
            <w:tcW w:w="1400" w:type="dxa"/>
            <w:vAlign w:val="bottom"/>
          </w:tcPr>
          <w:p>
            <w:pPr>
              <w:spacing w:after="0"/>
              <w:rPr>
                <w:sz w:val="17"/>
                <w:szCs w:val="17"/>
                <w:color w:val="auto"/>
              </w:rPr>
            </w:pPr>
          </w:p>
        </w:tc>
      </w:tr>
      <w:tr>
        <w:trPr>
          <w:trHeight w:val="207"/>
        </w:trPr>
        <w:tc>
          <w:tcPr>
            <w:tcW w:w="6640" w:type="dxa"/>
            <w:vAlign w:val="bottom"/>
            <w:tcBorders>
              <w:bottom w:val="single" w:sz="8" w:color="00539B"/>
            </w:tcBorders>
          </w:tcPr>
          <w:p>
            <w:pPr>
              <w:ind w:left="140"/>
              <w:spacing w:after="0"/>
              <w:rPr>
                <w:sz w:val="20"/>
                <w:szCs w:val="20"/>
                <w:color w:val="auto"/>
              </w:rPr>
            </w:pPr>
            <w:r>
              <w:rPr>
                <w:rFonts w:ascii="Arial" w:cs="Arial" w:eastAsia="Arial" w:hAnsi="Arial"/>
                <w:sz w:val="14"/>
                <w:szCs w:val="14"/>
                <w:color w:val="auto"/>
              </w:rPr>
              <w:t>Other</w:t>
            </w:r>
          </w:p>
        </w:tc>
        <w:tc>
          <w:tcPr>
            <w:tcW w:w="140" w:type="dxa"/>
            <w:vAlign w:val="bottom"/>
            <w:tcBorders>
              <w:bottom w:val="single" w:sz="8" w:color="00539B"/>
            </w:tcBorders>
          </w:tcPr>
          <w:p>
            <w:pPr>
              <w:spacing w:after="0"/>
              <w:rPr>
                <w:sz w:val="17"/>
                <w:szCs w:val="17"/>
                <w:color w:val="auto"/>
              </w:rPr>
            </w:pPr>
          </w:p>
        </w:tc>
        <w:tc>
          <w:tcPr>
            <w:tcW w:w="120" w:type="dxa"/>
            <w:vAlign w:val="bottom"/>
            <w:tcBorders>
              <w:bottom w:val="single" w:sz="8" w:color="00539B"/>
            </w:tcBorders>
            <w:shd w:val="clear" w:color="auto" w:fill="E0E3F1"/>
          </w:tcPr>
          <w:p>
            <w:pPr>
              <w:spacing w:after="0"/>
              <w:rPr>
                <w:sz w:val="17"/>
                <w:szCs w:val="17"/>
                <w:color w:val="auto"/>
              </w:rPr>
            </w:pPr>
          </w:p>
        </w:tc>
        <w:tc>
          <w:tcPr>
            <w:tcW w:w="1380" w:type="dxa"/>
            <w:vAlign w:val="bottom"/>
            <w:tcBorders>
              <w:bottom w:val="single" w:sz="8" w:color="00539B"/>
            </w:tcBorders>
            <w:gridSpan w:val="2"/>
            <w:shd w:val="clear" w:color="auto" w:fill="E0E3F1"/>
          </w:tcPr>
          <w:p>
            <w:pPr>
              <w:jc w:val="right"/>
              <w:spacing w:after="0"/>
              <w:rPr>
                <w:sz w:val="20"/>
                <w:szCs w:val="20"/>
                <w:color w:val="auto"/>
              </w:rPr>
            </w:pPr>
            <w:r>
              <w:rPr>
                <w:rFonts w:ascii="Arial" w:cs="Arial" w:eastAsia="Arial" w:hAnsi="Arial"/>
                <w:sz w:val="14"/>
                <w:szCs w:val="14"/>
                <w:color w:val="auto"/>
              </w:rPr>
              <w:t>145.6</w:t>
            </w:r>
          </w:p>
        </w:tc>
        <w:tc>
          <w:tcPr>
            <w:tcW w:w="280" w:type="dxa"/>
            <w:vAlign w:val="bottom"/>
            <w:tcBorders>
              <w:bottom w:val="single" w:sz="8" w:color="00539B"/>
            </w:tcBorders>
          </w:tcPr>
          <w:p>
            <w:pPr>
              <w:spacing w:after="0"/>
              <w:rPr>
                <w:sz w:val="17"/>
                <w:szCs w:val="17"/>
                <w:color w:val="auto"/>
              </w:rPr>
            </w:pPr>
          </w:p>
        </w:tc>
        <w:tc>
          <w:tcPr>
            <w:tcW w:w="1240" w:type="dxa"/>
            <w:vAlign w:val="bottom"/>
            <w:tcBorders>
              <w:bottom w:val="single" w:sz="8" w:color="00539B"/>
            </w:tcBorders>
            <w:gridSpan w:val="2"/>
          </w:tcPr>
          <w:p>
            <w:pPr>
              <w:jc w:val="right"/>
              <w:ind w:right="8"/>
              <w:spacing w:after="0"/>
              <w:rPr>
                <w:sz w:val="20"/>
                <w:szCs w:val="20"/>
                <w:color w:val="auto"/>
              </w:rPr>
            </w:pPr>
            <w:r>
              <w:rPr>
                <w:rFonts w:ascii="Arial" w:cs="Arial" w:eastAsia="Arial" w:hAnsi="Arial"/>
                <w:sz w:val="14"/>
                <w:szCs w:val="14"/>
                <w:color w:val="auto"/>
              </w:rPr>
              <w:t>176.7</w:t>
            </w:r>
          </w:p>
        </w:tc>
        <w:tc>
          <w:tcPr>
            <w:tcW w:w="1400" w:type="dxa"/>
            <w:vAlign w:val="bottom"/>
          </w:tcPr>
          <w:p>
            <w:pPr>
              <w:spacing w:after="0"/>
              <w:rPr>
                <w:sz w:val="17"/>
                <w:szCs w:val="17"/>
                <w:color w:val="auto"/>
              </w:rPr>
            </w:pPr>
          </w:p>
        </w:tc>
      </w:tr>
      <w:tr>
        <w:trPr>
          <w:trHeight w:val="196"/>
        </w:trPr>
        <w:tc>
          <w:tcPr>
            <w:tcW w:w="6640" w:type="dxa"/>
            <w:vAlign w:val="bottom"/>
            <w:tcBorders>
              <w:bottom w:val="single" w:sz="8" w:color="00539B"/>
            </w:tcBorders>
          </w:tcPr>
          <w:p>
            <w:pPr>
              <w:spacing w:after="0"/>
              <w:rPr>
                <w:sz w:val="17"/>
                <w:szCs w:val="17"/>
                <w:color w:val="auto"/>
              </w:rPr>
            </w:pPr>
          </w:p>
        </w:tc>
        <w:tc>
          <w:tcPr>
            <w:tcW w:w="140" w:type="dxa"/>
            <w:vAlign w:val="bottom"/>
            <w:tcBorders>
              <w:bottom w:val="single" w:sz="8" w:color="00539B"/>
            </w:tcBorders>
          </w:tcPr>
          <w:p>
            <w:pPr>
              <w:spacing w:after="0"/>
              <w:rPr>
                <w:sz w:val="17"/>
                <w:szCs w:val="17"/>
                <w:color w:val="auto"/>
              </w:rPr>
            </w:pPr>
          </w:p>
        </w:tc>
        <w:tc>
          <w:tcPr>
            <w:tcW w:w="12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00539B"/>
            </w:tcBorders>
            <w:gridSpan w:val="2"/>
            <w:shd w:val="clear" w:color="auto" w:fill="E0E3F1"/>
          </w:tcPr>
          <w:p>
            <w:pPr>
              <w:jc w:val="right"/>
              <w:spacing w:after="0"/>
              <w:rPr>
                <w:sz w:val="20"/>
                <w:szCs w:val="20"/>
                <w:color w:val="auto"/>
              </w:rPr>
            </w:pPr>
            <w:r>
              <w:rPr>
                <w:rFonts w:ascii="Arial" w:cs="Arial" w:eastAsia="Arial" w:hAnsi="Arial"/>
                <w:sz w:val="14"/>
                <w:szCs w:val="14"/>
                <w:color w:val="auto"/>
              </w:rPr>
              <w:t>1,019.1</w:t>
            </w:r>
          </w:p>
        </w:tc>
        <w:tc>
          <w:tcPr>
            <w:tcW w:w="280" w:type="dxa"/>
            <w:vAlign w:val="bottom"/>
            <w:tcBorders>
              <w:bottom w:val="single" w:sz="8" w:color="00539B"/>
            </w:tcBorders>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00539B"/>
            </w:tcBorders>
            <w:gridSpan w:val="2"/>
          </w:tcPr>
          <w:p>
            <w:pPr>
              <w:jc w:val="right"/>
              <w:ind w:right="8"/>
              <w:spacing w:after="0"/>
              <w:rPr>
                <w:sz w:val="20"/>
                <w:szCs w:val="20"/>
                <w:color w:val="auto"/>
              </w:rPr>
            </w:pPr>
            <w:r>
              <w:rPr>
                <w:rFonts w:ascii="Arial" w:cs="Arial" w:eastAsia="Arial" w:hAnsi="Arial"/>
                <w:sz w:val="14"/>
                <w:szCs w:val="14"/>
                <w:color w:val="auto"/>
              </w:rPr>
              <w:t>971.9</w:t>
            </w:r>
          </w:p>
        </w:tc>
        <w:tc>
          <w:tcPr>
            <w:tcW w:w="1400" w:type="dxa"/>
            <w:vAlign w:val="bottom"/>
          </w:tcPr>
          <w:p>
            <w:pPr>
              <w:spacing w:after="0"/>
              <w:rPr>
                <w:sz w:val="17"/>
                <w:szCs w:val="17"/>
                <w:color w:val="auto"/>
              </w:rPr>
            </w:pPr>
          </w:p>
        </w:tc>
      </w:tr>
      <w:tr>
        <w:trPr>
          <w:trHeight w:val="192"/>
        </w:trPr>
        <w:tc>
          <w:tcPr>
            <w:tcW w:w="6640" w:type="dxa"/>
            <w:vAlign w:val="bottom"/>
          </w:tcPr>
          <w:p>
            <w:pPr>
              <w:ind w:left="20"/>
              <w:spacing w:after="0"/>
              <w:rPr>
                <w:sz w:val="20"/>
                <w:szCs w:val="20"/>
                <w:color w:val="auto"/>
              </w:rPr>
            </w:pPr>
            <w:r>
              <w:rPr>
                <w:rFonts w:ascii="Arial" w:cs="Arial" w:eastAsia="Arial" w:hAnsi="Arial"/>
                <w:sz w:val="14"/>
                <w:szCs w:val="14"/>
                <w:color w:val="auto"/>
              </w:rPr>
              <w:t>Other accrued liabilities</w:t>
            </w:r>
          </w:p>
        </w:tc>
        <w:tc>
          <w:tcPr>
            <w:tcW w:w="140" w:type="dxa"/>
            <w:vAlign w:val="bottom"/>
          </w:tcPr>
          <w:p>
            <w:pPr>
              <w:spacing w:after="0"/>
              <w:rPr>
                <w:sz w:val="16"/>
                <w:szCs w:val="16"/>
                <w:color w:val="auto"/>
              </w:rPr>
            </w:pPr>
          </w:p>
        </w:tc>
        <w:tc>
          <w:tcPr>
            <w:tcW w:w="120" w:type="dxa"/>
            <w:vAlign w:val="bottom"/>
            <w:shd w:val="clear" w:color="auto" w:fill="E0E3F1"/>
          </w:tcPr>
          <w:p>
            <w:pPr>
              <w:spacing w:after="0"/>
              <w:rPr>
                <w:sz w:val="16"/>
                <w:szCs w:val="16"/>
                <w:color w:val="auto"/>
              </w:rPr>
            </w:pPr>
          </w:p>
        </w:tc>
        <w:tc>
          <w:tcPr>
            <w:tcW w:w="1260" w:type="dxa"/>
            <w:vAlign w:val="bottom"/>
            <w:shd w:val="clear" w:color="auto" w:fill="E0E3F1"/>
          </w:tcPr>
          <w:p>
            <w:pPr>
              <w:spacing w:after="0"/>
              <w:rPr>
                <w:sz w:val="16"/>
                <w:szCs w:val="16"/>
                <w:color w:val="auto"/>
              </w:rPr>
            </w:pPr>
          </w:p>
        </w:tc>
        <w:tc>
          <w:tcPr>
            <w:tcW w:w="120" w:type="dxa"/>
            <w:vAlign w:val="bottom"/>
            <w:shd w:val="clear" w:color="auto" w:fill="E0E3F1"/>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03"/>
        </w:trPr>
        <w:tc>
          <w:tcPr>
            <w:tcW w:w="6640" w:type="dxa"/>
            <w:vAlign w:val="bottom"/>
          </w:tcPr>
          <w:p>
            <w:pPr>
              <w:ind w:left="140"/>
              <w:spacing w:after="0"/>
              <w:rPr>
                <w:sz w:val="20"/>
                <w:szCs w:val="20"/>
                <w:color w:val="auto"/>
              </w:rPr>
            </w:pPr>
            <w:r>
              <w:rPr>
                <w:rFonts w:ascii="Arial" w:cs="Arial" w:eastAsia="Arial" w:hAnsi="Arial"/>
                <w:sz w:val="14"/>
                <w:szCs w:val="14"/>
                <w:color w:val="auto"/>
              </w:rPr>
              <w:t>Payroll and employee benefits</w:t>
            </w:r>
          </w:p>
        </w:tc>
        <w:tc>
          <w:tcPr>
            <w:tcW w:w="140" w:type="dxa"/>
            <w:vAlign w:val="bottom"/>
          </w:tcPr>
          <w:p>
            <w:pPr>
              <w:spacing w:after="0"/>
              <w:rPr>
                <w:sz w:val="17"/>
                <w:szCs w:val="17"/>
                <w:color w:val="auto"/>
              </w:rPr>
            </w:pPr>
          </w:p>
        </w:tc>
        <w:tc>
          <w:tcPr>
            <w:tcW w:w="120" w:type="dxa"/>
            <w:vAlign w:val="bottom"/>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E0E3F1"/>
          </w:tcPr>
          <w:p>
            <w:pPr>
              <w:jc w:val="right"/>
              <w:spacing w:after="0"/>
              <w:rPr>
                <w:sz w:val="20"/>
                <w:szCs w:val="20"/>
                <w:color w:val="auto"/>
              </w:rPr>
            </w:pPr>
            <w:r>
              <w:rPr>
                <w:rFonts w:ascii="Arial" w:cs="Arial" w:eastAsia="Arial" w:hAnsi="Arial"/>
                <w:sz w:val="14"/>
                <w:szCs w:val="14"/>
                <w:color w:val="auto"/>
              </w:rPr>
              <w:t>168.2</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8"/>
              <w:spacing w:after="0"/>
              <w:rPr>
                <w:sz w:val="20"/>
                <w:szCs w:val="20"/>
                <w:color w:val="auto"/>
              </w:rPr>
            </w:pPr>
            <w:r>
              <w:rPr>
                <w:rFonts w:ascii="Arial" w:cs="Arial" w:eastAsia="Arial" w:hAnsi="Arial"/>
                <w:sz w:val="14"/>
                <w:szCs w:val="14"/>
                <w:color w:val="auto"/>
              </w:rPr>
              <w:t>192.8</w:t>
            </w:r>
          </w:p>
        </w:tc>
        <w:tc>
          <w:tcPr>
            <w:tcW w:w="1400" w:type="dxa"/>
            <w:vAlign w:val="bottom"/>
          </w:tcPr>
          <w:p>
            <w:pPr>
              <w:spacing w:after="0"/>
              <w:rPr>
                <w:sz w:val="17"/>
                <w:szCs w:val="17"/>
                <w:color w:val="auto"/>
              </w:rPr>
            </w:pPr>
          </w:p>
        </w:tc>
      </w:tr>
      <w:tr>
        <w:trPr>
          <w:trHeight w:val="203"/>
        </w:trPr>
        <w:tc>
          <w:tcPr>
            <w:tcW w:w="6640" w:type="dxa"/>
            <w:vAlign w:val="bottom"/>
          </w:tcPr>
          <w:p>
            <w:pPr>
              <w:ind w:left="140"/>
              <w:spacing w:after="0"/>
              <w:rPr>
                <w:sz w:val="20"/>
                <w:szCs w:val="20"/>
                <w:color w:val="auto"/>
              </w:rPr>
            </w:pPr>
            <w:r>
              <w:rPr>
                <w:rFonts w:ascii="Arial" w:cs="Arial" w:eastAsia="Arial" w:hAnsi="Arial"/>
                <w:sz w:val="14"/>
                <w:szCs w:val="14"/>
                <w:color w:val="auto"/>
              </w:rPr>
              <w:t>Sales allowances</w:t>
            </w:r>
          </w:p>
        </w:tc>
        <w:tc>
          <w:tcPr>
            <w:tcW w:w="140" w:type="dxa"/>
            <w:vAlign w:val="bottom"/>
          </w:tcPr>
          <w:p>
            <w:pPr>
              <w:spacing w:after="0"/>
              <w:rPr>
                <w:sz w:val="17"/>
                <w:szCs w:val="17"/>
                <w:color w:val="auto"/>
              </w:rPr>
            </w:pPr>
          </w:p>
        </w:tc>
        <w:tc>
          <w:tcPr>
            <w:tcW w:w="120" w:type="dxa"/>
            <w:vAlign w:val="bottom"/>
            <w:shd w:val="clear" w:color="auto" w:fill="E0E3F1"/>
          </w:tcPr>
          <w:p>
            <w:pPr>
              <w:spacing w:after="0"/>
              <w:rPr>
                <w:sz w:val="17"/>
                <w:szCs w:val="17"/>
                <w:color w:val="auto"/>
              </w:rPr>
            </w:pPr>
          </w:p>
        </w:tc>
        <w:tc>
          <w:tcPr>
            <w:tcW w:w="1380" w:type="dxa"/>
            <w:vAlign w:val="bottom"/>
            <w:gridSpan w:val="2"/>
            <w:shd w:val="clear" w:color="auto" w:fill="E0E3F1"/>
          </w:tcPr>
          <w:p>
            <w:pPr>
              <w:jc w:val="right"/>
              <w:spacing w:after="0"/>
              <w:rPr>
                <w:sz w:val="20"/>
                <w:szCs w:val="20"/>
                <w:color w:val="auto"/>
              </w:rPr>
            </w:pPr>
            <w:r>
              <w:rPr>
                <w:rFonts w:ascii="Arial" w:cs="Arial" w:eastAsia="Arial" w:hAnsi="Arial"/>
                <w:sz w:val="14"/>
                <w:szCs w:val="14"/>
                <w:color w:val="auto"/>
              </w:rPr>
              <w:t>228.8</w:t>
            </w:r>
          </w:p>
        </w:tc>
        <w:tc>
          <w:tcPr>
            <w:tcW w:w="280" w:type="dxa"/>
            <w:vAlign w:val="bottom"/>
          </w:tcPr>
          <w:p>
            <w:pPr>
              <w:spacing w:after="0"/>
              <w:rPr>
                <w:sz w:val="17"/>
                <w:szCs w:val="17"/>
                <w:color w:val="auto"/>
              </w:rPr>
            </w:pPr>
          </w:p>
        </w:tc>
        <w:tc>
          <w:tcPr>
            <w:tcW w:w="1240" w:type="dxa"/>
            <w:vAlign w:val="bottom"/>
            <w:gridSpan w:val="2"/>
          </w:tcPr>
          <w:p>
            <w:pPr>
              <w:jc w:val="right"/>
              <w:ind w:right="8"/>
              <w:spacing w:after="0"/>
              <w:rPr>
                <w:sz w:val="20"/>
                <w:szCs w:val="20"/>
                <w:color w:val="auto"/>
              </w:rPr>
            </w:pPr>
            <w:r>
              <w:rPr>
                <w:rFonts w:ascii="Arial" w:cs="Arial" w:eastAsia="Arial" w:hAnsi="Arial"/>
                <w:sz w:val="14"/>
                <w:szCs w:val="14"/>
                <w:color w:val="auto"/>
              </w:rPr>
              <w:t>206.4</w:t>
            </w:r>
          </w:p>
        </w:tc>
        <w:tc>
          <w:tcPr>
            <w:tcW w:w="1400" w:type="dxa"/>
            <w:vAlign w:val="bottom"/>
          </w:tcPr>
          <w:p>
            <w:pPr>
              <w:spacing w:after="0"/>
              <w:rPr>
                <w:sz w:val="17"/>
                <w:szCs w:val="17"/>
                <w:color w:val="auto"/>
              </w:rPr>
            </w:pPr>
          </w:p>
        </w:tc>
      </w:tr>
      <w:tr>
        <w:trPr>
          <w:trHeight w:val="203"/>
        </w:trPr>
        <w:tc>
          <w:tcPr>
            <w:tcW w:w="6640" w:type="dxa"/>
            <w:vAlign w:val="bottom"/>
          </w:tcPr>
          <w:p>
            <w:pPr>
              <w:ind w:left="140"/>
              <w:spacing w:after="0"/>
              <w:rPr>
                <w:sz w:val="20"/>
                <w:szCs w:val="20"/>
                <w:color w:val="auto"/>
              </w:rPr>
            </w:pPr>
            <w:r>
              <w:rPr>
                <w:rFonts w:ascii="Arial" w:cs="Arial" w:eastAsia="Arial" w:hAnsi="Arial"/>
                <w:sz w:val="14"/>
                <w:szCs w:val="14"/>
                <w:color w:val="auto"/>
              </w:rPr>
              <w:t>Dividends payable</w:t>
            </w:r>
          </w:p>
        </w:tc>
        <w:tc>
          <w:tcPr>
            <w:tcW w:w="140" w:type="dxa"/>
            <w:vAlign w:val="bottom"/>
          </w:tcPr>
          <w:p>
            <w:pPr>
              <w:spacing w:after="0"/>
              <w:rPr>
                <w:sz w:val="17"/>
                <w:szCs w:val="17"/>
                <w:color w:val="auto"/>
              </w:rPr>
            </w:pPr>
          </w:p>
        </w:tc>
        <w:tc>
          <w:tcPr>
            <w:tcW w:w="120" w:type="dxa"/>
            <w:vAlign w:val="bottom"/>
            <w:shd w:val="clear" w:color="auto" w:fill="E0E3F1"/>
          </w:tcPr>
          <w:p>
            <w:pPr>
              <w:spacing w:after="0"/>
              <w:rPr>
                <w:sz w:val="17"/>
                <w:szCs w:val="17"/>
                <w:color w:val="auto"/>
              </w:rPr>
            </w:pPr>
          </w:p>
        </w:tc>
        <w:tc>
          <w:tcPr>
            <w:tcW w:w="1380" w:type="dxa"/>
            <w:vAlign w:val="bottom"/>
            <w:gridSpan w:val="2"/>
            <w:shd w:val="clear" w:color="auto" w:fill="E0E3F1"/>
          </w:tcPr>
          <w:p>
            <w:pPr>
              <w:jc w:val="right"/>
              <w:spacing w:after="0"/>
              <w:rPr>
                <w:sz w:val="20"/>
                <w:szCs w:val="20"/>
                <w:color w:val="auto"/>
              </w:rPr>
            </w:pPr>
            <w:r>
              <w:rPr>
                <w:rFonts w:ascii="Arial" w:cs="Arial" w:eastAsia="Arial" w:hAnsi="Arial"/>
                <w:sz w:val="14"/>
                <w:szCs w:val="14"/>
                <w:color w:val="auto"/>
              </w:rPr>
              <w:t>128.9</w:t>
            </w:r>
          </w:p>
        </w:tc>
        <w:tc>
          <w:tcPr>
            <w:tcW w:w="280" w:type="dxa"/>
            <w:vAlign w:val="bottom"/>
          </w:tcPr>
          <w:p>
            <w:pPr>
              <w:spacing w:after="0"/>
              <w:rPr>
                <w:sz w:val="17"/>
                <w:szCs w:val="17"/>
                <w:color w:val="auto"/>
              </w:rPr>
            </w:pPr>
          </w:p>
        </w:tc>
        <w:tc>
          <w:tcPr>
            <w:tcW w:w="1240" w:type="dxa"/>
            <w:vAlign w:val="bottom"/>
            <w:gridSpan w:val="2"/>
          </w:tcPr>
          <w:p>
            <w:pPr>
              <w:jc w:val="right"/>
              <w:ind w:right="8"/>
              <w:spacing w:after="0"/>
              <w:rPr>
                <w:sz w:val="20"/>
                <w:szCs w:val="20"/>
                <w:color w:val="auto"/>
              </w:rPr>
            </w:pPr>
            <w:r>
              <w:rPr>
                <w:rFonts w:ascii="Arial" w:cs="Arial" w:eastAsia="Arial" w:hAnsi="Arial"/>
                <w:sz w:val="14"/>
                <w:szCs w:val="14"/>
                <w:color w:val="auto"/>
              </w:rPr>
              <w:t>120.7</w:t>
            </w:r>
          </w:p>
        </w:tc>
        <w:tc>
          <w:tcPr>
            <w:tcW w:w="1400" w:type="dxa"/>
            <w:vAlign w:val="bottom"/>
          </w:tcPr>
          <w:p>
            <w:pPr>
              <w:spacing w:after="0"/>
              <w:rPr>
                <w:sz w:val="17"/>
                <w:szCs w:val="17"/>
                <w:color w:val="auto"/>
              </w:rPr>
            </w:pPr>
          </w:p>
        </w:tc>
      </w:tr>
      <w:tr>
        <w:trPr>
          <w:trHeight w:val="207"/>
        </w:trPr>
        <w:tc>
          <w:tcPr>
            <w:tcW w:w="6640" w:type="dxa"/>
            <w:vAlign w:val="bottom"/>
            <w:tcBorders>
              <w:bottom w:val="single" w:sz="8" w:color="00539B"/>
            </w:tcBorders>
          </w:tcPr>
          <w:p>
            <w:pPr>
              <w:ind w:left="140"/>
              <w:spacing w:after="0"/>
              <w:rPr>
                <w:sz w:val="20"/>
                <w:szCs w:val="20"/>
                <w:color w:val="auto"/>
              </w:rPr>
            </w:pPr>
            <w:r>
              <w:rPr>
                <w:rFonts w:ascii="Arial" w:cs="Arial" w:eastAsia="Arial" w:hAnsi="Arial"/>
                <w:sz w:val="14"/>
                <w:szCs w:val="14"/>
                <w:color w:val="auto"/>
              </w:rPr>
              <w:t>Other</w:t>
            </w:r>
          </w:p>
        </w:tc>
        <w:tc>
          <w:tcPr>
            <w:tcW w:w="140" w:type="dxa"/>
            <w:vAlign w:val="bottom"/>
            <w:tcBorders>
              <w:bottom w:val="single" w:sz="8" w:color="00539B"/>
            </w:tcBorders>
          </w:tcPr>
          <w:p>
            <w:pPr>
              <w:spacing w:after="0"/>
              <w:rPr>
                <w:sz w:val="17"/>
                <w:szCs w:val="17"/>
                <w:color w:val="auto"/>
              </w:rPr>
            </w:pPr>
          </w:p>
        </w:tc>
        <w:tc>
          <w:tcPr>
            <w:tcW w:w="120" w:type="dxa"/>
            <w:vAlign w:val="bottom"/>
            <w:tcBorders>
              <w:bottom w:val="single" w:sz="8" w:color="00539B"/>
            </w:tcBorders>
            <w:shd w:val="clear" w:color="auto" w:fill="E0E3F1"/>
          </w:tcPr>
          <w:p>
            <w:pPr>
              <w:spacing w:after="0"/>
              <w:rPr>
                <w:sz w:val="17"/>
                <w:szCs w:val="17"/>
                <w:color w:val="auto"/>
              </w:rPr>
            </w:pPr>
          </w:p>
        </w:tc>
        <w:tc>
          <w:tcPr>
            <w:tcW w:w="1380" w:type="dxa"/>
            <w:vAlign w:val="bottom"/>
            <w:tcBorders>
              <w:bottom w:val="single" w:sz="8" w:color="00539B"/>
            </w:tcBorders>
            <w:gridSpan w:val="2"/>
            <w:shd w:val="clear" w:color="auto" w:fill="E0E3F1"/>
          </w:tcPr>
          <w:p>
            <w:pPr>
              <w:jc w:val="right"/>
              <w:spacing w:after="0"/>
              <w:rPr>
                <w:sz w:val="20"/>
                <w:szCs w:val="20"/>
                <w:color w:val="auto"/>
              </w:rPr>
            </w:pPr>
            <w:r>
              <w:rPr>
                <w:rFonts w:ascii="Arial" w:cs="Arial" w:eastAsia="Arial" w:hAnsi="Arial"/>
                <w:sz w:val="14"/>
                <w:szCs w:val="14"/>
                <w:color w:val="auto"/>
              </w:rPr>
              <w:t>386.4</w:t>
            </w:r>
          </w:p>
        </w:tc>
        <w:tc>
          <w:tcPr>
            <w:tcW w:w="280" w:type="dxa"/>
            <w:vAlign w:val="bottom"/>
            <w:tcBorders>
              <w:bottom w:val="single" w:sz="8" w:color="00539B"/>
            </w:tcBorders>
          </w:tcPr>
          <w:p>
            <w:pPr>
              <w:spacing w:after="0"/>
              <w:rPr>
                <w:sz w:val="17"/>
                <w:szCs w:val="17"/>
                <w:color w:val="auto"/>
              </w:rPr>
            </w:pPr>
          </w:p>
        </w:tc>
        <w:tc>
          <w:tcPr>
            <w:tcW w:w="1240" w:type="dxa"/>
            <w:vAlign w:val="bottom"/>
            <w:tcBorders>
              <w:bottom w:val="single" w:sz="8" w:color="00539B"/>
            </w:tcBorders>
            <w:gridSpan w:val="2"/>
          </w:tcPr>
          <w:p>
            <w:pPr>
              <w:jc w:val="right"/>
              <w:ind w:right="8"/>
              <w:spacing w:after="0"/>
              <w:rPr>
                <w:sz w:val="20"/>
                <w:szCs w:val="20"/>
                <w:color w:val="auto"/>
              </w:rPr>
            </w:pPr>
            <w:r>
              <w:rPr>
                <w:rFonts w:ascii="Arial" w:cs="Arial" w:eastAsia="Arial" w:hAnsi="Arial"/>
                <w:sz w:val="14"/>
                <w:szCs w:val="14"/>
                <w:color w:val="auto"/>
              </w:rPr>
              <w:t>376.5</w:t>
            </w:r>
          </w:p>
        </w:tc>
        <w:tc>
          <w:tcPr>
            <w:tcW w:w="1400" w:type="dxa"/>
            <w:vAlign w:val="bottom"/>
          </w:tcPr>
          <w:p>
            <w:pPr>
              <w:spacing w:after="0"/>
              <w:rPr>
                <w:sz w:val="17"/>
                <w:szCs w:val="17"/>
                <w:color w:val="auto"/>
              </w:rPr>
            </w:pPr>
          </w:p>
        </w:tc>
      </w:tr>
      <w:tr>
        <w:trPr>
          <w:trHeight w:val="196"/>
        </w:trPr>
        <w:tc>
          <w:tcPr>
            <w:tcW w:w="6640" w:type="dxa"/>
            <w:vAlign w:val="bottom"/>
            <w:tcBorders>
              <w:bottom w:val="single" w:sz="8" w:color="00539B"/>
            </w:tcBorders>
          </w:tcPr>
          <w:p>
            <w:pPr>
              <w:spacing w:after="0"/>
              <w:rPr>
                <w:sz w:val="17"/>
                <w:szCs w:val="17"/>
                <w:color w:val="auto"/>
              </w:rPr>
            </w:pPr>
          </w:p>
        </w:tc>
        <w:tc>
          <w:tcPr>
            <w:tcW w:w="140" w:type="dxa"/>
            <w:vAlign w:val="bottom"/>
            <w:tcBorders>
              <w:bottom w:val="single" w:sz="8" w:color="00539B"/>
            </w:tcBorders>
          </w:tcPr>
          <w:p>
            <w:pPr>
              <w:spacing w:after="0"/>
              <w:rPr>
                <w:sz w:val="17"/>
                <w:szCs w:val="17"/>
                <w:color w:val="auto"/>
              </w:rPr>
            </w:pPr>
          </w:p>
        </w:tc>
        <w:tc>
          <w:tcPr>
            <w:tcW w:w="12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00539B"/>
            </w:tcBorders>
            <w:gridSpan w:val="2"/>
            <w:shd w:val="clear" w:color="auto" w:fill="E0E3F1"/>
          </w:tcPr>
          <w:p>
            <w:pPr>
              <w:jc w:val="right"/>
              <w:spacing w:after="0"/>
              <w:rPr>
                <w:sz w:val="20"/>
                <w:szCs w:val="20"/>
                <w:color w:val="auto"/>
              </w:rPr>
            </w:pPr>
            <w:r>
              <w:rPr>
                <w:rFonts w:ascii="Arial" w:cs="Arial" w:eastAsia="Arial" w:hAnsi="Arial"/>
                <w:sz w:val="14"/>
                <w:szCs w:val="14"/>
                <w:color w:val="auto"/>
              </w:rPr>
              <w:t>912.3</w:t>
            </w:r>
          </w:p>
        </w:tc>
        <w:tc>
          <w:tcPr>
            <w:tcW w:w="280" w:type="dxa"/>
            <w:vAlign w:val="bottom"/>
            <w:tcBorders>
              <w:bottom w:val="single" w:sz="8" w:color="00539B"/>
            </w:tcBorders>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00539B"/>
            </w:tcBorders>
            <w:gridSpan w:val="2"/>
          </w:tcPr>
          <w:p>
            <w:pPr>
              <w:jc w:val="right"/>
              <w:ind w:right="8"/>
              <w:spacing w:after="0"/>
              <w:rPr>
                <w:sz w:val="20"/>
                <w:szCs w:val="20"/>
                <w:color w:val="auto"/>
              </w:rPr>
            </w:pPr>
            <w:r>
              <w:rPr>
                <w:rFonts w:ascii="Arial" w:cs="Arial" w:eastAsia="Arial" w:hAnsi="Arial"/>
                <w:sz w:val="14"/>
                <w:szCs w:val="14"/>
                <w:color w:val="auto"/>
              </w:rPr>
              <w:t>896.4</w:t>
            </w:r>
          </w:p>
        </w:tc>
        <w:tc>
          <w:tcPr>
            <w:tcW w:w="1400" w:type="dxa"/>
            <w:vAlign w:val="bottom"/>
          </w:tcPr>
          <w:p>
            <w:pPr>
              <w:spacing w:after="0"/>
              <w:rPr>
                <w:sz w:val="17"/>
                <w:szCs w:val="17"/>
                <w:color w:val="auto"/>
              </w:rPr>
            </w:pPr>
          </w:p>
        </w:tc>
      </w:tr>
      <w:tr>
        <w:trPr>
          <w:trHeight w:val="192"/>
        </w:trPr>
        <w:tc>
          <w:tcPr>
            <w:tcW w:w="6640" w:type="dxa"/>
            <w:vAlign w:val="bottom"/>
          </w:tcPr>
          <w:p>
            <w:pPr>
              <w:ind w:left="20"/>
              <w:spacing w:after="0"/>
              <w:rPr>
                <w:sz w:val="20"/>
                <w:szCs w:val="20"/>
                <w:color w:val="auto"/>
              </w:rPr>
            </w:pPr>
            <w:r>
              <w:rPr>
                <w:rFonts w:ascii="Arial" w:cs="Arial" w:eastAsia="Arial" w:hAnsi="Arial"/>
                <w:sz w:val="14"/>
                <w:szCs w:val="14"/>
                <w:color w:val="auto"/>
              </w:rPr>
              <w:t>Other long-term liabilities</w:t>
            </w:r>
          </w:p>
        </w:tc>
        <w:tc>
          <w:tcPr>
            <w:tcW w:w="140" w:type="dxa"/>
            <w:vAlign w:val="bottom"/>
          </w:tcPr>
          <w:p>
            <w:pPr>
              <w:spacing w:after="0"/>
              <w:rPr>
                <w:sz w:val="16"/>
                <w:szCs w:val="16"/>
                <w:color w:val="auto"/>
              </w:rPr>
            </w:pPr>
          </w:p>
        </w:tc>
        <w:tc>
          <w:tcPr>
            <w:tcW w:w="120" w:type="dxa"/>
            <w:vAlign w:val="bottom"/>
            <w:shd w:val="clear" w:color="auto" w:fill="E0E3F1"/>
          </w:tcPr>
          <w:p>
            <w:pPr>
              <w:spacing w:after="0"/>
              <w:rPr>
                <w:sz w:val="16"/>
                <w:szCs w:val="16"/>
                <w:color w:val="auto"/>
              </w:rPr>
            </w:pPr>
          </w:p>
        </w:tc>
        <w:tc>
          <w:tcPr>
            <w:tcW w:w="1260" w:type="dxa"/>
            <w:vAlign w:val="bottom"/>
            <w:shd w:val="clear" w:color="auto" w:fill="E0E3F1"/>
          </w:tcPr>
          <w:p>
            <w:pPr>
              <w:spacing w:after="0"/>
              <w:rPr>
                <w:sz w:val="16"/>
                <w:szCs w:val="16"/>
                <w:color w:val="auto"/>
              </w:rPr>
            </w:pPr>
          </w:p>
        </w:tc>
        <w:tc>
          <w:tcPr>
            <w:tcW w:w="120" w:type="dxa"/>
            <w:vAlign w:val="bottom"/>
            <w:shd w:val="clear" w:color="auto" w:fill="E0E3F1"/>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03"/>
        </w:trPr>
        <w:tc>
          <w:tcPr>
            <w:tcW w:w="6640" w:type="dxa"/>
            <w:vAlign w:val="bottom"/>
          </w:tcPr>
          <w:p>
            <w:pPr>
              <w:ind w:left="140"/>
              <w:spacing w:after="0"/>
              <w:rPr>
                <w:sz w:val="20"/>
                <w:szCs w:val="20"/>
                <w:color w:val="auto"/>
              </w:rPr>
            </w:pPr>
            <w:r>
              <w:rPr>
                <w:rFonts w:ascii="Arial" w:cs="Arial" w:eastAsia="Arial" w:hAnsi="Arial"/>
                <w:sz w:val="14"/>
                <w:szCs w:val="14"/>
                <w:color w:val="auto"/>
              </w:rPr>
              <w:t>Pension</w:t>
            </w:r>
          </w:p>
        </w:tc>
        <w:tc>
          <w:tcPr>
            <w:tcW w:w="140" w:type="dxa"/>
            <w:vAlign w:val="bottom"/>
          </w:tcPr>
          <w:p>
            <w:pPr>
              <w:spacing w:after="0"/>
              <w:rPr>
                <w:sz w:val="17"/>
                <w:szCs w:val="17"/>
                <w:color w:val="auto"/>
              </w:rPr>
            </w:pPr>
          </w:p>
        </w:tc>
        <w:tc>
          <w:tcPr>
            <w:tcW w:w="120" w:type="dxa"/>
            <w:vAlign w:val="bottom"/>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E0E3F1"/>
          </w:tcPr>
          <w:p>
            <w:pPr>
              <w:jc w:val="right"/>
              <w:spacing w:after="0"/>
              <w:rPr>
                <w:sz w:val="20"/>
                <w:szCs w:val="20"/>
                <w:color w:val="auto"/>
              </w:rPr>
            </w:pPr>
            <w:r>
              <w:rPr>
                <w:rFonts w:ascii="Arial" w:cs="Arial" w:eastAsia="Arial" w:hAnsi="Arial"/>
                <w:sz w:val="14"/>
                <w:szCs w:val="14"/>
                <w:color w:val="auto"/>
              </w:rPr>
              <w:t>79.1</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8"/>
              <w:spacing w:after="0"/>
              <w:rPr>
                <w:sz w:val="20"/>
                <w:szCs w:val="20"/>
                <w:color w:val="auto"/>
              </w:rPr>
            </w:pPr>
            <w:r>
              <w:rPr>
                <w:rFonts w:ascii="Arial" w:cs="Arial" w:eastAsia="Arial" w:hAnsi="Arial"/>
                <w:sz w:val="14"/>
                <w:szCs w:val="14"/>
                <w:color w:val="auto"/>
              </w:rPr>
              <w:t>84.4</w:t>
            </w:r>
          </w:p>
        </w:tc>
        <w:tc>
          <w:tcPr>
            <w:tcW w:w="1400" w:type="dxa"/>
            <w:vAlign w:val="bottom"/>
          </w:tcPr>
          <w:p>
            <w:pPr>
              <w:spacing w:after="0"/>
              <w:rPr>
                <w:sz w:val="17"/>
                <w:szCs w:val="17"/>
                <w:color w:val="auto"/>
              </w:rPr>
            </w:pPr>
          </w:p>
        </w:tc>
      </w:tr>
      <w:tr>
        <w:trPr>
          <w:trHeight w:val="203"/>
        </w:trPr>
        <w:tc>
          <w:tcPr>
            <w:tcW w:w="6640" w:type="dxa"/>
            <w:vAlign w:val="bottom"/>
          </w:tcPr>
          <w:p>
            <w:pPr>
              <w:ind w:left="140"/>
              <w:spacing w:after="0"/>
              <w:rPr>
                <w:sz w:val="20"/>
                <w:szCs w:val="20"/>
                <w:color w:val="auto"/>
              </w:rPr>
            </w:pPr>
            <w:r>
              <w:rPr>
                <w:rFonts w:ascii="Arial" w:cs="Arial" w:eastAsia="Arial" w:hAnsi="Arial"/>
                <w:sz w:val="14"/>
                <w:szCs w:val="14"/>
                <w:color w:val="auto"/>
              </w:rPr>
              <w:t>Postretirement benefits</w:t>
            </w:r>
          </w:p>
        </w:tc>
        <w:tc>
          <w:tcPr>
            <w:tcW w:w="140" w:type="dxa"/>
            <w:vAlign w:val="bottom"/>
          </w:tcPr>
          <w:p>
            <w:pPr>
              <w:spacing w:after="0"/>
              <w:rPr>
                <w:sz w:val="17"/>
                <w:szCs w:val="17"/>
                <w:color w:val="auto"/>
              </w:rPr>
            </w:pPr>
          </w:p>
        </w:tc>
        <w:tc>
          <w:tcPr>
            <w:tcW w:w="120" w:type="dxa"/>
            <w:vAlign w:val="bottom"/>
            <w:shd w:val="clear" w:color="auto" w:fill="E0E3F1"/>
          </w:tcPr>
          <w:p>
            <w:pPr>
              <w:spacing w:after="0"/>
              <w:rPr>
                <w:sz w:val="17"/>
                <w:szCs w:val="17"/>
                <w:color w:val="auto"/>
              </w:rPr>
            </w:pPr>
          </w:p>
        </w:tc>
        <w:tc>
          <w:tcPr>
            <w:tcW w:w="1380" w:type="dxa"/>
            <w:vAlign w:val="bottom"/>
            <w:gridSpan w:val="2"/>
            <w:shd w:val="clear" w:color="auto" w:fill="E0E3F1"/>
          </w:tcPr>
          <w:p>
            <w:pPr>
              <w:jc w:val="right"/>
              <w:spacing w:after="0"/>
              <w:rPr>
                <w:sz w:val="20"/>
                <w:szCs w:val="20"/>
                <w:color w:val="auto"/>
              </w:rPr>
            </w:pPr>
            <w:r>
              <w:rPr>
                <w:rFonts w:ascii="Arial" w:cs="Arial" w:eastAsia="Arial" w:hAnsi="Arial"/>
                <w:sz w:val="14"/>
                <w:szCs w:val="14"/>
                <w:color w:val="auto"/>
              </w:rPr>
              <w:t>39.3</w:t>
            </w:r>
          </w:p>
        </w:tc>
        <w:tc>
          <w:tcPr>
            <w:tcW w:w="280" w:type="dxa"/>
            <w:vAlign w:val="bottom"/>
          </w:tcPr>
          <w:p>
            <w:pPr>
              <w:spacing w:after="0"/>
              <w:rPr>
                <w:sz w:val="17"/>
                <w:szCs w:val="17"/>
                <w:color w:val="auto"/>
              </w:rPr>
            </w:pPr>
          </w:p>
        </w:tc>
        <w:tc>
          <w:tcPr>
            <w:tcW w:w="1240" w:type="dxa"/>
            <w:vAlign w:val="bottom"/>
            <w:gridSpan w:val="2"/>
          </w:tcPr>
          <w:p>
            <w:pPr>
              <w:jc w:val="right"/>
              <w:ind w:right="8"/>
              <w:spacing w:after="0"/>
              <w:rPr>
                <w:sz w:val="20"/>
                <w:szCs w:val="20"/>
                <w:color w:val="auto"/>
              </w:rPr>
            </w:pPr>
            <w:r>
              <w:rPr>
                <w:rFonts w:ascii="Arial" w:cs="Arial" w:eastAsia="Arial" w:hAnsi="Arial"/>
                <w:sz w:val="14"/>
                <w:szCs w:val="14"/>
                <w:color w:val="auto"/>
              </w:rPr>
              <w:t>40.5</w:t>
            </w:r>
          </w:p>
        </w:tc>
        <w:tc>
          <w:tcPr>
            <w:tcW w:w="1400" w:type="dxa"/>
            <w:vAlign w:val="bottom"/>
          </w:tcPr>
          <w:p>
            <w:pPr>
              <w:spacing w:after="0"/>
              <w:rPr>
                <w:sz w:val="17"/>
                <w:szCs w:val="17"/>
                <w:color w:val="auto"/>
              </w:rPr>
            </w:pPr>
          </w:p>
        </w:tc>
      </w:tr>
      <w:tr>
        <w:trPr>
          <w:trHeight w:val="203"/>
        </w:trPr>
        <w:tc>
          <w:tcPr>
            <w:tcW w:w="6640" w:type="dxa"/>
            <w:vAlign w:val="bottom"/>
          </w:tcPr>
          <w:p>
            <w:pPr>
              <w:ind w:left="140"/>
              <w:spacing w:after="0"/>
              <w:rPr>
                <w:sz w:val="20"/>
                <w:szCs w:val="20"/>
                <w:color w:val="auto"/>
              </w:rPr>
            </w:pPr>
            <w:r>
              <w:rPr>
                <w:rFonts w:ascii="Arial" w:cs="Arial" w:eastAsia="Arial" w:hAnsi="Arial"/>
                <w:sz w:val="14"/>
                <w:szCs w:val="14"/>
                <w:color w:val="auto"/>
              </w:rPr>
              <w:t>Operating lease liability</w:t>
            </w:r>
          </w:p>
        </w:tc>
        <w:tc>
          <w:tcPr>
            <w:tcW w:w="140" w:type="dxa"/>
            <w:vAlign w:val="bottom"/>
          </w:tcPr>
          <w:p>
            <w:pPr>
              <w:spacing w:after="0"/>
              <w:rPr>
                <w:sz w:val="17"/>
                <w:szCs w:val="17"/>
                <w:color w:val="auto"/>
              </w:rPr>
            </w:pPr>
          </w:p>
        </w:tc>
        <w:tc>
          <w:tcPr>
            <w:tcW w:w="120" w:type="dxa"/>
            <w:vAlign w:val="bottom"/>
            <w:shd w:val="clear" w:color="auto" w:fill="E0E3F1"/>
          </w:tcPr>
          <w:p>
            <w:pPr>
              <w:spacing w:after="0"/>
              <w:rPr>
                <w:sz w:val="17"/>
                <w:szCs w:val="17"/>
                <w:color w:val="auto"/>
              </w:rPr>
            </w:pPr>
          </w:p>
        </w:tc>
        <w:tc>
          <w:tcPr>
            <w:tcW w:w="1380" w:type="dxa"/>
            <w:vAlign w:val="bottom"/>
            <w:gridSpan w:val="2"/>
            <w:shd w:val="clear" w:color="auto" w:fill="E0E3F1"/>
          </w:tcPr>
          <w:p>
            <w:pPr>
              <w:jc w:val="right"/>
              <w:spacing w:after="0"/>
              <w:rPr>
                <w:sz w:val="20"/>
                <w:szCs w:val="20"/>
                <w:color w:val="auto"/>
              </w:rPr>
            </w:pPr>
            <w:r>
              <w:rPr>
                <w:rFonts w:ascii="Arial" w:cs="Arial" w:eastAsia="Arial" w:hAnsi="Arial"/>
                <w:sz w:val="14"/>
                <w:szCs w:val="14"/>
                <w:color w:val="auto"/>
              </w:rPr>
              <w:t>167.7</w:t>
            </w:r>
          </w:p>
        </w:tc>
        <w:tc>
          <w:tcPr>
            <w:tcW w:w="280" w:type="dxa"/>
            <w:vAlign w:val="bottom"/>
          </w:tcPr>
          <w:p>
            <w:pPr>
              <w:spacing w:after="0"/>
              <w:rPr>
                <w:sz w:val="17"/>
                <w:szCs w:val="17"/>
                <w:color w:val="auto"/>
              </w:rPr>
            </w:pPr>
          </w:p>
        </w:tc>
        <w:tc>
          <w:tcPr>
            <w:tcW w:w="1240" w:type="dxa"/>
            <w:vAlign w:val="bottom"/>
            <w:gridSpan w:val="2"/>
          </w:tcPr>
          <w:p>
            <w:pPr>
              <w:jc w:val="right"/>
              <w:ind w:right="8"/>
              <w:spacing w:after="0"/>
              <w:rPr>
                <w:sz w:val="20"/>
                <w:szCs w:val="20"/>
                <w:color w:val="auto"/>
              </w:rPr>
            </w:pPr>
            <w:r>
              <w:rPr>
                <w:rFonts w:ascii="Arial" w:cs="Arial" w:eastAsia="Arial" w:hAnsi="Arial"/>
                <w:sz w:val="14"/>
                <w:szCs w:val="14"/>
                <w:color w:val="auto"/>
              </w:rPr>
              <w:t>166.6</w:t>
            </w:r>
          </w:p>
        </w:tc>
        <w:tc>
          <w:tcPr>
            <w:tcW w:w="1400" w:type="dxa"/>
            <w:vAlign w:val="bottom"/>
          </w:tcPr>
          <w:p>
            <w:pPr>
              <w:spacing w:after="0"/>
              <w:rPr>
                <w:sz w:val="17"/>
                <w:szCs w:val="17"/>
                <w:color w:val="auto"/>
              </w:rPr>
            </w:pPr>
          </w:p>
        </w:tc>
      </w:tr>
      <w:tr>
        <w:trPr>
          <w:trHeight w:val="206"/>
        </w:trPr>
        <w:tc>
          <w:tcPr>
            <w:tcW w:w="6640" w:type="dxa"/>
            <w:vAlign w:val="bottom"/>
            <w:tcBorders>
              <w:bottom w:val="single" w:sz="8" w:color="00539B"/>
            </w:tcBorders>
          </w:tcPr>
          <w:p>
            <w:pPr>
              <w:ind w:left="140"/>
              <w:spacing w:after="0"/>
              <w:rPr>
                <w:sz w:val="20"/>
                <w:szCs w:val="20"/>
                <w:color w:val="auto"/>
              </w:rPr>
            </w:pPr>
            <w:r>
              <w:rPr>
                <w:rFonts w:ascii="Arial" w:cs="Arial" w:eastAsia="Arial" w:hAnsi="Arial"/>
                <w:sz w:val="14"/>
                <w:szCs w:val="14"/>
                <w:color w:val="auto"/>
              </w:rPr>
              <w:t>Other</w:t>
            </w:r>
          </w:p>
        </w:tc>
        <w:tc>
          <w:tcPr>
            <w:tcW w:w="140" w:type="dxa"/>
            <w:vAlign w:val="bottom"/>
            <w:tcBorders>
              <w:bottom w:val="single" w:sz="8" w:color="00539B"/>
            </w:tcBorders>
          </w:tcPr>
          <w:p>
            <w:pPr>
              <w:spacing w:after="0"/>
              <w:rPr>
                <w:sz w:val="17"/>
                <w:szCs w:val="17"/>
                <w:color w:val="auto"/>
              </w:rPr>
            </w:pPr>
          </w:p>
        </w:tc>
        <w:tc>
          <w:tcPr>
            <w:tcW w:w="120" w:type="dxa"/>
            <w:vAlign w:val="bottom"/>
            <w:tcBorders>
              <w:bottom w:val="single" w:sz="8" w:color="00539B"/>
            </w:tcBorders>
            <w:shd w:val="clear" w:color="auto" w:fill="E0E3F1"/>
          </w:tcPr>
          <w:p>
            <w:pPr>
              <w:spacing w:after="0"/>
              <w:rPr>
                <w:sz w:val="17"/>
                <w:szCs w:val="17"/>
                <w:color w:val="auto"/>
              </w:rPr>
            </w:pPr>
          </w:p>
        </w:tc>
        <w:tc>
          <w:tcPr>
            <w:tcW w:w="1380" w:type="dxa"/>
            <w:vAlign w:val="bottom"/>
            <w:tcBorders>
              <w:bottom w:val="single" w:sz="8" w:color="00539B"/>
            </w:tcBorders>
            <w:gridSpan w:val="2"/>
            <w:shd w:val="clear" w:color="auto" w:fill="E0E3F1"/>
          </w:tcPr>
          <w:p>
            <w:pPr>
              <w:jc w:val="right"/>
              <w:spacing w:after="0"/>
              <w:rPr>
                <w:sz w:val="20"/>
                <w:szCs w:val="20"/>
                <w:color w:val="auto"/>
              </w:rPr>
            </w:pPr>
            <w:r>
              <w:rPr>
                <w:rFonts w:ascii="Arial" w:cs="Arial" w:eastAsia="Arial" w:hAnsi="Arial"/>
                <w:sz w:val="14"/>
                <w:szCs w:val="14"/>
                <w:color w:val="auto"/>
              </w:rPr>
              <w:t>142.4</w:t>
            </w:r>
          </w:p>
        </w:tc>
        <w:tc>
          <w:tcPr>
            <w:tcW w:w="280" w:type="dxa"/>
            <w:vAlign w:val="bottom"/>
            <w:tcBorders>
              <w:bottom w:val="single" w:sz="8" w:color="00539B"/>
            </w:tcBorders>
          </w:tcPr>
          <w:p>
            <w:pPr>
              <w:spacing w:after="0"/>
              <w:rPr>
                <w:sz w:val="17"/>
                <w:szCs w:val="17"/>
                <w:color w:val="auto"/>
              </w:rPr>
            </w:pPr>
          </w:p>
        </w:tc>
        <w:tc>
          <w:tcPr>
            <w:tcW w:w="1240" w:type="dxa"/>
            <w:vAlign w:val="bottom"/>
            <w:tcBorders>
              <w:bottom w:val="single" w:sz="8" w:color="00539B"/>
            </w:tcBorders>
            <w:gridSpan w:val="2"/>
          </w:tcPr>
          <w:p>
            <w:pPr>
              <w:jc w:val="right"/>
              <w:ind w:right="8"/>
              <w:spacing w:after="0"/>
              <w:rPr>
                <w:sz w:val="20"/>
                <w:szCs w:val="20"/>
                <w:color w:val="auto"/>
              </w:rPr>
            </w:pPr>
            <w:r>
              <w:rPr>
                <w:rFonts w:ascii="Arial" w:cs="Arial" w:eastAsia="Arial" w:hAnsi="Arial"/>
                <w:sz w:val="14"/>
                <w:szCs w:val="14"/>
                <w:color w:val="auto"/>
              </w:rPr>
              <w:t>145.1</w:t>
            </w:r>
          </w:p>
        </w:tc>
        <w:tc>
          <w:tcPr>
            <w:tcW w:w="1400" w:type="dxa"/>
            <w:vAlign w:val="bottom"/>
          </w:tcPr>
          <w:p>
            <w:pPr>
              <w:spacing w:after="0"/>
              <w:rPr>
                <w:sz w:val="17"/>
                <w:szCs w:val="17"/>
                <w:color w:val="auto"/>
              </w:rPr>
            </w:pPr>
          </w:p>
        </w:tc>
      </w:tr>
      <w:tr>
        <w:trPr>
          <w:trHeight w:val="207"/>
        </w:trPr>
        <w:tc>
          <w:tcPr>
            <w:tcW w:w="6640" w:type="dxa"/>
            <w:vAlign w:val="bottom"/>
            <w:tcBorders>
              <w:bottom w:val="single" w:sz="8" w:color="00539B"/>
            </w:tcBorders>
          </w:tcPr>
          <w:p>
            <w:pPr>
              <w:spacing w:after="0"/>
              <w:rPr>
                <w:sz w:val="18"/>
                <w:szCs w:val="18"/>
                <w:color w:val="auto"/>
              </w:rPr>
            </w:pPr>
          </w:p>
        </w:tc>
        <w:tc>
          <w:tcPr>
            <w:tcW w:w="140" w:type="dxa"/>
            <w:vAlign w:val="bottom"/>
            <w:tcBorders>
              <w:bottom w:val="single" w:sz="8" w:color="00539B"/>
            </w:tcBorders>
          </w:tcPr>
          <w:p>
            <w:pPr>
              <w:spacing w:after="0"/>
              <w:rPr>
                <w:sz w:val="18"/>
                <w:szCs w:val="18"/>
                <w:color w:val="auto"/>
              </w:rPr>
            </w:pPr>
          </w:p>
        </w:tc>
        <w:tc>
          <w:tcPr>
            <w:tcW w:w="12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00539B"/>
            </w:tcBorders>
            <w:gridSpan w:val="2"/>
            <w:shd w:val="clear" w:color="auto" w:fill="E0E3F1"/>
          </w:tcPr>
          <w:p>
            <w:pPr>
              <w:jc w:val="right"/>
              <w:spacing w:after="0"/>
              <w:rPr>
                <w:sz w:val="20"/>
                <w:szCs w:val="20"/>
                <w:color w:val="auto"/>
              </w:rPr>
            </w:pPr>
            <w:r>
              <w:rPr>
                <w:rFonts w:ascii="Arial" w:cs="Arial" w:eastAsia="Arial" w:hAnsi="Arial"/>
                <w:sz w:val="14"/>
                <w:szCs w:val="14"/>
                <w:color w:val="auto"/>
              </w:rPr>
              <w:t>428.5</w:t>
            </w:r>
          </w:p>
        </w:tc>
        <w:tc>
          <w:tcPr>
            <w:tcW w:w="280" w:type="dxa"/>
            <w:vAlign w:val="bottom"/>
            <w:tcBorders>
              <w:bottom w:val="single" w:sz="8" w:color="00539B"/>
            </w:tcBorders>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00539B"/>
            </w:tcBorders>
            <w:gridSpan w:val="2"/>
          </w:tcPr>
          <w:p>
            <w:pPr>
              <w:jc w:val="right"/>
              <w:ind w:right="8"/>
              <w:spacing w:after="0"/>
              <w:rPr>
                <w:sz w:val="20"/>
                <w:szCs w:val="20"/>
                <w:color w:val="auto"/>
              </w:rPr>
            </w:pPr>
            <w:r>
              <w:rPr>
                <w:rFonts w:ascii="Arial" w:cs="Arial" w:eastAsia="Arial" w:hAnsi="Arial"/>
                <w:sz w:val="14"/>
                <w:szCs w:val="14"/>
                <w:color w:val="auto"/>
              </w:rPr>
              <w:t>436.6</w:t>
            </w:r>
          </w:p>
        </w:tc>
        <w:tc>
          <w:tcPr>
            <w:tcW w:w="1400" w:type="dxa"/>
            <w:vAlign w:val="bottom"/>
          </w:tcPr>
          <w:p>
            <w:pPr>
              <w:spacing w:after="0"/>
              <w:rPr>
                <w:sz w:val="18"/>
                <w:szCs w:val="18"/>
                <w:color w:val="auto"/>
              </w:rPr>
            </w:pPr>
          </w:p>
        </w:tc>
      </w:tr>
      <w:tr>
        <w:trPr>
          <w:trHeight w:val="425"/>
        </w:trPr>
        <w:tc>
          <w:tcPr>
            <w:tcW w:w="6640" w:type="dxa"/>
            <w:vAlign w:val="bottom"/>
            <w:tcBorders>
              <w:bottom w:val="single" w:sz="8" w:color="00539B"/>
            </w:tcBorders>
          </w:tcPr>
          <w:p>
            <w:pPr>
              <w:spacing w:after="0"/>
              <w:rPr>
                <w:sz w:val="24"/>
                <w:szCs w:val="24"/>
                <w:color w:val="auto"/>
              </w:rPr>
            </w:pPr>
          </w:p>
        </w:tc>
        <w:tc>
          <w:tcPr>
            <w:tcW w:w="140" w:type="dxa"/>
            <w:vAlign w:val="bottom"/>
            <w:tcBorders>
              <w:bottom w:val="single" w:sz="8" w:color="00539B"/>
            </w:tcBorders>
          </w:tcPr>
          <w:p>
            <w:pPr>
              <w:spacing w:after="0"/>
              <w:rPr>
                <w:sz w:val="24"/>
                <w:szCs w:val="24"/>
                <w:color w:val="auto"/>
              </w:rPr>
            </w:pPr>
          </w:p>
        </w:tc>
        <w:tc>
          <w:tcPr>
            <w:tcW w:w="120" w:type="dxa"/>
            <w:vAlign w:val="bottom"/>
            <w:tcBorders>
              <w:bottom w:val="single" w:sz="8" w:color="00539B"/>
            </w:tcBorders>
          </w:tcPr>
          <w:p>
            <w:pPr>
              <w:spacing w:after="0"/>
              <w:rPr>
                <w:sz w:val="24"/>
                <w:szCs w:val="24"/>
                <w:color w:val="auto"/>
              </w:rPr>
            </w:pPr>
          </w:p>
        </w:tc>
        <w:tc>
          <w:tcPr>
            <w:tcW w:w="1260" w:type="dxa"/>
            <w:vAlign w:val="bottom"/>
            <w:tcBorders>
              <w:bottom w:val="single" w:sz="8" w:color="00539B"/>
            </w:tcBorders>
          </w:tcPr>
          <w:p>
            <w:pPr>
              <w:spacing w:after="0"/>
              <w:rPr>
                <w:sz w:val="24"/>
                <w:szCs w:val="24"/>
                <w:color w:val="auto"/>
              </w:rPr>
            </w:pPr>
          </w:p>
        </w:tc>
        <w:tc>
          <w:tcPr>
            <w:tcW w:w="120" w:type="dxa"/>
            <w:vAlign w:val="bottom"/>
            <w:tcBorders>
              <w:bottom w:val="single" w:sz="8" w:color="00539B"/>
            </w:tcBorders>
          </w:tcPr>
          <w:p>
            <w:pPr>
              <w:spacing w:after="0"/>
              <w:rPr>
                <w:sz w:val="24"/>
                <w:szCs w:val="24"/>
                <w:color w:val="auto"/>
              </w:rPr>
            </w:pPr>
          </w:p>
        </w:tc>
        <w:tc>
          <w:tcPr>
            <w:tcW w:w="280" w:type="dxa"/>
            <w:vAlign w:val="bottom"/>
            <w:tcBorders>
              <w:bottom w:val="single" w:sz="8" w:color="00539B"/>
            </w:tcBorders>
          </w:tcPr>
          <w:p>
            <w:pPr>
              <w:spacing w:after="0"/>
              <w:rPr>
                <w:sz w:val="24"/>
                <w:szCs w:val="24"/>
                <w:color w:val="auto"/>
              </w:rPr>
            </w:pPr>
          </w:p>
        </w:tc>
        <w:tc>
          <w:tcPr>
            <w:tcW w:w="1100" w:type="dxa"/>
            <w:vAlign w:val="bottom"/>
            <w:tcBorders>
              <w:bottom w:val="single" w:sz="8" w:color="00539B"/>
            </w:tcBorders>
          </w:tcPr>
          <w:p>
            <w:pPr>
              <w:spacing w:after="0"/>
              <w:rPr>
                <w:sz w:val="24"/>
                <w:szCs w:val="24"/>
                <w:color w:val="auto"/>
              </w:rPr>
            </w:pPr>
          </w:p>
        </w:tc>
        <w:tc>
          <w:tcPr>
            <w:tcW w:w="140" w:type="dxa"/>
            <w:vAlign w:val="bottom"/>
            <w:tcBorders>
              <w:bottom w:val="single" w:sz="8" w:color="00539B"/>
            </w:tcBorders>
          </w:tcPr>
          <w:p>
            <w:pPr>
              <w:spacing w:after="0"/>
              <w:rPr>
                <w:sz w:val="24"/>
                <w:szCs w:val="24"/>
                <w:color w:val="auto"/>
              </w:rPr>
            </w:pPr>
          </w:p>
        </w:tc>
        <w:tc>
          <w:tcPr>
            <w:tcW w:w="1400" w:type="dxa"/>
            <w:vAlign w:val="bottom"/>
            <w:tcBorders>
              <w:bottom w:val="single" w:sz="8" w:color="00539B"/>
            </w:tcBorders>
          </w:tcPr>
          <w:p>
            <w:pPr>
              <w:spacing w:after="0"/>
              <w:rPr>
                <w:sz w:val="24"/>
                <w:szCs w:val="24"/>
                <w:color w:val="auto"/>
              </w:rPr>
            </w:pPr>
          </w:p>
        </w:tc>
      </w:tr>
      <w:tr>
        <w:trPr>
          <w:trHeight w:val="198"/>
        </w:trPr>
        <w:tc>
          <w:tcPr>
            <w:tcW w:w="664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For the year ended November 30 (millions)</w:t>
            </w:r>
          </w:p>
        </w:tc>
        <w:tc>
          <w:tcPr>
            <w:tcW w:w="140" w:type="dxa"/>
            <w:vAlign w:val="bottom"/>
            <w:tcBorders>
              <w:bottom w:val="single" w:sz="8" w:color="00539B"/>
            </w:tcBorders>
            <w:shd w:val="clear" w:color="auto" w:fill="E0E3F1"/>
          </w:tcPr>
          <w:p>
            <w:pPr>
              <w:spacing w:after="0"/>
              <w:rPr>
                <w:sz w:val="17"/>
                <w:szCs w:val="17"/>
                <w:color w:val="auto"/>
              </w:rPr>
            </w:pPr>
          </w:p>
        </w:tc>
        <w:tc>
          <w:tcPr>
            <w:tcW w:w="120" w:type="dxa"/>
            <w:vAlign w:val="bottom"/>
            <w:tcBorders>
              <w:bottom w:val="single" w:sz="8" w:color="00539B"/>
            </w:tcBorders>
            <w:shd w:val="clear" w:color="auto" w:fill="E0E3F1"/>
          </w:tcPr>
          <w:p>
            <w:pPr>
              <w:spacing w:after="0"/>
              <w:rPr>
                <w:sz w:val="17"/>
                <w:szCs w:val="17"/>
                <w:color w:val="auto"/>
              </w:rPr>
            </w:pPr>
          </w:p>
        </w:tc>
        <w:tc>
          <w:tcPr>
            <w:tcW w:w="1260" w:type="dxa"/>
            <w:vAlign w:val="bottom"/>
            <w:tcBorders>
              <w:bottom w:val="single" w:sz="8" w:color="00539B"/>
            </w:tcBorders>
            <w:shd w:val="clear" w:color="auto" w:fill="E0E3F1"/>
          </w:tcPr>
          <w:p>
            <w:pPr>
              <w:jc w:val="right"/>
              <w:ind w:right="528"/>
              <w:spacing w:after="0"/>
              <w:rPr>
                <w:sz w:val="20"/>
                <w:szCs w:val="20"/>
                <w:color w:val="auto"/>
              </w:rPr>
            </w:pPr>
            <w:r>
              <w:rPr>
                <w:rFonts w:ascii="Arial" w:cs="Arial" w:eastAsia="Arial" w:hAnsi="Arial"/>
                <w:sz w:val="14"/>
                <w:szCs w:val="14"/>
                <w:color w:val="auto"/>
              </w:rPr>
              <w:t>2025</w:t>
            </w:r>
          </w:p>
        </w:tc>
        <w:tc>
          <w:tcPr>
            <w:tcW w:w="120" w:type="dxa"/>
            <w:vAlign w:val="bottom"/>
            <w:tcBorders>
              <w:bottom w:val="single" w:sz="8" w:color="00539B"/>
            </w:tcBorders>
          </w:tcPr>
          <w:p>
            <w:pPr>
              <w:spacing w:after="0"/>
              <w:rPr>
                <w:sz w:val="17"/>
                <w:szCs w:val="17"/>
                <w:color w:val="auto"/>
              </w:rPr>
            </w:pPr>
          </w:p>
        </w:tc>
        <w:tc>
          <w:tcPr>
            <w:tcW w:w="280" w:type="dxa"/>
            <w:vAlign w:val="bottom"/>
            <w:tcBorders>
              <w:bottom w:val="single" w:sz="8" w:color="00539B"/>
            </w:tcBorders>
          </w:tcPr>
          <w:p>
            <w:pPr>
              <w:spacing w:after="0"/>
              <w:rPr>
                <w:sz w:val="17"/>
                <w:szCs w:val="17"/>
                <w:color w:val="auto"/>
              </w:rPr>
            </w:pPr>
          </w:p>
        </w:tc>
        <w:tc>
          <w:tcPr>
            <w:tcW w:w="1100" w:type="dxa"/>
            <w:vAlign w:val="bottom"/>
            <w:tcBorders>
              <w:bottom w:val="single" w:sz="8" w:color="00539B"/>
            </w:tcBorders>
          </w:tcPr>
          <w:p>
            <w:pPr>
              <w:jc w:val="right"/>
              <w:ind w:right="508"/>
              <w:spacing w:after="0"/>
              <w:rPr>
                <w:sz w:val="20"/>
                <w:szCs w:val="20"/>
                <w:color w:val="auto"/>
              </w:rPr>
            </w:pPr>
            <w:r>
              <w:rPr>
                <w:rFonts w:ascii="Arial" w:cs="Arial" w:eastAsia="Arial" w:hAnsi="Arial"/>
                <w:sz w:val="14"/>
                <w:szCs w:val="14"/>
                <w:color w:val="auto"/>
              </w:rPr>
              <w:t>2024</w:t>
            </w:r>
          </w:p>
        </w:tc>
        <w:tc>
          <w:tcPr>
            <w:tcW w:w="140" w:type="dxa"/>
            <w:vAlign w:val="bottom"/>
            <w:tcBorders>
              <w:bottom w:val="single" w:sz="8" w:color="00539B"/>
            </w:tcBorders>
          </w:tcPr>
          <w:p>
            <w:pPr>
              <w:spacing w:after="0"/>
              <w:rPr>
                <w:sz w:val="17"/>
                <w:szCs w:val="17"/>
                <w:color w:val="auto"/>
              </w:rPr>
            </w:pPr>
          </w:p>
        </w:tc>
        <w:tc>
          <w:tcPr>
            <w:tcW w:w="1400" w:type="dxa"/>
            <w:vAlign w:val="bottom"/>
            <w:tcBorders>
              <w:bottom w:val="single" w:sz="8" w:color="00539B"/>
            </w:tcBorders>
          </w:tcPr>
          <w:p>
            <w:pPr>
              <w:jc w:val="right"/>
              <w:ind w:right="528"/>
              <w:spacing w:after="0"/>
              <w:rPr>
                <w:sz w:val="20"/>
                <w:szCs w:val="20"/>
                <w:color w:val="auto"/>
              </w:rPr>
            </w:pPr>
            <w:r>
              <w:rPr>
                <w:rFonts w:ascii="Arial" w:cs="Arial" w:eastAsia="Arial" w:hAnsi="Arial"/>
                <w:sz w:val="14"/>
                <w:szCs w:val="14"/>
                <w:color w:val="auto"/>
              </w:rPr>
              <w:t>2023</w:t>
            </w:r>
          </w:p>
        </w:tc>
      </w:tr>
      <w:tr>
        <w:trPr>
          <w:trHeight w:val="192"/>
        </w:trPr>
        <w:tc>
          <w:tcPr>
            <w:tcW w:w="6640" w:type="dxa"/>
            <w:vAlign w:val="bottom"/>
          </w:tcPr>
          <w:p>
            <w:pPr>
              <w:ind w:left="20"/>
              <w:spacing w:after="0"/>
              <w:rPr>
                <w:sz w:val="20"/>
                <w:szCs w:val="20"/>
                <w:color w:val="auto"/>
              </w:rPr>
            </w:pPr>
            <w:r>
              <w:rPr>
                <w:rFonts w:ascii="Arial" w:cs="Arial" w:eastAsia="Arial" w:hAnsi="Arial"/>
                <w:sz w:val="14"/>
                <w:szCs w:val="14"/>
                <w:color w:val="auto"/>
              </w:rPr>
              <w:t>Depreciation</w:t>
            </w:r>
          </w:p>
        </w:tc>
        <w:tc>
          <w:tcPr>
            <w:tcW w:w="140" w:type="dxa"/>
            <w:vAlign w:val="bottom"/>
            <w:shd w:val="clear" w:color="auto" w:fill="E0E3F1"/>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E0E3F1"/>
          </w:tcPr>
          <w:p>
            <w:pPr>
              <w:spacing w:after="0"/>
              <w:rPr>
                <w:sz w:val="16"/>
                <w:szCs w:val="16"/>
                <w:color w:val="auto"/>
              </w:rPr>
            </w:pPr>
          </w:p>
        </w:tc>
        <w:tc>
          <w:tcPr>
            <w:tcW w:w="12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163.2</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143.3</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135.3</w:t>
            </w:r>
          </w:p>
        </w:tc>
      </w:tr>
      <w:tr>
        <w:trPr>
          <w:trHeight w:val="203"/>
        </w:trPr>
        <w:tc>
          <w:tcPr>
            <w:tcW w:w="6640" w:type="dxa"/>
            <w:vAlign w:val="bottom"/>
          </w:tcPr>
          <w:p>
            <w:pPr>
              <w:ind w:left="20"/>
              <w:spacing w:after="0"/>
              <w:rPr>
                <w:sz w:val="20"/>
                <w:szCs w:val="20"/>
                <w:color w:val="auto"/>
              </w:rPr>
            </w:pPr>
            <w:r>
              <w:rPr>
                <w:rFonts w:ascii="Arial" w:cs="Arial" w:eastAsia="Arial" w:hAnsi="Arial"/>
                <w:sz w:val="14"/>
                <w:szCs w:val="14"/>
                <w:color w:val="auto"/>
              </w:rPr>
              <w:t>Software amortization</w:t>
            </w:r>
          </w:p>
        </w:tc>
        <w:tc>
          <w:tcPr>
            <w:tcW w:w="140" w:type="dxa"/>
            <w:vAlign w:val="bottom"/>
            <w:shd w:val="clear" w:color="auto" w:fill="E0E3F1"/>
          </w:tcPr>
          <w:p>
            <w:pPr>
              <w:spacing w:after="0"/>
              <w:rPr>
                <w:sz w:val="17"/>
                <w:szCs w:val="17"/>
                <w:color w:val="auto"/>
              </w:rPr>
            </w:pPr>
          </w:p>
        </w:tc>
        <w:tc>
          <w:tcPr>
            <w:tcW w:w="120" w:type="dxa"/>
            <w:vAlign w:val="bottom"/>
            <w:shd w:val="clear" w:color="auto" w:fill="E0E3F1"/>
          </w:tcPr>
          <w:p>
            <w:pPr>
              <w:spacing w:after="0"/>
              <w:rPr>
                <w:sz w:val="17"/>
                <w:szCs w:val="17"/>
                <w:color w:val="auto"/>
              </w:rPr>
            </w:pPr>
          </w:p>
        </w:tc>
        <w:tc>
          <w:tcPr>
            <w:tcW w:w="12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24.3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21.9</w:t>
            </w:r>
          </w:p>
        </w:tc>
        <w:tc>
          <w:tcPr>
            <w:tcW w:w="1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19.1</w:t>
            </w:r>
          </w:p>
        </w:tc>
      </w:tr>
      <w:tr>
        <w:trPr>
          <w:trHeight w:val="203"/>
        </w:trPr>
        <w:tc>
          <w:tcPr>
            <w:tcW w:w="6640" w:type="dxa"/>
            <w:vAlign w:val="bottom"/>
          </w:tcPr>
          <w:p>
            <w:pPr>
              <w:ind w:left="20"/>
              <w:spacing w:after="0"/>
              <w:rPr>
                <w:sz w:val="20"/>
                <w:szCs w:val="20"/>
                <w:color w:val="auto"/>
              </w:rPr>
            </w:pPr>
            <w:r>
              <w:rPr>
                <w:rFonts w:ascii="Arial" w:cs="Arial" w:eastAsia="Arial" w:hAnsi="Arial"/>
                <w:sz w:val="14"/>
                <w:szCs w:val="14"/>
                <w:color w:val="auto"/>
              </w:rPr>
              <w:t>Interest paid</w:t>
            </w:r>
          </w:p>
        </w:tc>
        <w:tc>
          <w:tcPr>
            <w:tcW w:w="140" w:type="dxa"/>
            <w:vAlign w:val="bottom"/>
            <w:shd w:val="clear" w:color="auto" w:fill="E0E3F1"/>
          </w:tcPr>
          <w:p>
            <w:pPr>
              <w:spacing w:after="0"/>
              <w:rPr>
                <w:sz w:val="17"/>
                <w:szCs w:val="17"/>
                <w:color w:val="auto"/>
              </w:rPr>
            </w:pPr>
          </w:p>
        </w:tc>
        <w:tc>
          <w:tcPr>
            <w:tcW w:w="120" w:type="dxa"/>
            <w:vAlign w:val="bottom"/>
            <w:shd w:val="clear" w:color="auto" w:fill="E0E3F1"/>
          </w:tcPr>
          <w:p>
            <w:pPr>
              <w:spacing w:after="0"/>
              <w:rPr>
                <w:sz w:val="17"/>
                <w:szCs w:val="17"/>
                <w:color w:val="auto"/>
              </w:rPr>
            </w:pPr>
          </w:p>
        </w:tc>
        <w:tc>
          <w:tcPr>
            <w:tcW w:w="12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192.8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210.1</w:t>
            </w:r>
          </w:p>
        </w:tc>
        <w:tc>
          <w:tcPr>
            <w:tcW w:w="1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203.6</w:t>
            </w:r>
          </w:p>
        </w:tc>
      </w:tr>
      <w:tr>
        <w:trPr>
          <w:trHeight w:val="217"/>
        </w:trPr>
        <w:tc>
          <w:tcPr>
            <w:tcW w:w="664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Income taxes paid</w:t>
            </w:r>
          </w:p>
        </w:tc>
        <w:tc>
          <w:tcPr>
            <w:tcW w:w="140" w:type="dxa"/>
            <w:vAlign w:val="bottom"/>
            <w:tcBorders>
              <w:bottom w:val="single" w:sz="8" w:color="00539B"/>
            </w:tcBorders>
            <w:shd w:val="clear" w:color="auto" w:fill="E0E3F1"/>
          </w:tcPr>
          <w:p>
            <w:pPr>
              <w:spacing w:after="0"/>
              <w:rPr>
                <w:sz w:val="18"/>
                <w:szCs w:val="18"/>
                <w:color w:val="auto"/>
              </w:rPr>
            </w:pPr>
          </w:p>
        </w:tc>
        <w:tc>
          <w:tcPr>
            <w:tcW w:w="120" w:type="dxa"/>
            <w:vAlign w:val="bottom"/>
            <w:tcBorders>
              <w:bottom w:val="single" w:sz="8" w:color="00539B"/>
            </w:tcBorders>
            <w:shd w:val="clear" w:color="auto" w:fill="E0E3F1"/>
          </w:tcPr>
          <w:p>
            <w:pPr>
              <w:spacing w:after="0"/>
              <w:rPr>
                <w:sz w:val="18"/>
                <w:szCs w:val="18"/>
                <w:color w:val="auto"/>
              </w:rPr>
            </w:pPr>
          </w:p>
        </w:tc>
        <w:tc>
          <w:tcPr>
            <w:tcW w:w="126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239.6</w:t>
            </w:r>
          </w:p>
        </w:tc>
        <w:tc>
          <w:tcPr>
            <w:tcW w:w="120" w:type="dxa"/>
            <w:vAlign w:val="bottom"/>
            <w:tcBorders>
              <w:bottom w:val="single" w:sz="8" w:color="00539B"/>
            </w:tcBorders>
          </w:tcPr>
          <w:p>
            <w:pPr>
              <w:spacing w:after="0"/>
              <w:rPr>
                <w:sz w:val="18"/>
                <w:szCs w:val="18"/>
                <w:color w:val="auto"/>
              </w:rPr>
            </w:pPr>
          </w:p>
        </w:tc>
        <w:tc>
          <w:tcPr>
            <w:tcW w:w="280" w:type="dxa"/>
            <w:vAlign w:val="bottom"/>
            <w:tcBorders>
              <w:bottom w:val="single" w:sz="8" w:color="00539B"/>
            </w:tcBorders>
          </w:tcPr>
          <w:p>
            <w:pPr>
              <w:spacing w:after="0"/>
              <w:rPr>
                <w:sz w:val="18"/>
                <w:szCs w:val="18"/>
                <w:color w:val="auto"/>
              </w:rPr>
            </w:pPr>
          </w:p>
        </w:tc>
        <w:tc>
          <w:tcPr>
            <w:tcW w:w="110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221.0</w:t>
            </w:r>
          </w:p>
        </w:tc>
        <w:tc>
          <w:tcPr>
            <w:tcW w:w="140" w:type="dxa"/>
            <w:vAlign w:val="bottom"/>
            <w:tcBorders>
              <w:bottom w:val="single" w:sz="8" w:color="00539B"/>
            </w:tcBorders>
          </w:tcPr>
          <w:p>
            <w:pPr>
              <w:spacing w:after="0"/>
              <w:rPr>
                <w:sz w:val="18"/>
                <w:szCs w:val="18"/>
                <w:color w:val="auto"/>
              </w:rPr>
            </w:pPr>
          </w:p>
        </w:tc>
        <w:tc>
          <w:tcPr>
            <w:tcW w:w="140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118.3</w:t>
            </w:r>
          </w:p>
        </w:tc>
      </w:tr>
    </w:tbl>
    <w:p>
      <w:pPr>
        <w:spacing w:after="0" w:line="238"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Dividends paid per share were $1.80 in 2025, $1.68 in 2024, and $1.56 in 2023. Dividends declared per share were $1.83 in 2025, $1.71 in 2024, and $1.59 in 2023.</w:t>
      </w:r>
    </w:p>
    <w:p>
      <w:pPr>
        <w:sectPr>
          <w:pgSz w:w="11900" w:h="16838" w:orient="portrait"/>
          <w:cols w:equalWidth="0" w:num="1">
            <w:col w:w="11200"/>
          </w:cols>
          <w:pgMar w:left="320" w:top="1052" w:right="37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52" w:right="379" w:bottom="1440" w:gutter="0" w:footer="0" w:header="0"/>
          <w:type w:val="continuous"/>
        </w:sectPr>
      </w:pPr>
    </w:p>
    <w:bookmarkStart w:id="82" w:name="page83"/>
    <w:bookmarkEnd w:id="82"/>
    <w:p>
      <w:pPr>
        <w:spacing w:after="0"/>
        <w:rPr>
          <w:sz w:val="20"/>
          <w:szCs w:val="20"/>
          <w:color w:val="auto"/>
        </w:rPr>
      </w:pPr>
      <w:r>
        <w:rPr>
          <w:rFonts w:ascii="Arial" w:cs="Arial" w:eastAsia="Arial" w:hAnsi="Arial"/>
          <w:sz w:val="18"/>
          <w:szCs w:val="18"/>
          <w:b w:val="1"/>
          <w:bCs w:val="1"/>
          <w:color w:val="00539B"/>
        </w:rPr>
        <w:t>ITEM 9. CHANGES IN AND DISAGREEMENTS WITH ACCOUNTANTS ON ACCOUNTING AND FINANCIAL DISCLOSURE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539B"/>
        </w:rPr>
        <w:t>ITEM 9A. CONTROLS AND PROCEDURES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539B"/>
        </w:rPr>
        <w:t>Disclosure Controls and Procedures</w:t>
      </w:r>
    </w:p>
    <w:p>
      <w:pPr>
        <w:spacing w:after="0" w:line="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defined in Rule 13a-15(e) of the Securities Exchange Act of 1934, as of the end of the period covered by this report. Based on that evaluation, our Chief Executive Officer and Chief Financial Officer concluded that, as of the end of the period covered by this report, our disclosure controls and procedures were effective.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539B"/>
        </w:rPr>
        <w:t>Internal Control over Financial Reporting</w:t>
      </w:r>
    </w:p>
    <w:p>
      <w:pPr>
        <w:spacing w:after="0" w:line="25"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Management’s report on our internal control over financial reporting and the report of our Independent Registered Public Accounting Firm on internal control over financial reporting are included in our 2025 financial statements in Item 8 of this Report under the captions entitled “Report of Management” and "Report of Independent Registered Public Accounting Firm.”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00539B"/>
        </w:rPr>
        <w:t>ITEM 9B. OTHER INFORMATION</w:t>
      </w:r>
    </w:p>
    <w:p>
      <w:pPr>
        <w:spacing w:after="0" w:line="10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None of our directors or officers (as defined in Rule 16a-1(f) under the Exchange Act) adopted or terminated a Rule 10b5-1 trading arrangement or a non-Rule 10b5-1 trading arrangement (as defined in Item 408(c) of Regulation S-K) during the fourth quarter of fiscal year 2025.</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00539B"/>
        </w:rPr>
        <w:t>ITEM 9C. DISCLOSURE REGARDING FOREIGN JURISDICTIONS THAT PREVENT INSPECTIONS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15175" cy="146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00539B"/>
        </w:rPr>
        <w:t>ITEM 10. DIRECTORS, EXECUTIVE OFFICERS, AND CORPORATE GOVERNANCE</w:t>
      </w:r>
    </w:p>
    <w:p>
      <w:pPr>
        <w:spacing w:after="0" w:line="90" w:lineRule="exact"/>
        <w:rPr>
          <w:sz w:val="20"/>
          <w:szCs w:val="20"/>
          <w:color w:val="auto"/>
        </w:rPr>
      </w:pPr>
    </w:p>
    <w:p>
      <w:pPr>
        <w:jc w:val="both"/>
        <w:ind w:right="420"/>
        <w:spacing w:after="0" w:line="268" w:lineRule="auto"/>
        <w:rPr>
          <w:sz w:val="20"/>
          <w:szCs w:val="20"/>
          <w:color w:val="auto"/>
        </w:rPr>
      </w:pPr>
      <w:r>
        <w:rPr>
          <w:rFonts w:ascii="Arial" w:cs="Arial" w:eastAsia="Arial" w:hAnsi="Arial"/>
          <w:sz w:val="18"/>
          <w:szCs w:val="18"/>
          <w:color w:val="auto"/>
        </w:rPr>
        <w:t>Information responsive to this item is set forth in the sections titled “Corporate Governance,” “Election of Directors,” and "Insider Trading Policies and Procedures" in our 2026 Proxy Statement, incorporated by reference herein, to be filed within 120 days after the end of our fiscal year.</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adopted a code of ethics that applies to all employees, including our principal executive officer, principal financial officer, principal accounting officer, and our Board of Directors. A copy of the code of ethics is available on our internet website at www.mccormickcorporation.com. We will satisfy the disclosure requirement under Item 5.05 of Form 8-K regarding any material amendment to our code of ethics, and any waiver from a provision of our code of ethics that applies to our principal executive officer, principal financial officer, principal accounting officer, or persons performing similar functions, by posting such information on our website at the internet website address set forth above.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539B"/>
        </w:rPr>
        <w:t>ITEM 11. EXECUTIVE COMPENSATION</w:t>
      </w:r>
    </w:p>
    <w:p>
      <w:pPr>
        <w:spacing w:after="0" w:line="10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Information responsive to this item is incorporated herein by reference to the sections titled “Compensation of Directors,” “Compensation Discussion and Analysis,” “Compensation and Human Capital Committee Report,” “Summary Compensation Table,” “Grants of Plan-Based Awards,” “Narrative to the Summary Compensation Table,” “Outstanding Equity Awards at Fiscal Year-End,” “Option Exercises and Stock Vested in Last Fiscal Year,” “Retirement Benefits,” “Non-Qualified Deferred Compensation,” “Potential Payments Upon Termination or Change in Control,” “Compensation and Human Capital Committee Interlocks and Insider Participation,” “Policies and Practices Related to the Grant of Certain Equity Awards Close in Time to the Release of Material Nonpublic Information”, and “Equity Compensation Plan Information” in the 2026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2" w:right="359" w:bottom="1440" w:gutter="0" w:footer="0" w:header="0"/>
        </w:sectPr>
      </w:pPr>
    </w:p>
    <w:bookmarkStart w:id="83" w:name="page84"/>
    <w:bookmarkEnd w:id="83"/>
    <w:p>
      <w:pPr>
        <w:ind w:right="440"/>
        <w:spacing w:after="0" w:line="296" w:lineRule="auto"/>
        <w:rPr>
          <w:sz w:val="20"/>
          <w:szCs w:val="20"/>
          <w:color w:val="auto"/>
        </w:rPr>
      </w:pPr>
      <w:r>
        <w:rPr>
          <w:rFonts w:ascii="Arial" w:cs="Arial" w:eastAsia="Arial" w:hAnsi="Arial"/>
          <w:sz w:val="18"/>
          <w:szCs w:val="18"/>
          <w:b w:val="1"/>
          <w:bCs w:val="1"/>
          <w:color w:val="00539B"/>
        </w:rPr>
        <w:t>ITEM 12. SECURITY OWNERSHIP OF CERTAIN BENEFICIAL OWNERS AND MANAGEMENT AND RELATED STOCKHOLDER MATTERS</w:t>
      </w:r>
    </w:p>
    <w:p>
      <w:pPr>
        <w:spacing w:after="0" w:line="16"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Information responsive to this item is incorporated herein by reference to the sections titled “Principal Stockholders,” “Election of Directors,” and “Equity Compensation Plan Information” in the 2026 Proxy Statement.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539B"/>
        </w:rPr>
        <w:t>ITEM 13. CERTAIN RELATIONSHIPS AND RELATED TRANSACTIONS, AND DIRECTOR INDEPENDENCE</w:t>
      </w:r>
    </w:p>
    <w:p>
      <w:pPr>
        <w:spacing w:after="0" w:line="90"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Information responsive to this item is incorporated herein by reference to the section entitled “Corporate Governance” in the 2026 Proxy Statement.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539B"/>
        </w:rPr>
        <w:t>ITEM 14. PRINCIPAL ACCOUNTANT FEES AND SERVICES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Our independent registered public accounting firm is Ernst &amp; Young LLP, Baltimore, Maryland, PCAOB ID: 00042.</w:t>
      </w:r>
    </w:p>
    <w:p>
      <w:pPr>
        <w:spacing w:after="0" w:line="171"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Information responsive to this item is incorporated herein by reference to the section titled “Report of Audit Committee" and "Fees of Independent Registered Public Accounting Firm” in the 2026 Proxy Statement.</w:t>
      </w:r>
    </w:p>
    <w:p>
      <w:pPr>
        <w:spacing w:after="0" w:line="200" w:lineRule="exact"/>
        <w:rPr>
          <w:sz w:val="20"/>
          <w:szCs w:val="20"/>
          <w:color w:val="auto"/>
        </w:rPr>
      </w:pPr>
    </w:p>
    <w:p>
      <w:pPr>
        <w:spacing w:after="0" w:line="29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052" w:right="539" w:bottom="1440" w:gutter="0" w:footer="0" w:header="0"/>
        </w:sectPr>
      </w:pPr>
    </w:p>
    <w:bookmarkStart w:id="84" w:name="page85"/>
    <w:bookmarkEnd w:id="84"/>
    <w:p>
      <w:pPr>
        <w:ind w:left="20"/>
        <w:spacing w:after="0"/>
        <w:rPr>
          <w:sz w:val="20"/>
          <w:szCs w:val="20"/>
          <w:color w:val="auto"/>
        </w:rPr>
      </w:pPr>
      <w:r>
        <w:rPr>
          <w:rFonts w:ascii="Arial" w:cs="Arial" w:eastAsia="Arial" w:hAnsi="Arial"/>
          <w:sz w:val="18"/>
          <w:szCs w:val="18"/>
          <w:b w:val="1"/>
          <w:bCs w:val="1"/>
          <w:color w:val="auto"/>
        </w:rPr>
        <w:t>PART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15175" cy="146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00539B"/>
        </w:rPr>
        <w:t>ITEM 15. EXHIBITS, FINANCIAL STATEMENT SCHEDULES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List of documents filed as part of this Report.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Consolidated Financial Statements</w:t>
      </w:r>
    </w:p>
    <w:p>
      <w:pPr>
        <w:spacing w:after="0" w:line="169" w:lineRule="exact"/>
        <w:rPr>
          <w:sz w:val="20"/>
          <w:szCs w:val="20"/>
          <w:color w:val="auto"/>
        </w:rPr>
      </w:pPr>
    </w:p>
    <w:p>
      <w:pPr>
        <w:ind w:right="1120"/>
        <w:spacing w:after="0" w:line="287" w:lineRule="auto"/>
        <w:rPr>
          <w:sz w:val="20"/>
          <w:szCs w:val="20"/>
          <w:color w:val="auto"/>
        </w:rPr>
      </w:pPr>
      <w:r>
        <w:rPr>
          <w:rFonts w:ascii="Arial" w:cs="Arial" w:eastAsia="Arial" w:hAnsi="Arial"/>
          <w:sz w:val="18"/>
          <w:szCs w:val="18"/>
          <w:color w:val="auto"/>
        </w:rPr>
        <w:t>The Consolidated Financial Statements for McCormick &amp; Company, Incorporated and related notes, together with the Report of Management, and the Reports of Ernst &amp; Young LLP dated January 22, 2026, are included herein in Part II, Item 8.</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 Consolidated Financial Statement Schedule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Supplemental Financial Schedule: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II–Valuation and Qualifying Accounts</w:t>
      </w:r>
    </w:p>
    <w:p>
      <w:pPr>
        <w:spacing w:after="0" w:line="171"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Schedules other than that listed above are omitted because of the absence of the conditions under which they are required or because the information called for is included in the consolidated financial statements or notes thereto.</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 Exhibits required to be filed by Item 601 of Regulation S-K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called for by this item is incorporated herein by reference from the Exhibit Index included in this Report.</w:t>
      </w:r>
    </w:p>
    <w:p>
      <w:pPr>
        <w:spacing w:after="0" w:line="171"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attached or incorporated herein by reference:</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40" w:type="dxa"/>
            <w:vAlign w:val="bottom"/>
          </w:tcPr>
          <w:p>
            <w:pPr>
              <w:spacing w:after="0"/>
              <w:rPr>
                <w:sz w:val="16"/>
                <w:szCs w:val="16"/>
                <w:color w:val="auto"/>
              </w:rPr>
            </w:pPr>
          </w:p>
        </w:tc>
        <w:tc>
          <w:tcPr>
            <w:tcW w:w="4840" w:type="dxa"/>
            <w:vAlign w:val="bottom"/>
            <w:gridSpan w:val="5"/>
          </w:tcPr>
          <w:p>
            <w:pPr>
              <w:ind w:left="1940"/>
              <w:spacing w:after="0"/>
              <w:rPr>
                <w:sz w:val="20"/>
                <w:szCs w:val="20"/>
                <w:color w:val="auto"/>
              </w:rPr>
            </w:pPr>
            <w:r>
              <w:rPr>
                <w:rFonts w:ascii="Arial" w:cs="Arial" w:eastAsia="Arial" w:hAnsi="Arial"/>
                <w:sz w:val="14"/>
                <w:szCs w:val="14"/>
                <w:color w:val="auto"/>
              </w:rPr>
              <w:t>Exhibit Number</w:t>
            </w:r>
          </w:p>
        </w:tc>
        <w:tc>
          <w:tcPr>
            <w:tcW w:w="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360" w:type="dxa"/>
            <w:vAlign w:val="bottom"/>
            <w:gridSpan w:val="10"/>
          </w:tcPr>
          <w:p>
            <w:pPr>
              <w:ind w:left="500"/>
              <w:spacing w:after="0"/>
              <w:rPr>
                <w:sz w:val="20"/>
                <w:szCs w:val="20"/>
                <w:color w:val="auto"/>
              </w:rPr>
            </w:pPr>
            <w:r>
              <w:rPr>
                <w:rFonts w:ascii="Arial" w:cs="Arial" w:eastAsia="Arial" w:hAnsi="Arial"/>
                <w:sz w:val="14"/>
                <w:szCs w:val="14"/>
                <w:color w:val="auto"/>
              </w:rPr>
              <w:t>Description</w:t>
            </w:r>
          </w:p>
        </w:tc>
        <w:tc>
          <w:tcPr>
            <w:tcW w:w="0" w:type="dxa"/>
            <w:vAlign w:val="bottom"/>
          </w:tcPr>
          <w:p>
            <w:pPr>
              <w:spacing w:after="0"/>
              <w:rPr>
                <w:sz w:val="1"/>
                <w:szCs w:val="1"/>
                <w:color w:val="auto"/>
              </w:rPr>
            </w:pPr>
          </w:p>
        </w:tc>
      </w:tr>
      <w:tr>
        <w:trPr>
          <w:trHeight w:val="35"/>
        </w:trPr>
        <w:tc>
          <w:tcPr>
            <w:tcW w:w="1340" w:type="dxa"/>
            <w:vAlign w:val="bottom"/>
            <w:tcBorders>
              <w:bottom w:val="single" w:sz="8" w:color="00539B"/>
            </w:tcBorders>
          </w:tcPr>
          <w:p>
            <w:pPr>
              <w:spacing w:after="0"/>
              <w:rPr>
                <w:sz w:val="3"/>
                <w:szCs w:val="3"/>
                <w:color w:val="auto"/>
              </w:rPr>
            </w:pPr>
          </w:p>
        </w:tc>
        <w:tc>
          <w:tcPr>
            <w:tcW w:w="2560" w:type="dxa"/>
            <w:vAlign w:val="bottom"/>
            <w:tcBorders>
              <w:bottom w:val="single" w:sz="8" w:color="00539B"/>
            </w:tcBorders>
          </w:tcPr>
          <w:p>
            <w:pPr>
              <w:spacing w:after="0"/>
              <w:rPr>
                <w:sz w:val="3"/>
                <w:szCs w:val="3"/>
                <w:color w:val="auto"/>
              </w:rPr>
            </w:pPr>
          </w:p>
        </w:tc>
        <w:tc>
          <w:tcPr>
            <w:tcW w:w="240" w:type="dxa"/>
            <w:vAlign w:val="bottom"/>
            <w:tcBorders>
              <w:bottom w:val="single" w:sz="8" w:color="00539B"/>
            </w:tcBorders>
          </w:tcPr>
          <w:p>
            <w:pPr>
              <w:spacing w:after="0"/>
              <w:rPr>
                <w:sz w:val="3"/>
                <w:szCs w:val="3"/>
                <w:color w:val="auto"/>
              </w:rPr>
            </w:pPr>
          </w:p>
        </w:tc>
        <w:tc>
          <w:tcPr>
            <w:tcW w:w="140" w:type="dxa"/>
            <w:vAlign w:val="bottom"/>
            <w:tcBorders>
              <w:bottom w:val="single" w:sz="8" w:color="00539B"/>
            </w:tcBorders>
          </w:tcPr>
          <w:p>
            <w:pPr>
              <w:spacing w:after="0"/>
              <w:rPr>
                <w:sz w:val="3"/>
                <w:szCs w:val="3"/>
                <w:color w:val="auto"/>
              </w:rPr>
            </w:pPr>
          </w:p>
        </w:tc>
        <w:tc>
          <w:tcPr>
            <w:tcW w:w="1800" w:type="dxa"/>
            <w:vAlign w:val="bottom"/>
            <w:tcBorders>
              <w:bottom w:val="single" w:sz="8" w:color="00539B"/>
            </w:tcBorders>
          </w:tcPr>
          <w:p>
            <w:pPr>
              <w:spacing w:after="0"/>
              <w:rPr>
                <w:sz w:val="3"/>
                <w:szCs w:val="3"/>
                <w:color w:val="auto"/>
              </w:rPr>
            </w:pPr>
          </w:p>
        </w:tc>
        <w:tc>
          <w:tcPr>
            <w:tcW w:w="100" w:type="dxa"/>
            <w:vAlign w:val="bottom"/>
            <w:tcBorders>
              <w:bottom w:val="single" w:sz="8" w:color="00539B"/>
            </w:tcBorders>
          </w:tcPr>
          <w:p>
            <w:pPr>
              <w:spacing w:after="0"/>
              <w:rPr>
                <w:sz w:val="3"/>
                <w:szCs w:val="3"/>
                <w:color w:val="auto"/>
              </w:rPr>
            </w:pPr>
          </w:p>
        </w:tc>
        <w:tc>
          <w:tcPr>
            <w:tcW w:w="60" w:type="dxa"/>
            <w:vAlign w:val="bottom"/>
            <w:tcBorders>
              <w:bottom w:val="single" w:sz="8" w:color="00539B"/>
            </w:tcBorders>
          </w:tcPr>
          <w:p>
            <w:pPr>
              <w:spacing w:after="0"/>
              <w:rPr>
                <w:sz w:val="3"/>
                <w:szCs w:val="3"/>
                <w:color w:val="auto"/>
              </w:rPr>
            </w:pPr>
          </w:p>
        </w:tc>
        <w:tc>
          <w:tcPr>
            <w:tcW w:w="1220" w:type="dxa"/>
            <w:vAlign w:val="bottom"/>
            <w:tcBorders>
              <w:bottom w:val="single" w:sz="8" w:color="00539B"/>
            </w:tcBorders>
          </w:tcPr>
          <w:p>
            <w:pPr>
              <w:spacing w:after="0"/>
              <w:rPr>
                <w:sz w:val="3"/>
                <w:szCs w:val="3"/>
                <w:color w:val="auto"/>
              </w:rPr>
            </w:pPr>
          </w:p>
        </w:tc>
        <w:tc>
          <w:tcPr>
            <w:tcW w:w="400" w:type="dxa"/>
            <w:vAlign w:val="bottom"/>
            <w:tcBorders>
              <w:bottom w:val="single" w:sz="8" w:color="00539B"/>
            </w:tcBorders>
          </w:tcPr>
          <w:p>
            <w:pPr>
              <w:spacing w:after="0"/>
              <w:rPr>
                <w:sz w:val="3"/>
                <w:szCs w:val="3"/>
                <w:color w:val="auto"/>
              </w:rPr>
            </w:pPr>
          </w:p>
        </w:tc>
        <w:tc>
          <w:tcPr>
            <w:tcW w:w="2320" w:type="dxa"/>
            <w:vAlign w:val="bottom"/>
            <w:tcBorders>
              <w:bottom w:val="single" w:sz="8" w:color="00539B"/>
            </w:tcBorders>
          </w:tcPr>
          <w:p>
            <w:pPr>
              <w:spacing w:after="0"/>
              <w:rPr>
                <w:sz w:val="3"/>
                <w:szCs w:val="3"/>
                <w:color w:val="auto"/>
              </w:rPr>
            </w:pPr>
          </w:p>
        </w:tc>
        <w:tc>
          <w:tcPr>
            <w:tcW w:w="640" w:type="dxa"/>
            <w:vAlign w:val="bottom"/>
            <w:tcBorders>
              <w:bottom w:val="single" w:sz="8" w:color="00539B"/>
            </w:tcBorders>
          </w:tcPr>
          <w:p>
            <w:pPr>
              <w:spacing w:after="0"/>
              <w:rPr>
                <w:sz w:val="3"/>
                <w:szCs w:val="3"/>
                <w:color w:val="auto"/>
              </w:rPr>
            </w:pPr>
          </w:p>
        </w:tc>
        <w:tc>
          <w:tcPr>
            <w:tcW w:w="60" w:type="dxa"/>
            <w:vAlign w:val="bottom"/>
            <w:tcBorders>
              <w:bottom w:val="single" w:sz="8" w:color="00539B"/>
            </w:tcBorders>
          </w:tcPr>
          <w:p>
            <w:pPr>
              <w:spacing w:after="0"/>
              <w:rPr>
                <w:sz w:val="3"/>
                <w:szCs w:val="3"/>
                <w:color w:val="auto"/>
              </w:rPr>
            </w:pPr>
          </w:p>
        </w:tc>
        <w:tc>
          <w:tcPr>
            <w:tcW w:w="20" w:type="dxa"/>
            <w:vAlign w:val="bottom"/>
            <w:tcBorders>
              <w:bottom w:val="single" w:sz="8" w:color="00539B"/>
            </w:tcBorders>
          </w:tcPr>
          <w:p>
            <w:pPr>
              <w:spacing w:after="0"/>
              <w:rPr>
                <w:sz w:val="3"/>
                <w:szCs w:val="3"/>
                <w:color w:val="auto"/>
              </w:rPr>
            </w:pPr>
          </w:p>
        </w:tc>
        <w:tc>
          <w:tcPr>
            <w:tcW w:w="80" w:type="dxa"/>
            <w:vAlign w:val="bottom"/>
            <w:tcBorders>
              <w:bottom w:val="single" w:sz="8" w:color="00539B"/>
            </w:tcBorders>
          </w:tcPr>
          <w:p>
            <w:pPr>
              <w:spacing w:after="0"/>
              <w:rPr>
                <w:sz w:val="3"/>
                <w:szCs w:val="3"/>
                <w:color w:val="auto"/>
              </w:rPr>
            </w:pPr>
          </w:p>
        </w:tc>
        <w:tc>
          <w:tcPr>
            <w:tcW w:w="100" w:type="dxa"/>
            <w:vAlign w:val="bottom"/>
            <w:tcBorders>
              <w:bottom w:val="single" w:sz="8" w:color="00539B"/>
            </w:tcBorders>
          </w:tcPr>
          <w:p>
            <w:pPr>
              <w:spacing w:after="0"/>
              <w:rPr>
                <w:sz w:val="3"/>
                <w:szCs w:val="3"/>
                <w:color w:val="auto"/>
              </w:rPr>
            </w:pPr>
          </w:p>
        </w:tc>
        <w:tc>
          <w:tcPr>
            <w:tcW w:w="40" w:type="dxa"/>
            <w:vAlign w:val="bottom"/>
            <w:tcBorders>
              <w:bottom w:val="single" w:sz="8" w:color="00539B"/>
            </w:tcBorders>
          </w:tcPr>
          <w:p>
            <w:pPr>
              <w:spacing w:after="0"/>
              <w:rPr>
                <w:sz w:val="3"/>
                <w:szCs w:val="3"/>
                <w:color w:val="auto"/>
              </w:rPr>
            </w:pPr>
          </w:p>
        </w:tc>
        <w:tc>
          <w:tcPr>
            <w:tcW w:w="40" w:type="dxa"/>
            <w:vAlign w:val="bottom"/>
            <w:tcBorders>
              <w:bottom w:val="single" w:sz="8" w:color="00539B"/>
            </w:tcBorders>
          </w:tcPr>
          <w:p>
            <w:pPr>
              <w:spacing w:after="0"/>
              <w:rPr>
                <w:sz w:val="3"/>
                <w:szCs w:val="3"/>
                <w:color w:val="auto"/>
              </w:rPr>
            </w:pPr>
          </w:p>
        </w:tc>
        <w:tc>
          <w:tcPr>
            <w:tcW w:w="20" w:type="dxa"/>
            <w:vAlign w:val="bottom"/>
            <w:tcBorders>
              <w:bottom w:val="single" w:sz="8" w:color="00539B"/>
            </w:tcBorders>
          </w:tcPr>
          <w:p>
            <w:pPr>
              <w:spacing w:after="0"/>
              <w:rPr>
                <w:sz w:val="3"/>
                <w:szCs w:val="3"/>
                <w:color w:val="auto"/>
              </w:rPr>
            </w:pPr>
          </w:p>
        </w:tc>
        <w:tc>
          <w:tcPr>
            <w:tcW w:w="40" w:type="dxa"/>
            <w:vAlign w:val="bottom"/>
            <w:tcBorders>
              <w:bottom w:val="single" w:sz="8" w:color="00539B"/>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1340" w:type="dxa"/>
            <w:vAlign w:val="bottom"/>
          </w:tcPr>
          <w:p>
            <w:pPr>
              <w:ind w:left="400"/>
              <w:spacing w:after="0"/>
              <w:rPr>
                <w:sz w:val="20"/>
                <w:szCs w:val="20"/>
                <w:color w:val="auto"/>
              </w:rPr>
            </w:pPr>
            <w:r>
              <w:rPr>
                <w:rFonts w:ascii="Arial" w:cs="Arial" w:eastAsia="Arial" w:hAnsi="Arial"/>
                <w:sz w:val="18"/>
                <w:szCs w:val="18"/>
                <w:color w:val="auto"/>
              </w:rPr>
              <w:t>(3) (i)</w:t>
            </w:r>
          </w:p>
        </w:tc>
        <w:tc>
          <w:tcPr>
            <w:tcW w:w="4840" w:type="dxa"/>
            <w:vAlign w:val="bottom"/>
            <w:gridSpan w:val="5"/>
          </w:tcPr>
          <w:p>
            <w:pPr>
              <w:spacing w:after="0"/>
              <w:rPr>
                <w:sz w:val="20"/>
                <w:szCs w:val="20"/>
                <w:color w:val="auto"/>
              </w:rPr>
            </w:pPr>
            <w:r>
              <w:rPr>
                <w:rFonts w:ascii="Arial" w:cs="Arial" w:eastAsia="Arial" w:hAnsi="Arial"/>
                <w:sz w:val="18"/>
                <w:szCs w:val="18"/>
                <w:color w:val="auto"/>
              </w:rPr>
              <w:t>Articles of Incorporation and By-Laws</w:t>
            </w:r>
          </w:p>
        </w:tc>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4840" w:type="dxa"/>
            <w:vAlign w:val="bottom"/>
            <w:gridSpan w:val="5"/>
          </w:tcPr>
          <w:p>
            <w:pPr>
              <w:spacing w:after="0"/>
              <w:rPr>
                <w:sz w:val="20"/>
                <w:szCs w:val="20"/>
                <w:color w:val="auto"/>
              </w:rPr>
            </w:pPr>
            <w:r>
              <w:rPr>
                <w:rFonts w:ascii="Arial" w:cs="Arial" w:eastAsia="Arial" w:hAnsi="Arial"/>
                <w:sz w:val="18"/>
                <w:szCs w:val="18"/>
                <w:color w:val="auto"/>
              </w:rPr>
              <w:t>Restatement of Charter of McCormick &amp; Company,</w:t>
            </w:r>
          </w:p>
        </w:tc>
        <w:tc>
          <w:tcPr>
            <w:tcW w:w="60" w:type="dxa"/>
            <w:vAlign w:val="bottom"/>
          </w:tcPr>
          <w:p>
            <w:pPr>
              <w:spacing w:after="0"/>
              <w:rPr>
                <w:sz w:val="19"/>
                <w:szCs w:val="19"/>
                <w:color w:val="auto"/>
              </w:rPr>
            </w:pPr>
          </w:p>
        </w:tc>
        <w:tc>
          <w:tcPr>
            <w:tcW w:w="4980" w:type="dxa"/>
            <w:vAlign w:val="bottom"/>
            <w:gridSpan w:val="12"/>
          </w:tcPr>
          <w:p>
            <w:pPr>
              <w:spacing w:after="0"/>
              <w:rPr>
                <w:sz w:val="20"/>
                <w:szCs w:val="20"/>
                <w:color w:val="auto"/>
              </w:rPr>
            </w:pPr>
            <w:r>
              <w:rPr>
                <w:rFonts w:ascii="Arial" w:cs="Arial" w:eastAsia="Arial" w:hAnsi="Arial"/>
                <w:sz w:val="18"/>
                <w:szCs w:val="18"/>
                <w:color w:val="auto"/>
              </w:rPr>
              <w:t>Incorporated by reference from Exhibit 4 of Registration Form</w:t>
            </w:r>
          </w:p>
        </w:tc>
        <w:tc>
          <w:tcPr>
            <w:tcW w:w="0" w:type="dxa"/>
            <w:vAlign w:val="bottom"/>
          </w:tcPr>
          <w:p>
            <w:pPr>
              <w:spacing w:after="0"/>
              <w:rPr>
                <w:sz w:val="1"/>
                <w:szCs w:val="1"/>
                <w:color w:val="auto"/>
              </w:rPr>
            </w:pPr>
          </w:p>
        </w:tc>
      </w:tr>
      <w:tr>
        <w:trPr>
          <w:trHeight w:val="181"/>
        </w:trPr>
        <w:tc>
          <w:tcPr>
            <w:tcW w:w="1340" w:type="dxa"/>
            <w:vAlign w:val="bottom"/>
          </w:tcPr>
          <w:p>
            <w:pPr>
              <w:spacing w:after="0"/>
              <w:rPr>
                <w:sz w:val="15"/>
                <w:szCs w:val="15"/>
                <w:color w:val="auto"/>
              </w:rPr>
            </w:pPr>
          </w:p>
        </w:tc>
        <w:tc>
          <w:tcPr>
            <w:tcW w:w="4840" w:type="dxa"/>
            <w:vAlign w:val="bottom"/>
            <w:gridSpan w:val="5"/>
          </w:tcPr>
          <w:p>
            <w:pPr>
              <w:spacing w:after="0" w:line="181" w:lineRule="exact"/>
              <w:rPr>
                <w:sz w:val="20"/>
                <w:szCs w:val="20"/>
                <w:color w:val="auto"/>
              </w:rPr>
            </w:pPr>
            <w:r>
              <w:rPr>
                <w:rFonts w:ascii="Arial" w:cs="Arial" w:eastAsia="Arial" w:hAnsi="Arial"/>
                <w:sz w:val="18"/>
                <w:szCs w:val="18"/>
                <w:color w:val="auto"/>
              </w:rPr>
              <w:t>Incorporated dated April 16, 1990</w:t>
            </w:r>
          </w:p>
        </w:tc>
        <w:tc>
          <w:tcPr>
            <w:tcW w:w="60" w:type="dxa"/>
            <w:vAlign w:val="bottom"/>
          </w:tcPr>
          <w:p>
            <w:pPr>
              <w:spacing w:after="0"/>
              <w:rPr>
                <w:sz w:val="15"/>
                <w:szCs w:val="15"/>
                <w:color w:val="auto"/>
              </w:rPr>
            </w:pPr>
          </w:p>
        </w:tc>
        <w:tc>
          <w:tcPr>
            <w:tcW w:w="4980" w:type="dxa"/>
            <w:vAlign w:val="bottom"/>
            <w:gridSpan w:val="12"/>
          </w:tcPr>
          <w:p>
            <w:pPr>
              <w:spacing w:after="0" w:line="181" w:lineRule="exact"/>
              <w:rPr>
                <w:sz w:val="20"/>
                <w:szCs w:val="20"/>
                <w:color w:val="auto"/>
              </w:rPr>
            </w:pPr>
            <w:r>
              <w:rPr>
                <w:rFonts w:ascii="Arial" w:cs="Arial" w:eastAsia="Arial" w:hAnsi="Arial"/>
                <w:sz w:val="18"/>
                <w:szCs w:val="18"/>
                <w:color w:val="auto"/>
              </w:rPr>
              <w:t>S-8, Registration No. 33-39582 as filed with the Securities</w:t>
            </w:r>
          </w:p>
        </w:tc>
        <w:tc>
          <w:tcPr>
            <w:tcW w:w="0" w:type="dxa"/>
            <w:vAlign w:val="bottom"/>
          </w:tcPr>
          <w:p>
            <w:pPr>
              <w:spacing w:after="0"/>
              <w:rPr>
                <w:sz w:val="1"/>
                <w:szCs w:val="1"/>
                <w:color w:val="auto"/>
              </w:rPr>
            </w:pPr>
          </w:p>
        </w:tc>
      </w:tr>
      <w:tr>
        <w:trPr>
          <w:trHeight w:val="239"/>
        </w:trPr>
        <w:tc>
          <w:tcPr>
            <w:tcW w:w="13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980" w:type="dxa"/>
            <w:vAlign w:val="bottom"/>
            <w:gridSpan w:val="12"/>
          </w:tcPr>
          <w:p>
            <w:pPr>
              <w:spacing w:after="0"/>
              <w:rPr>
                <w:sz w:val="20"/>
                <w:szCs w:val="20"/>
                <w:color w:val="auto"/>
              </w:rPr>
            </w:pPr>
            <w:r>
              <w:rPr>
                <w:rFonts w:ascii="Arial" w:cs="Arial" w:eastAsia="Arial" w:hAnsi="Arial"/>
                <w:sz w:val="18"/>
                <w:szCs w:val="18"/>
                <w:color w:val="auto"/>
              </w:rPr>
              <w:t>and Exchange Commission on March 25, 1991.</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9880" w:type="dxa"/>
            <w:vAlign w:val="bottom"/>
            <w:gridSpan w:val="18"/>
          </w:tcPr>
          <w:p>
            <w:pPr>
              <w:spacing w:after="0"/>
              <w:rPr>
                <w:sz w:val="20"/>
                <w:szCs w:val="20"/>
                <w:color w:val="auto"/>
              </w:rPr>
            </w:pPr>
            <w:r>
              <w:rPr>
                <w:rFonts w:ascii="Arial" w:cs="Arial" w:eastAsia="Arial" w:hAnsi="Arial"/>
                <w:sz w:val="18"/>
                <w:szCs w:val="18"/>
                <w:color w:val="auto"/>
              </w:rPr>
              <w:t>Articles of Amendment to Charter of McCormick &amp; Company, Incorporated by reference from Exhibit 4 of Registration Form</w:t>
            </w:r>
          </w:p>
        </w:tc>
        <w:tc>
          <w:tcPr>
            <w:tcW w:w="0" w:type="dxa"/>
            <w:vAlign w:val="bottom"/>
          </w:tcPr>
          <w:p>
            <w:pPr>
              <w:spacing w:after="0"/>
              <w:rPr>
                <w:sz w:val="1"/>
                <w:szCs w:val="1"/>
                <w:color w:val="auto"/>
              </w:rPr>
            </w:pPr>
          </w:p>
        </w:tc>
      </w:tr>
      <w:tr>
        <w:trPr>
          <w:trHeight w:val="181"/>
        </w:trPr>
        <w:tc>
          <w:tcPr>
            <w:tcW w:w="1340" w:type="dxa"/>
            <w:vAlign w:val="bottom"/>
          </w:tcPr>
          <w:p>
            <w:pPr>
              <w:spacing w:after="0"/>
              <w:rPr>
                <w:sz w:val="15"/>
                <w:szCs w:val="15"/>
                <w:color w:val="auto"/>
              </w:rPr>
            </w:pPr>
          </w:p>
        </w:tc>
        <w:tc>
          <w:tcPr>
            <w:tcW w:w="4840" w:type="dxa"/>
            <w:vAlign w:val="bottom"/>
            <w:gridSpan w:val="5"/>
          </w:tcPr>
          <w:p>
            <w:pPr>
              <w:spacing w:after="0" w:line="181" w:lineRule="exact"/>
              <w:rPr>
                <w:sz w:val="20"/>
                <w:szCs w:val="20"/>
                <w:color w:val="auto"/>
              </w:rPr>
            </w:pPr>
            <w:r>
              <w:rPr>
                <w:rFonts w:ascii="Arial" w:cs="Arial" w:eastAsia="Arial" w:hAnsi="Arial"/>
                <w:sz w:val="18"/>
                <w:szCs w:val="18"/>
                <w:color w:val="auto"/>
              </w:rPr>
              <w:t>Incorporated dated April 1, 1992</w:t>
            </w:r>
          </w:p>
        </w:tc>
        <w:tc>
          <w:tcPr>
            <w:tcW w:w="60" w:type="dxa"/>
            <w:vAlign w:val="bottom"/>
          </w:tcPr>
          <w:p>
            <w:pPr>
              <w:spacing w:after="0"/>
              <w:rPr>
                <w:sz w:val="15"/>
                <w:szCs w:val="15"/>
                <w:color w:val="auto"/>
              </w:rPr>
            </w:pPr>
          </w:p>
        </w:tc>
        <w:tc>
          <w:tcPr>
            <w:tcW w:w="4980" w:type="dxa"/>
            <w:vAlign w:val="bottom"/>
            <w:gridSpan w:val="12"/>
          </w:tcPr>
          <w:p>
            <w:pPr>
              <w:spacing w:after="0" w:line="181" w:lineRule="exact"/>
              <w:rPr>
                <w:sz w:val="20"/>
                <w:szCs w:val="20"/>
                <w:color w:val="auto"/>
              </w:rPr>
            </w:pPr>
            <w:r>
              <w:rPr>
                <w:rFonts w:ascii="Arial" w:cs="Arial" w:eastAsia="Arial" w:hAnsi="Arial"/>
                <w:sz w:val="18"/>
                <w:szCs w:val="18"/>
                <w:color w:val="auto"/>
              </w:rPr>
              <w:t>S-8, Registration Statement No. 33-59842 as filed with the</w:t>
            </w:r>
          </w:p>
        </w:tc>
        <w:tc>
          <w:tcPr>
            <w:tcW w:w="0" w:type="dxa"/>
            <w:vAlign w:val="bottom"/>
          </w:tcPr>
          <w:p>
            <w:pPr>
              <w:spacing w:after="0"/>
              <w:rPr>
                <w:sz w:val="1"/>
                <w:szCs w:val="1"/>
                <w:color w:val="auto"/>
              </w:rPr>
            </w:pPr>
          </w:p>
        </w:tc>
      </w:tr>
      <w:tr>
        <w:trPr>
          <w:trHeight w:val="239"/>
        </w:trPr>
        <w:tc>
          <w:tcPr>
            <w:tcW w:w="13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980" w:type="dxa"/>
            <w:vAlign w:val="bottom"/>
            <w:gridSpan w:val="12"/>
          </w:tcPr>
          <w:p>
            <w:pPr>
              <w:spacing w:after="0"/>
              <w:rPr>
                <w:sz w:val="20"/>
                <w:szCs w:val="20"/>
                <w:color w:val="auto"/>
              </w:rPr>
            </w:pPr>
            <w:r>
              <w:rPr>
                <w:rFonts w:ascii="Arial" w:cs="Arial" w:eastAsia="Arial" w:hAnsi="Arial"/>
                <w:sz w:val="18"/>
                <w:szCs w:val="18"/>
                <w:color w:val="auto"/>
              </w:rPr>
              <w:t>Securities and Exchange Commission on March 19, 1993.</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9880" w:type="dxa"/>
            <w:vAlign w:val="bottom"/>
            <w:gridSpan w:val="18"/>
          </w:tcPr>
          <w:p>
            <w:pPr>
              <w:spacing w:after="0"/>
              <w:rPr>
                <w:rFonts w:ascii="Arial" w:cs="Arial" w:eastAsia="Arial" w:hAnsi="Arial"/>
                <w:sz w:val="18"/>
                <w:szCs w:val="18"/>
                <w:color w:val="0000FF"/>
              </w:rPr>
            </w:pPr>
            <w:hyperlink r:id="rId140">
              <w:r>
                <w:rPr>
                  <w:rFonts w:ascii="Arial" w:cs="Arial" w:eastAsia="Arial" w:hAnsi="Arial"/>
                  <w:sz w:val="18"/>
                  <w:szCs w:val="18"/>
                  <w:color w:val="0000FF"/>
                </w:rPr>
                <w:t>Articles of Amendment to Charter of McCormick &amp; Company, Incorporated by reference from Exhibit 4 of Registration Form</w:t>
              </w:r>
            </w:hyperlink>
          </w:p>
        </w:tc>
        <w:tc>
          <w:tcPr>
            <w:tcW w:w="0" w:type="dxa"/>
            <w:vAlign w:val="bottom"/>
          </w:tcPr>
          <w:p>
            <w:pPr>
              <w:spacing w:after="0"/>
              <w:rPr>
                <w:sz w:val="1"/>
                <w:szCs w:val="1"/>
                <w:color w:val="auto"/>
              </w:rPr>
            </w:pPr>
          </w:p>
        </w:tc>
      </w:tr>
      <w:tr>
        <w:trPr>
          <w:trHeight w:val="169"/>
        </w:trPr>
        <w:tc>
          <w:tcPr>
            <w:tcW w:w="1340" w:type="dxa"/>
            <w:vAlign w:val="bottom"/>
          </w:tcPr>
          <w:p>
            <w:pPr>
              <w:spacing w:after="0"/>
              <w:rPr>
                <w:sz w:val="14"/>
                <w:szCs w:val="14"/>
                <w:color w:val="auto"/>
              </w:rPr>
            </w:pPr>
          </w:p>
        </w:tc>
        <w:tc>
          <w:tcPr>
            <w:tcW w:w="4840" w:type="dxa"/>
            <w:vAlign w:val="bottom"/>
            <w:tcBorders>
              <w:top w:val="single" w:sz="8" w:color="0000FF"/>
            </w:tcBorders>
            <w:gridSpan w:val="5"/>
          </w:tcPr>
          <w:p>
            <w:pPr>
              <w:spacing w:after="0" w:line="169" w:lineRule="exact"/>
              <w:rPr>
                <w:rFonts w:ascii="Arial" w:cs="Arial" w:eastAsia="Arial" w:hAnsi="Arial"/>
                <w:sz w:val="18"/>
                <w:szCs w:val="18"/>
                <w:color w:val="0000FF"/>
              </w:rPr>
            </w:pPr>
            <w:hyperlink r:id="rId140">
              <w:r>
                <w:rPr>
                  <w:rFonts w:ascii="Arial" w:cs="Arial" w:eastAsia="Arial" w:hAnsi="Arial"/>
                  <w:sz w:val="18"/>
                  <w:szCs w:val="18"/>
                  <w:color w:val="0000FF"/>
                </w:rPr>
                <w:t>Incorporated dated March 27, 2003</w:t>
              </w:r>
            </w:hyperlink>
          </w:p>
        </w:tc>
        <w:tc>
          <w:tcPr>
            <w:tcW w:w="60" w:type="dxa"/>
            <w:vAlign w:val="bottom"/>
          </w:tcPr>
          <w:p>
            <w:pPr>
              <w:spacing w:after="0"/>
              <w:rPr>
                <w:sz w:val="14"/>
                <w:szCs w:val="14"/>
                <w:color w:val="auto"/>
              </w:rPr>
            </w:pPr>
          </w:p>
        </w:tc>
        <w:tc>
          <w:tcPr>
            <w:tcW w:w="4880" w:type="dxa"/>
            <w:vAlign w:val="bottom"/>
            <w:tcBorders>
              <w:top w:val="single" w:sz="8" w:color="0000FF"/>
            </w:tcBorders>
            <w:gridSpan w:val="9"/>
          </w:tcPr>
          <w:p>
            <w:pPr>
              <w:spacing w:after="0" w:line="169" w:lineRule="exact"/>
              <w:rPr>
                <w:rFonts w:ascii="Arial" w:cs="Arial" w:eastAsia="Arial" w:hAnsi="Arial"/>
                <w:sz w:val="18"/>
                <w:szCs w:val="18"/>
                <w:color w:val="0000FF"/>
              </w:rPr>
            </w:pPr>
            <w:hyperlink r:id="rId140">
              <w:r>
                <w:rPr>
                  <w:rFonts w:ascii="Arial" w:cs="Arial" w:eastAsia="Arial" w:hAnsi="Arial"/>
                  <w:sz w:val="18"/>
                  <w:szCs w:val="18"/>
                  <w:color w:val="0000FF"/>
                </w:rPr>
                <w:t>S-8, Registration Statement No. 333-104084 as filed with the</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340" w:type="dxa"/>
            <w:vAlign w:val="bottom"/>
          </w:tcPr>
          <w:p>
            <w:pPr>
              <w:spacing w:after="0"/>
              <w:rPr>
                <w:sz w:val="13"/>
                <w:szCs w:val="13"/>
                <w:color w:val="auto"/>
              </w:rPr>
            </w:pPr>
          </w:p>
        </w:tc>
        <w:tc>
          <w:tcPr>
            <w:tcW w:w="25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4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r:id="rId140">
              <w:r>
                <w:rPr>
                  <w:rFonts w:ascii="Arial" w:cs="Arial" w:eastAsia="Arial" w:hAnsi="Arial"/>
                  <w:sz w:val="18"/>
                  <w:szCs w:val="18"/>
                  <w:color w:val="0000FF"/>
                </w:rPr>
                <w:t>Securities and Exchange Commission on March 28, 2003</w:t>
              </w:r>
              <w:r>
                <w:rPr>
                  <w:rFonts w:ascii="Arial" w:cs="Arial" w:eastAsia="Arial" w:hAnsi="Arial"/>
                  <w:sz w:val="18"/>
                  <w:szCs w:val="18"/>
                  <w:color w:val="000000"/>
                </w:rPr>
                <w:t>.</w:t>
              </w:r>
            </w:hyperlink>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340" w:type="dxa"/>
            <w:vAlign w:val="bottom"/>
          </w:tcPr>
          <w:p>
            <w:pPr>
              <w:spacing w:after="0"/>
              <w:rPr>
                <w:sz w:val="22"/>
                <w:szCs w:val="22"/>
                <w:color w:val="auto"/>
              </w:rPr>
            </w:pPr>
          </w:p>
        </w:tc>
        <w:tc>
          <w:tcPr>
            <w:tcW w:w="9880" w:type="dxa"/>
            <w:vAlign w:val="bottom"/>
            <w:gridSpan w:val="18"/>
          </w:tcPr>
          <w:p>
            <w:pPr>
              <w:spacing w:after="0"/>
              <w:rPr>
                <w:rFonts w:ascii="Arial" w:cs="Arial" w:eastAsia="Arial" w:hAnsi="Arial"/>
                <w:sz w:val="18"/>
                <w:szCs w:val="18"/>
                <w:color w:val="0000FF"/>
              </w:rPr>
            </w:pPr>
            <w:hyperlink r:id="rId141">
              <w:r>
                <w:rPr>
                  <w:rFonts w:ascii="Arial" w:cs="Arial" w:eastAsia="Arial" w:hAnsi="Arial"/>
                  <w:sz w:val="18"/>
                  <w:szCs w:val="18"/>
                  <w:color w:val="0000FF"/>
                </w:rPr>
                <w:t>Articles of Amendment to Charter of McCormick &amp; Company, Incorporated by reference from Exhibit 3(i) of McCormick's</w:t>
              </w:r>
            </w:hyperlink>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340" w:type="dxa"/>
            <w:vAlign w:val="bottom"/>
          </w:tcPr>
          <w:p>
            <w:pPr>
              <w:spacing w:after="0"/>
              <w:rPr>
                <w:sz w:val="14"/>
                <w:szCs w:val="14"/>
                <w:color w:val="auto"/>
              </w:rPr>
            </w:pPr>
          </w:p>
        </w:tc>
        <w:tc>
          <w:tcPr>
            <w:tcW w:w="4840" w:type="dxa"/>
            <w:vAlign w:val="bottom"/>
            <w:gridSpan w:val="5"/>
          </w:tcPr>
          <w:p>
            <w:pPr>
              <w:spacing w:after="0" w:line="169" w:lineRule="exact"/>
              <w:rPr>
                <w:rFonts w:ascii="Arial" w:cs="Arial" w:eastAsia="Arial" w:hAnsi="Arial"/>
                <w:sz w:val="18"/>
                <w:szCs w:val="18"/>
                <w:color w:val="0000FF"/>
              </w:rPr>
            </w:pPr>
            <w:hyperlink r:id="rId141">
              <w:r>
                <w:rPr>
                  <w:rFonts w:ascii="Arial" w:cs="Arial" w:eastAsia="Arial" w:hAnsi="Arial"/>
                  <w:sz w:val="18"/>
                  <w:szCs w:val="18"/>
                  <w:color w:val="0000FF"/>
                </w:rPr>
                <w:t>Incorporated dated April 2, 2021</w:t>
              </w:r>
            </w:hyperlink>
          </w:p>
        </w:tc>
        <w:tc>
          <w:tcPr>
            <w:tcW w:w="60" w:type="dxa"/>
            <w:vAlign w:val="bottom"/>
          </w:tcPr>
          <w:p>
            <w:pPr>
              <w:spacing w:after="0"/>
              <w:rPr>
                <w:sz w:val="14"/>
                <w:szCs w:val="14"/>
                <w:color w:val="auto"/>
              </w:rPr>
            </w:pPr>
          </w:p>
        </w:tc>
        <w:tc>
          <w:tcPr>
            <w:tcW w:w="4980" w:type="dxa"/>
            <w:vAlign w:val="bottom"/>
            <w:gridSpan w:val="12"/>
          </w:tcPr>
          <w:p>
            <w:pPr>
              <w:spacing w:after="0" w:line="169" w:lineRule="exact"/>
              <w:rPr>
                <w:rFonts w:ascii="Arial" w:cs="Arial" w:eastAsia="Arial" w:hAnsi="Arial"/>
                <w:sz w:val="18"/>
                <w:szCs w:val="18"/>
                <w:color w:val="0000FF"/>
              </w:rPr>
            </w:pPr>
            <w:hyperlink r:id="rId141">
              <w:r>
                <w:rPr>
                  <w:rFonts w:ascii="Arial" w:cs="Arial" w:eastAsia="Arial" w:hAnsi="Arial"/>
                  <w:sz w:val="18"/>
                  <w:szCs w:val="18"/>
                  <w:color w:val="0000FF"/>
                </w:rPr>
                <w:t>Form 10-Q for the quarter ended May 31, 2021, File No. 1-</w:t>
              </w:r>
            </w:hyperlink>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4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980" w:type="dxa"/>
            <w:vAlign w:val="bottom"/>
            <w:gridSpan w:val="12"/>
          </w:tcPr>
          <w:p>
            <w:pPr>
              <w:spacing w:after="0" w:line="156" w:lineRule="exact"/>
              <w:rPr>
                <w:rFonts w:ascii="Arial" w:cs="Arial" w:eastAsia="Arial" w:hAnsi="Arial"/>
                <w:sz w:val="18"/>
                <w:szCs w:val="18"/>
                <w:color w:val="0000FF"/>
              </w:rPr>
            </w:pPr>
            <w:hyperlink r:id="rId141">
              <w:r>
                <w:rPr>
                  <w:rFonts w:ascii="Arial" w:cs="Arial" w:eastAsia="Arial" w:hAnsi="Arial"/>
                  <w:sz w:val="18"/>
                  <w:szCs w:val="18"/>
                  <w:color w:val="0000FF"/>
                </w:rPr>
                <w:t>14920, as filed with the Securities and Exchange Commission</w:t>
              </w:r>
            </w:hyperlink>
          </w:p>
        </w:tc>
        <w:tc>
          <w:tcPr>
            <w:tcW w:w="0" w:type="dxa"/>
            <w:vAlign w:val="bottom"/>
          </w:tcPr>
          <w:p>
            <w:pPr>
              <w:spacing w:after="0"/>
              <w:rPr>
                <w:sz w:val="1"/>
                <w:szCs w:val="1"/>
                <w:color w:val="auto"/>
              </w:rPr>
            </w:pPr>
          </w:p>
        </w:tc>
      </w:tr>
      <w:tr>
        <w:trPr>
          <w:trHeight w:val="155"/>
        </w:trPr>
        <w:tc>
          <w:tcPr>
            <w:tcW w:w="134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92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r:id="rId141">
              <w:r>
                <w:rPr>
                  <w:rFonts w:ascii="Arial" w:cs="Arial" w:eastAsia="Arial" w:hAnsi="Arial"/>
                  <w:sz w:val="18"/>
                  <w:szCs w:val="18"/>
                  <w:color w:val="0000FF"/>
                </w:rPr>
                <w:t>on July 1, 2021</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8"/>
        </w:trPr>
        <w:tc>
          <w:tcPr>
            <w:tcW w:w="1340" w:type="dxa"/>
            <w:vAlign w:val="bottom"/>
          </w:tcPr>
          <w:p>
            <w:pPr>
              <w:ind w:left="680"/>
              <w:spacing w:after="0"/>
              <w:rPr>
                <w:sz w:val="20"/>
                <w:szCs w:val="20"/>
                <w:color w:val="auto"/>
              </w:rPr>
            </w:pPr>
            <w:r>
              <w:rPr>
                <w:rFonts w:ascii="Arial" w:cs="Arial" w:eastAsia="Arial" w:hAnsi="Arial"/>
                <w:sz w:val="18"/>
                <w:szCs w:val="18"/>
                <w:color w:val="auto"/>
              </w:rPr>
              <w:t>(ii)</w:t>
            </w:r>
          </w:p>
        </w:tc>
        <w:tc>
          <w:tcPr>
            <w:tcW w:w="4840" w:type="dxa"/>
            <w:vAlign w:val="bottom"/>
            <w:gridSpan w:val="5"/>
          </w:tcPr>
          <w:p>
            <w:pPr>
              <w:spacing w:after="0"/>
              <w:rPr>
                <w:sz w:val="20"/>
                <w:szCs w:val="20"/>
                <w:color w:val="auto"/>
              </w:rPr>
            </w:pPr>
            <w:r>
              <w:rPr>
                <w:rFonts w:ascii="Arial" w:cs="Arial" w:eastAsia="Arial" w:hAnsi="Arial"/>
                <w:sz w:val="18"/>
                <w:szCs w:val="18"/>
                <w:color w:val="auto"/>
              </w:rPr>
              <w:t>By-Laws</w:t>
            </w:r>
          </w:p>
        </w:tc>
        <w:tc>
          <w:tcPr>
            <w:tcW w:w="60" w:type="dxa"/>
            <w:vAlign w:val="bottom"/>
          </w:tcPr>
          <w:p>
            <w:pPr>
              <w:spacing w:after="0"/>
              <w:rPr>
                <w:sz w:val="24"/>
                <w:szCs w:val="24"/>
                <w:color w:val="auto"/>
              </w:rPr>
            </w:pPr>
          </w:p>
        </w:tc>
        <w:tc>
          <w:tcPr>
            <w:tcW w:w="122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340" w:type="dxa"/>
            <w:vAlign w:val="bottom"/>
          </w:tcPr>
          <w:p>
            <w:pPr>
              <w:spacing w:after="0"/>
              <w:rPr>
                <w:sz w:val="20"/>
                <w:szCs w:val="20"/>
                <w:color w:val="auto"/>
              </w:rPr>
            </w:pPr>
          </w:p>
        </w:tc>
        <w:tc>
          <w:tcPr>
            <w:tcW w:w="4840" w:type="dxa"/>
            <w:vAlign w:val="bottom"/>
            <w:gridSpan w:val="5"/>
          </w:tcPr>
          <w:p>
            <w:pPr>
              <w:spacing w:after="0"/>
              <w:rPr>
                <w:rFonts w:ascii="Arial" w:cs="Arial" w:eastAsia="Arial" w:hAnsi="Arial"/>
                <w:sz w:val="18"/>
                <w:szCs w:val="18"/>
                <w:color w:val="0000FF"/>
              </w:rPr>
            </w:pPr>
            <w:hyperlink r:id="rId142">
              <w:r>
                <w:rPr>
                  <w:rFonts w:ascii="Arial" w:cs="Arial" w:eastAsia="Arial" w:hAnsi="Arial"/>
                  <w:sz w:val="18"/>
                  <w:szCs w:val="18"/>
                  <w:color w:val="0000FF"/>
                </w:rPr>
                <w:t>By-Laws of McCormick &amp; Company, Incorporated Amended</w:t>
              </w:r>
            </w:hyperlink>
          </w:p>
        </w:tc>
        <w:tc>
          <w:tcPr>
            <w:tcW w:w="60" w:type="dxa"/>
            <w:vAlign w:val="bottom"/>
          </w:tcPr>
          <w:p>
            <w:pPr>
              <w:spacing w:after="0"/>
              <w:rPr>
                <w:sz w:val="20"/>
                <w:szCs w:val="20"/>
                <w:color w:val="auto"/>
              </w:rPr>
            </w:pPr>
          </w:p>
        </w:tc>
        <w:tc>
          <w:tcPr>
            <w:tcW w:w="4980" w:type="dxa"/>
            <w:vAlign w:val="bottom"/>
            <w:gridSpan w:val="12"/>
          </w:tcPr>
          <w:p>
            <w:pPr>
              <w:spacing w:after="0"/>
              <w:rPr>
                <w:rFonts w:ascii="Arial" w:cs="Arial" w:eastAsia="Arial" w:hAnsi="Arial"/>
                <w:sz w:val="18"/>
                <w:szCs w:val="18"/>
                <w:color w:val="0000FF"/>
              </w:rPr>
            </w:pPr>
            <w:hyperlink r:id="rId143">
              <w:r>
                <w:rPr>
                  <w:rFonts w:ascii="Arial" w:cs="Arial" w:eastAsia="Arial" w:hAnsi="Arial"/>
                  <w:sz w:val="18"/>
                  <w:szCs w:val="18"/>
                  <w:color w:val="0000FF"/>
                </w:rPr>
                <w:t>Incorporated by reference from Exhibit 99.1 of McCormick's</w:t>
              </w:r>
            </w:hyperlink>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940" w:type="dxa"/>
            <w:vAlign w:val="bottom"/>
            <w:gridSpan w:val="3"/>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340" w:type="dxa"/>
            <w:vAlign w:val="bottom"/>
          </w:tcPr>
          <w:p>
            <w:pPr>
              <w:spacing w:after="0"/>
              <w:rPr>
                <w:sz w:val="14"/>
                <w:szCs w:val="14"/>
                <w:color w:val="auto"/>
              </w:rPr>
            </w:pPr>
          </w:p>
        </w:tc>
        <w:tc>
          <w:tcPr>
            <w:tcW w:w="4740" w:type="dxa"/>
            <w:vAlign w:val="bottom"/>
            <w:gridSpan w:val="4"/>
          </w:tcPr>
          <w:p>
            <w:pPr>
              <w:spacing w:after="0" w:line="169" w:lineRule="exact"/>
              <w:rPr>
                <w:rFonts w:ascii="Arial" w:cs="Arial" w:eastAsia="Arial" w:hAnsi="Arial"/>
                <w:sz w:val="18"/>
                <w:szCs w:val="18"/>
                <w:color w:val="0000FF"/>
              </w:rPr>
            </w:pPr>
            <w:hyperlink r:id="rId142">
              <w:r>
                <w:rPr>
                  <w:rFonts w:ascii="Arial" w:cs="Arial" w:eastAsia="Arial" w:hAnsi="Arial"/>
                  <w:sz w:val="18"/>
                  <w:szCs w:val="18"/>
                  <w:color w:val="0000FF"/>
                </w:rPr>
                <w:t>and Restated on November 26, 2019</w:t>
              </w:r>
            </w:hyperlink>
          </w:p>
        </w:tc>
        <w:tc>
          <w:tcPr>
            <w:tcW w:w="1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4980" w:type="dxa"/>
            <w:vAlign w:val="bottom"/>
            <w:gridSpan w:val="12"/>
          </w:tcPr>
          <w:p>
            <w:pPr>
              <w:spacing w:after="0" w:line="169" w:lineRule="exact"/>
              <w:rPr>
                <w:rFonts w:ascii="Arial" w:cs="Arial" w:eastAsia="Arial" w:hAnsi="Arial"/>
                <w:sz w:val="18"/>
                <w:szCs w:val="18"/>
                <w:color w:val="0000FF"/>
              </w:rPr>
            </w:pPr>
            <w:hyperlink r:id="rId143">
              <w:r>
                <w:rPr>
                  <w:rFonts w:ascii="Arial" w:cs="Arial" w:eastAsia="Arial" w:hAnsi="Arial"/>
                  <w:sz w:val="18"/>
                  <w:szCs w:val="18"/>
                  <w:color w:val="0000FF"/>
                </w:rPr>
                <w:t>Form 8-K dated November 26 2019, File No. 1-14920, as filed</w:t>
              </w:r>
            </w:hyperlink>
          </w:p>
        </w:tc>
        <w:tc>
          <w:tcPr>
            <w:tcW w:w="0" w:type="dxa"/>
            <w:vAlign w:val="bottom"/>
          </w:tcPr>
          <w:p>
            <w:pPr>
              <w:spacing w:after="0"/>
              <w:rPr>
                <w:sz w:val="1"/>
                <w:szCs w:val="1"/>
                <w:color w:val="auto"/>
              </w:rPr>
            </w:pPr>
          </w:p>
        </w:tc>
      </w:tr>
      <w:tr>
        <w:trPr>
          <w:trHeight w:val="155"/>
        </w:trPr>
        <w:tc>
          <w:tcPr>
            <w:tcW w:w="1340" w:type="dxa"/>
            <w:vAlign w:val="bottom"/>
          </w:tcPr>
          <w:p>
            <w:pPr>
              <w:spacing w:after="0"/>
              <w:rPr>
                <w:sz w:val="13"/>
                <w:szCs w:val="13"/>
                <w:color w:val="auto"/>
              </w:rPr>
            </w:pPr>
          </w:p>
        </w:tc>
        <w:tc>
          <w:tcPr>
            <w:tcW w:w="25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94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r:id="rId143">
              <w:r>
                <w:rPr>
                  <w:rFonts w:ascii="Arial" w:cs="Arial" w:eastAsia="Arial" w:hAnsi="Arial"/>
                  <w:sz w:val="18"/>
                  <w:szCs w:val="18"/>
                  <w:color w:val="0000FF"/>
                </w:rPr>
                <w:t>with the Securities and Exchange Commission on</w:t>
              </w:r>
            </w:hyperlink>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4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940" w:type="dxa"/>
            <w:vAlign w:val="bottom"/>
            <w:tcBorders>
              <w:top w:val="single" w:sz="8" w:color="0000FF"/>
            </w:tcBorders>
            <w:gridSpan w:val="3"/>
          </w:tcPr>
          <w:p>
            <w:pPr>
              <w:spacing w:after="0" w:line="156" w:lineRule="exact"/>
              <w:rPr>
                <w:rFonts w:ascii="Arial" w:cs="Arial" w:eastAsia="Arial" w:hAnsi="Arial"/>
                <w:sz w:val="18"/>
                <w:szCs w:val="18"/>
                <w:color w:val="0000FF"/>
              </w:rPr>
            </w:pPr>
            <w:hyperlink r:id="rId143">
              <w:r>
                <w:rPr>
                  <w:rFonts w:ascii="Arial" w:cs="Arial" w:eastAsia="Arial" w:hAnsi="Arial"/>
                  <w:sz w:val="18"/>
                  <w:szCs w:val="18"/>
                  <w:color w:val="0000FF"/>
                </w:rPr>
                <w:t>November 26, 2019.</w:t>
              </w:r>
            </w:hyperlink>
          </w:p>
        </w:tc>
        <w:tc>
          <w:tcPr>
            <w:tcW w:w="104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1340" w:hanging="931"/>
        <w:spacing w:after="0"/>
        <w:tabs>
          <w:tab w:leader="none" w:pos="1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Instruments defining the rights of security holders, including indentures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85" w:name="page86"/>
    <w:bookmarkEnd w:id="85"/>
    <w:p>
      <w:pPr>
        <w:ind w:left="2980"/>
        <w:spacing w:after="0"/>
        <w:tabs>
          <w:tab w:leader="none" w:pos="8040" w:val="left"/>
        </w:tabs>
        <w:rPr>
          <w:sz w:val="20"/>
          <w:szCs w:val="20"/>
          <w:color w:val="auto"/>
        </w:rPr>
      </w:pPr>
      <w:r>
        <w:rPr>
          <w:rFonts w:ascii="Arial" w:cs="Arial" w:eastAsia="Arial" w:hAnsi="Arial"/>
          <w:sz w:val="14"/>
          <w:szCs w:val="14"/>
          <w:color w:val="auto"/>
        </w:rPr>
        <w:t>Exhibit Number</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40640</wp:posOffset>
            </wp:positionV>
            <wp:extent cx="711517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93" w:lineRule="exact"/>
        <w:rPr>
          <w:sz w:val="20"/>
          <w:szCs w:val="20"/>
          <w:color w:val="auto"/>
        </w:rPr>
      </w:pPr>
    </w:p>
    <w:p>
      <w:pPr>
        <w:ind w:left="1040" w:hanging="666"/>
        <w:spacing w:after="0"/>
        <w:tabs>
          <w:tab w:leader="none" w:pos="10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See Exhibit 3 (Restatement of Charter and By-Laws)</w:t>
      </w:r>
    </w:p>
    <w:p>
      <w:pPr>
        <w:spacing w:after="0" w:line="76" w:lineRule="exact"/>
        <w:rPr>
          <w:rFonts w:ascii="Arial" w:cs="Arial" w:eastAsia="Arial" w:hAnsi="Arial"/>
          <w:sz w:val="18"/>
          <w:szCs w:val="18"/>
          <w:color w:val="auto"/>
        </w:rPr>
      </w:pPr>
    </w:p>
    <w:p>
      <w:pPr>
        <w:ind w:left="1040" w:hanging="666"/>
        <w:spacing w:after="0" w:line="268" w:lineRule="auto"/>
        <w:tabs>
          <w:tab w:leader="none" w:pos="1040" w:val="left"/>
        </w:tabs>
        <w:numPr>
          <w:ilvl w:val="1"/>
          <w:numId w:val="20"/>
        </w:numPr>
        <w:rPr>
          <w:rFonts w:ascii="Arial" w:cs="Arial" w:eastAsia="Arial" w:hAnsi="Arial"/>
          <w:sz w:val="17"/>
          <w:szCs w:val="17"/>
          <w:u w:val="single" w:color="auto"/>
          <w:color w:val="0000FF"/>
        </w:rPr>
      </w:pPr>
      <w:hyperlink r:id="rId146">
        <w:r>
          <w:rPr>
            <w:rFonts w:ascii="Arial" w:cs="Arial" w:eastAsia="Arial" w:hAnsi="Arial"/>
            <w:sz w:val="17"/>
            <w:szCs w:val="17"/>
            <w:u w:val="single" w:color="auto"/>
            <w:color w:val="0000FF"/>
          </w:rPr>
          <w:t>Summary of Certain Exchange Rights, incorporated by reference from Exhibit 4.1 of McCormick’s Form 10-Q for the quarter</w:t>
        </w:r>
      </w:hyperlink>
      <w:r>
        <w:rPr>
          <w:rFonts w:ascii="Arial" w:cs="Arial" w:eastAsia="Arial" w:hAnsi="Arial"/>
          <w:sz w:val="17"/>
          <w:szCs w:val="17"/>
          <w:u w:val="single" w:color="auto"/>
          <w:color w:val="0000FF"/>
        </w:rPr>
        <w:t xml:space="preserve"> </w:t>
      </w:r>
      <w:hyperlink r:id="rId146">
        <w:r>
          <w:rPr>
            <w:rFonts w:ascii="Arial" w:cs="Arial" w:eastAsia="Arial" w:hAnsi="Arial"/>
            <w:sz w:val="17"/>
            <w:szCs w:val="17"/>
            <w:u w:val="single" w:color="auto"/>
            <w:color w:val="0000FF"/>
          </w:rPr>
          <w:t>ended August 31, 2001, File No. 1-14920, as filed with the Securities and Exchange Commission on October 12, 2001.</w:t>
        </w:r>
      </w:hyperlink>
    </w:p>
    <w:p>
      <w:pPr>
        <w:spacing w:after="0" w:line="35" w:lineRule="exact"/>
        <w:rPr>
          <w:rFonts w:ascii="Arial" w:cs="Arial" w:eastAsia="Arial" w:hAnsi="Arial"/>
          <w:sz w:val="17"/>
          <w:szCs w:val="17"/>
          <w:u w:val="single" w:color="auto"/>
          <w:color w:val="0000FF"/>
        </w:rPr>
      </w:pPr>
    </w:p>
    <w:p>
      <w:pPr>
        <w:ind w:left="1040" w:right="440" w:hanging="666"/>
        <w:spacing w:after="0" w:line="233" w:lineRule="auto"/>
        <w:tabs>
          <w:tab w:leader="none" w:pos="1040" w:val="left"/>
        </w:tabs>
        <w:numPr>
          <w:ilvl w:val="1"/>
          <w:numId w:val="20"/>
        </w:numPr>
        <w:rPr>
          <w:rFonts w:ascii="Arial" w:cs="Arial" w:eastAsia="Arial" w:hAnsi="Arial"/>
          <w:sz w:val="18"/>
          <w:szCs w:val="18"/>
          <w:u w:val="single" w:color="auto"/>
          <w:color w:val="0000FF"/>
        </w:rPr>
      </w:pPr>
      <w:hyperlink r:id="rId147">
        <w:r>
          <w:rPr>
            <w:rFonts w:ascii="Arial" w:cs="Arial" w:eastAsia="Arial" w:hAnsi="Arial"/>
            <w:sz w:val="18"/>
            <w:szCs w:val="18"/>
            <w:u w:val="single" w:color="auto"/>
            <w:color w:val="0000FF"/>
          </w:rPr>
          <w:t>Indenture dated July 8, 2011 between McCormick and U.S. Bank National Association, incorporated by reference from</w:t>
        </w:r>
      </w:hyperlink>
      <w:r>
        <w:rPr>
          <w:rFonts w:ascii="Arial" w:cs="Arial" w:eastAsia="Arial" w:hAnsi="Arial"/>
          <w:sz w:val="18"/>
          <w:szCs w:val="18"/>
          <w:u w:val="single" w:color="auto"/>
          <w:color w:val="0000FF"/>
        </w:rPr>
        <w:t xml:space="preserve"> </w:t>
      </w:r>
      <w:hyperlink r:id="rId147">
        <w:r>
          <w:rPr>
            <w:rFonts w:ascii="Arial" w:cs="Arial" w:eastAsia="Arial" w:hAnsi="Arial"/>
            <w:sz w:val="18"/>
            <w:szCs w:val="18"/>
            <w:u w:val="single" w:color="auto"/>
            <w:color w:val="0000FF"/>
          </w:rPr>
          <w:t>Exhibit 4.1 of McCormick’s Form 8-K dated July 5, 2011, File No. 1-14920, as filed with the Securities and Exchange</w:t>
        </w:r>
      </w:hyperlink>
      <w:r>
        <w:rPr>
          <w:rFonts w:ascii="Arial" w:cs="Arial" w:eastAsia="Arial" w:hAnsi="Arial"/>
          <w:sz w:val="18"/>
          <w:szCs w:val="18"/>
          <w:u w:val="single" w:color="auto"/>
          <w:color w:val="0000FF"/>
        </w:rPr>
        <w:t xml:space="preserve"> </w:t>
      </w:r>
      <w:hyperlink r:id="rId147">
        <w:r>
          <w:rPr>
            <w:rFonts w:ascii="Arial" w:cs="Arial" w:eastAsia="Arial" w:hAnsi="Arial"/>
            <w:sz w:val="18"/>
            <w:szCs w:val="18"/>
            <w:u w:val="single" w:color="auto"/>
            <w:color w:val="0000FF"/>
          </w:rPr>
          <w:t>Commission on July 8, 2011.</w:t>
        </w:r>
      </w:hyperlink>
    </w:p>
    <w:p>
      <w:pPr>
        <w:spacing w:after="0" w:line="45" w:lineRule="exact"/>
        <w:rPr>
          <w:rFonts w:ascii="Arial" w:cs="Arial" w:eastAsia="Arial" w:hAnsi="Arial"/>
          <w:sz w:val="18"/>
          <w:szCs w:val="18"/>
          <w:u w:val="single" w:color="auto"/>
          <w:color w:val="0000FF"/>
        </w:rPr>
      </w:pPr>
    </w:p>
    <w:p>
      <w:pPr>
        <w:ind w:left="1040" w:hanging="666"/>
        <w:spacing w:after="0"/>
        <w:tabs>
          <w:tab w:leader="none" w:pos="1040" w:val="left"/>
        </w:tabs>
        <w:numPr>
          <w:ilvl w:val="1"/>
          <w:numId w:val="20"/>
        </w:numPr>
        <w:rPr>
          <w:rFonts w:ascii="Arial" w:cs="Arial" w:eastAsia="Arial" w:hAnsi="Arial"/>
          <w:sz w:val="18"/>
          <w:szCs w:val="18"/>
          <w:u w:val="single" w:color="auto"/>
          <w:color w:val="0000FF"/>
        </w:rPr>
      </w:pPr>
      <w:hyperlink r:id="rId148">
        <w:r>
          <w:rPr>
            <w:rFonts w:ascii="Arial" w:cs="Arial" w:eastAsia="Arial" w:hAnsi="Arial"/>
            <w:sz w:val="18"/>
            <w:szCs w:val="18"/>
            <w:u w:val="single" w:color="auto"/>
            <w:color w:val="0000FF"/>
          </w:rPr>
          <w:t>Form of 3.40% Notes due 2027, incorporated by reference from Exhibit 4.4 of McCormick’s Form 8-K dated August 7, 2017,</w:t>
        </w:r>
      </w:hyperlink>
      <w:r>
        <w:rPr>
          <w:rFonts w:ascii="Arial" w:cs="Arial" w:eastAsia="Arial" w:hAnsi="Arial"/>
          <w:sz w:val="18"/>
          <w:szCs w:val="18"/>
          <w:u w:val="single" w:color="auto"/>
          <w:color w:val="0000FF"/>
        </w:rPr>
        <w:t xml:space="preserve"> </w:t>
      </w:r>
      <w:hyperlink r:id="rId148">
        <w:r>
          <w:rPr>
            <w:rFonts w:ascii="Arial" w:cs="Arial" w:eastAsia="Arial" w:hAnsi="Arial"/>
            <w:sz w:val="18"/>
            <w:szCs w:val="18"/>
            <w:u w:val="single" w:color="auto"/>
            <w:color w:val="0000FF"/>
          </w:rPr>
          <w:t>File No. 1-14920, as filed with the Securities and Exchange Commission on August 11, 2017.</w:t>
        </w:r>
      </w:hyperlink>
    </w:p>
    <w:p>
      <w:pPr>
        <w:spacing w:after="0" w:line="58" w:lineRule="exact"/>
        <w:rPr>
          <w:rFonts w:ascii="Arial" w:cs="Arial" w:eastAsia="Arial" w:hAnsi="Arial"/>
          <w:sz w:val="18"/>
          <w:szCs w:val="18"/>
          <w:u w:val="single" w:color="auto"/>
          <w:color w:val="0000FF"/>
        </w:rPr>
      </w:pPr>
    </w:p>
    <w:p>
      <w:pPr>
        <w:ind w:left="1040" w:hanging="666"/>
        <w:spacing w:after="0"/>
        <w:tabs>
          <w:tab w:leader="none" w:pos="1040" w:val="left"/>
        </w:tabs>
        <w:numPr>
          <w:ilvl w:val="1"/>
          <w:numId w:val="20"/>
        </w:numPr>
        <w:rPr>
          <w:rFonts w:ascii="Arial" w:cs="Arial" w:eastAsia="Arial" w:hAnsi="Arial"/>
          <w:sz w:val="18"/>
          <w:szCs w:val="18"/>
          <w:u w:val="single" w:color="auto"/>
          <w:color w:val="0000FF"/>
        </w:rPr>
      </w:pPr>
      <w:hyperlink r:id="rId149">
        <w:r>
          <w:rPr>
            <w:rFonts w:ascii="Arial" w:cs="Arial" w:eastAsia="Arial" w:hAnsi="Arial"/>
            <w:sz w:val="18"/>
            <w:szCs w:val="18"/>
            <w:u w:val="single" w:color="auto"/>
            <w:color w:val="0000FF"/>
          </w:rPr>
          <w:t>Form of 4.20% Notes due 2047, incorporated by reference from Exhibit 4.5 of McCormick’s Form 8-K dated August 7, 2017,</w:t>
        </w:r>
      </w:hyperlink>
      <w:r>
        <w:rPr>
          <w:rFonts w:ascii="Arial" w:cs="Arial" w:eastAsia="Arial" w:hAnsi="Arial"/>
          <w:sz w:val="18"/>
          <w:szCs w:val="18"/>
          <w:u w:val="single" w:color="auto"/>
          <w:color w:val="0000FF"/>
        </w:rPr>
        <w:t xml:space="preserve"> </w:t>
      </w:r>
      <w:hyperlink r:id="rId149">
        <w:r>
          <w:rPr>
            <w:rFonts w:ascii="Arial" w:cs="Arial" w:eastAsia="Arial" w:hAnsi="Arial"/>
            <w:sz w:val="18"/>
            <w:szCs w:val="18"/>
            <w:u w:val="single" w:color="auto"/>
            <w:color w:val="0000FF"/>
          </w:rPr>
          <w:t>File No. 1-14920, as filed with the Securities and Exchange Commission on August 11, 2017.</w:t>
        </w:r>
      </w:hyperlink>
    </w:p>
    <w:p>
      <w:pPr>
        <w:spacing w:after="0" w:line="72" w:lineRule="exact"/>
        <w:rPr>
          <w:rFonts w:ascii="Arial" w:cs="Arial" w:eastAsia="Arial" w:hAnsi="Arial"/>
          <w:sz w:val="18"/>
          <w:szCs w:val="18"/>
          <w:u w:val="single" w:color="auto"/>
          <w:color w:val="0000FF"/>
        </w:rPr>
      </w:pPr>
    </w:p>
    <w:p>
      <w:pPr>
        <w:ind w:left="1040" w:right="100" w:hanging="666"/>
        <w:spacing w:after="0" w:line="266" w:lineRule="auto"/>
        <w:tabs>
          <w:tab w:leader="none" w:pos="1040" w:val="left"/>
        </w:tabs>
        <w:numPr>
          <w:ilvl w:val="1"/>
          <w:numId w:val="20"/>
        </w:numPr>
        <w:rPr>
          <w:rFonts w:ascii="Arial" w:cs="Arial" w:eastAsia="Arial" w:hAnsi="Arial"/>
          <w:sz w:val="18"/>
          <w:szCs w:val="18"/>
          <w:u w:val="single" w:color="auto"/>
          <w:color w:val="0000FF"/>
        </w:rPr>
      </w:pPr>
      <w:hyperlink r:id="rId150">
        <w:r>
          <w:rPr>
            <w:rFonts w:ascii="Arial" w:cs="Arial" w:eastAsia="Arial" w:hAnsi="Arial"/>
            <w:sz w:val="18"/>
            <w:szCs w:val="18"/>
            <w:u w:val="single" w:color="auto"/>
            <w:color w:val="0000FF"/>
          </w:rPr>
          <w:t>Form of 2.50% Notes due 2030, incorporated by reference from Exhibit 4.2 of McCormick’s Form 8-K dated April 13, 2020,</w:t>
        </w:r>
      </w:hyperlink>
      <w:r>
        <w:rPr>
          <w:rFonts w:ascii="Arial" w:cs="Arial" w:eastAsia="Arial" w:hAnsi="Arial"/>
          <w:sz w:val="18"/>
          <w:szCs w:val="18"/>
          <w:u w:val="single" w:color="auto"/>
          <w:color w:val="0000FF"/>
        </w:rPr>
        <w:t xml:space="preserve"> </w:t>
      </w:r>
      <w:hyperlink r:id="rId150">
        <w:r>
          <w:rPr>
            <w:rFonts w:ascii="Arial" w:cs="Arial" w:eastAsia="Arial" w:hAnsi="Arial"/>
            <w:sz w:val="18"/>
            <w:szCs w:val="18"/>
            <w:u w:val="single" w:color="auto"/>
            <w:color w:val="0000FF"/>
          </w:rPr>
          <w:t>File No. 1-14920, as filed with the Securities and Exchange Commission on April 16, 2020.</w:t>
        </w:r>
      </w:hyperlink>
    </w:p>
    <w:p>
      <w:pPr>
        <w:spacing w:after="0" w:line="13" w:lineRule="exact"/>
        <w:rPr>
          <w:rFonts w:ascii="Arial" w:cs="Arial" w:eastAsia="Arial" w:hAnsi="Arial"/>
          <w:sz w:val="18"/>
          <w:szCs w:val="18"/>
          <w:u w:val="single" w:color="auto"/>
          <w:color w:val="0000FF"/>
        </w:rPr>
      </w:pPr>
    </w:p>
    <w:p>
      <w:pPr>
        <w:ind w:left="1040" w:right="260" w:hanging="666"/>
        <w:spacing w:after="0" w:line="266" w:lineRule="auto"/>
        <w:tabs>
          <w:tab w:leader="none" w:pos="1040" w:val="left"/>
        </w:tabs>
        <w:numPr>
          <w:ilvl w:val="1"/>
          <w:numId w:val="20"/>
        </w:numPr>
        <w:rPr>
          <w:rFonts w:ascii="Arial" w:cs="Arial" w:eastAsia="Arial" w:hAnsi="Arial"/>
          <w:sz w:val="18"/>
          <w:szCs w:val="18"/>
          <w:u w:val="single" w:color="auto"/>
          <w:color w:val="0000FF"/>
        </w:rPr>
      </w:pPr>
      <w:hyperlink r:id="rId151">
        <w:r>
          <w:rPr>
            <w:rFonts w:ascii="Arial" w:cs="Arial" w:eastAsia="Arial" w:hAnsi="Arial"/>
            <w:sz w:val="18"/>
            <w:szCs w:val="18"/>
            <w:u w:val="single" w:color="auto"/>
            <w:color w:val="0000FF"/>
          </w:rPr>
          <w:t>Form of 0.90% Notes due 2026, incorporated by reference from Exhibit 4.2 of McCormick’s Form 8-K dated February 11,</w:t>
        </w:r>
      </w:hyperlink>
      <w:r>
        <w:rPr>
          <w:rFonts w:ascii="Arial" w:cs="Arial" w:eastAsia="Arial" w:hAnsi="Arial"/>
          <w:sz w:val="18"/>
          <w:szCs w:val="18"/>
          <w:u w:val="single" w:color="auto"/>
          <w:color w:val="0000FF"/>
        </w:rPr>
        <w:t xml:space="preserve"> </w:t>
      </w:r>
      <w:hyperlink r:id="rId151">
        <w:r>
          <w:rPr>
            <w:rFonts w:ascii="Arial" w:cs="Arial" w:eastAsia="Arial" w:hAnsi="Arial"/>
            <w:sz w:val="18"/>
            <w:szCs w:val="18"/>
            <w:u w:val="single" w:color="auto"/>
            <w:color w:val="0000FF"/>
          </w:rPr>
          <w:t>2021, File No. 1-14920, as filed with the Securities and Exchange Commission on February 11, 2021.</w:t>
        </w:r>
      </w:hyperlink>
    </w:p>
    <w:p>
      <w:pPr>
        <w:spacing w:after="0" w:line="13" w:lineRule="exact"/>
        <w:rPr>
          <w:rFonts w:ascii="Arial" w:cs="Arial" w:eastAsia="Arial" w:hAnsi="Arial"/>
          <w:sz w:val="18"/>
          <w:szCs w:val="18"/>
          <w:u w:val="single" w:color="auto"/>
          <w:color w:val="0000FF"/>
        </w:rPr>
      </w:pPr>
    </w:p>
    <w:p>
      <w:pPr>
        <w:ind w:left="1040" w:right="260" w:hanging="666"/>
        <w:spacing w:after="0" w:line="266" w:lineRule="auto"/>
        <w:tabs>
          <w:tab w:leader="none" w:pos="1040" w:val="left"/>
        </w:tabs>
        <w:numPr>
          <w:ilvl w:val="1"/>
          <w:numId w:val="20"/>
        </w:numPr>
        <w:rPr>
          <w:rFonts w:ascii="Arial" w:cs="Arial" w:eastAsia="Arial" w:hAnsi="Arial"/>
          <w:sz w:val="18"/>
          <w:szCs w:val="18"/>
          <w:u w:val="single" w:color="auto"/>
          <w:color w:val="0000FF"/>
        </w:rPr>
      </w:pPr>
      <w:hyperlink r:id="rId152">
        <w:r>
          <w:rPr>
            <w:rFonts w:ascii="Arial" w:cs="Arial" w:eastAsia="Arial" w:hAnsi="Arial"/>
            <w:sz w:val="18"/>
            <w:szCs w:val="18"/>
            <w:u w:val="single" w:color="auto"/>
            <w:color w:val="0000FF"/>
          </w:rPr>
          <w:t>Form of 1.85% Notes due 2031, incorporated by reference from Exhibit 4.3 of McCormick’s Form 8-K dated February 11,</w:t>
        </w:r>
      </w:hyperlink>
      <w:r>
        <w:rPr>
          <w:rFonts w:ascii="Arial" w:cs="Arial" w:eastAsia="Arial" w:hAnsi="Arial"/>
          <w:sz w:val="18"/>
          <w:szCs w:val="18"/>
          <w:u w:val="single" w:color="auto"/>
          <w:color w:val="0000FF"/>
        </w:rPr>
        <w:t xml:space="preserve"> </w:t>
      </w:r>
      <w:hyperlink r:id="rId152">
        <w:r>
          <w:rPr>
            <w:rFonts w:ascii="Arial" w:cs="Arial" w:eastAsia="Arial" w:hAnsi="Arial"/>
            <w:sz w:val="18"/>
            <w:szCs w:val="18"/>
            <w:u w:val="single" w:color="auto"/>
            <w:color w:val="0000FF"/>
          </w:rPr>
          <w:t>2021, File No. 1-14920, as filed with the Securities and Exchange Commission on February 11, 2021.</w:t>
        </w:r>
      </w:hyperlink>
    </w:p>
    <w:p>
      <w:pPr>
        <w:spacing w:after="0" w:line="13" w:lineRule="exact"/>
        <w:rPr>
          <w:rFonts w:ascii="Arial" w:cs="Arial" w:eastAsia="Arial" w:hAnsi="Arial"/>
          <w:sz w:val="18"/>
          <w:szCs w:val="18"/>
          <w:u w:val="single" w:color="auto"/>
          <w:color w:val="0000FF"/>
        </w:rPr>
      </w:pPr>
    </w:p>
    <w:p>
      <w:pPr>
        <w:ind w:left="1040" w:right="200" w:hanging="666"/>
        <w:spacing w:after="0" w:line="266" w:lineRule="auto"/>
        <w:tabs>
          <w:tab w:leader="none" w:pos="1040" w:val="left"/>
        </w:tabs>
        <w:numPr>
          <w:ilvl w:val="1"/>
          <w:numId w:val="20"/>
        </w:numPr>
        <w:rPr>
          <w:rFonts w:ascii="Arial" w:cs="Arial" w:eastAsia="Arial" w:hAnsi="Arial"/>
          <w:sz w:val="18"/>
          <w:szCs w:val="18"/>
          <w:u w:val="single" w:color="auto"/>
          <w:color w:val="0000FF"/>
        </w:rPr>
      </w:pPr>
      <w:hyperlink r:id="rId153">
        <w:r>
          <w:rPr>
            <w:rFonts w:ascii="Arial" w:cs="Arial" w:eastAsia="Arial" w:hAnsi="Arial"/>
            <w:sz w:val="18"/>
            <w:szCs w:val="18"/>
            <w:u w:val="single" w:color="auto"/>
            <w:color w:val="0000FF"/>
          </w:rPr>
          <w:t>Form of 4.95% Notes due 2033, incorporated by reference from Exhibit 4.2 of McCormick's Form 8-K dated April 6, 2023,</w:t>
        </w:r>
      </w:hyperlink>
      <w:r>
        <w:rPr>
          <w:rFonts w:ascii="Arial" w:cs="Arial" w:eastAsia="Arial" w:hAnsi="Arial"/>
          <w:sz w:val="18"/>
          <w:szCs w:val="18"/>
          <w:u w:val="single" w:color="auto"/>
          <w:color w:val="0000FF"/>
        </w:rPr>
        <w:t xml:space="preserve"> </w:t>
      </w:r>
      <w:hyperlink r:id="rId153">
        <w:r>
          <w:rPr>
            <w:rFonts w:ascii="Arial" w:cs="Arial" w:eastAsia="Arial" w:hAnsi="Arial"/>
            <w:sz w:val="18"/>
            <w:szCs w:val="18"/>
            <w:u w:val="single" w:color="auto"/>
            <w:color w:val="0000FF"/>
          </w:rPr>
          <w:t>File No. 1-14920, as filed with the Securities and Exchange Commission on April 6, 2023.</w:t>
        </w:r>
      </w:hyperlink>
    </w:p>
    <w:p>
      <w:pPr>
        <w:spacing w:after="0" w:line="13" w:lineRule="exact"/>
        <w:rPr>
          <w:rFonts w:ascii="Arial" w:cs="Arial" w:eastAsia="Arial" w:hAnsi="Arial"/>
          <w:sz w:val="18"/>
          <w:szCs w:val="18"/>
          <w:u w:val="single" w:color="auto"/>
          <w:color w:val="0000FF"/>
        </w:rPr>
      </w:pPr>
    </w:p>
    <w:p>
      <w:pPr>
        <w:ind w:left="1040" w:right="420" w:hanging="666"/>
        <w:spacing w:after="0" w:line="266" w:lineRule="auto"/>
        <w:tabs>
          <w:tab w:leader="none" w:pos="1040" w:val="left"/>
        </w:tabs>
        <w:numPr>
          <w:ilvl w:val="1"/>
          <w:numId w:val="20"/>
        </w:numPr>
        <w:rPr>
          <w:rFonts w:ascii="Arial" w:cs="Arial" w:eastAsia="Arial" w:hAnsi="Arial"/>
          <w:sz w:val="18"/>
          <w:szCs w:val="18"/>
          <w:u w:val="single" w:color="auto"/>
          <w:color w:val="0000FF"/>
        </w:rPr>
      </w:pPr>
      <w:hyperlink r:id="rId154">
        <w:r>
          <w:rPr>
            <w:rFonts w:ascii="Arial" w:cs="Arial" w:eastAsia="Arial" w:hAnsi="Arial"/>
            <w:sz w:val="18"/>
            <w:szCs w:val="18"/>
            <w:u w:val="single" w:color="auto"/>
            <w:color w:val="0000FF"/>
          </w:rPr>
          <w:t>Form of 4.70% Notes due 2034, incorporated by reference from Exhibit 4.2 of McCormick’s Form 8-K dated October 8,</w:t>
        </w:r>
      </w:hyperlink>
      <w:r>
        <w:rPr>
          <w:rFonts w:ascii="Arial" w:cs="Arial" w:eastAsia="Arial" w:hAnsi="Arial"/>
          <w:sz w:val="18"/>
          <w:szCs w:val="18"/>
          <w:u w:val="single" w:color="auto"/>
          <w:color w:val="0000FF"/>
        </w:rPr>
        <w:t xml:space="preserve"> </w:t>
      </w:r>
      <w:hyperlink r:id="rId154">
        <w:r>
          <w:rPr>
            <w:rFonts w:ascii="Arial" w:cs="Arial" w:eastAsia="Arial" w:hAnsi="Arial"/>
            <w:sz w:val="18"/>
            <w:szCs w:val="18"/>
            <w:u w:val="single" w:color="auto"/>
            <w:color w:val="0000FF"/>
          </w:rPr>
          <w:t>2024, File No. 1-14920, as filed with the Securities and Exchange Commission on October 8, 2024.</w:t>
        </w:r>
      </w:hyperlink>
    </w:p>
    <w:p>
      <w:pPr>
        <w:spacing w:after="0" w:line="13" w:lineRule="exact"/>
        <w:rPr>
          <w:rFonts w:ascii="Arial" w:cs="Arial" w:eastAsia="Arial" w:hAnsi="Arial"/>
          <w:sz w:val="18"/>
          <w:szCs w:val="18"/>
          <w:u w:val="single" w:color="auto"/>
          <w:color w:val="0000FF"/>
        </w:rPr>
      </w:pPr>
    </w:p>
    <w:p>
      <w:pPr>
        <w:ind w:left="1040" w:right="360" w:hanging="666"/>
        <w:spacing w:after="0" w:line="261" w:lineRule="auto"/>
        <w:tabs>
          <w:tab w:leader="none" w:pos="1040" w:val="left"/>
        </w:tabs>
        <w:numPr>
          <w:ilvl w:val="1"/>
          <w:numId w:val="20"/>
        </w:numPr>
        <w:rPr>
          <w:rFonts w:ascii="Arial" w:cs="Arial" w:eastAsia="Arial" w:hAnsi="Arial"/>
          <w:sz w:val="18"/>
          <w:szCs w:val="18"/>
          <w:u w:val="single" w:color="auto"/>
          <w:color w:val="0000FF"/>
        </w:rPr>
      </w:pPr>
      <w:hyperlink r:id="rId155">
        <w:r>
          <w:rPr>
            <w:rFonts w:ascii="Arial" w:cs="Arial" w:eastAsia="Arial" w:hAnsi="Arial"/>
            <w:sz w:val="18"/>
            <w:szCs w:val="18"/>
            <w:u w:val="single" w:color="auto"/>
            <w:color w:val="0000FF"/>
          </w:rPr>
          <w:t>Description of Securities of McCormick &amp; Company, Incorporated, incorporated by reference from Exhibit 4(xiii) of</w:t>
        </w:r>
      </w:hyperlink>
      <w:r>
        <w:rPr>
          <w:rFonts w:ascii="Arial" w:cs="Arial" w:eastAsia="Arial" w:hAnsi="Arial"/>
          <w:sz w:val="18"/>
          <w:szCs w:val="18"/>
          <w:u w:val="single" w:color="auto"/>
          <w:color w:val="0000FF"/>
        </w:rPr>
        <w:t xml:space="preserve"> </w:t>
      </w:r>
      <w:hyperlink r:id="rId155">
        <w:r>
          <w:rPr>
            <w:rFonts w:ascii="Arial" w:cs="Arial" w:eastAsia="Arial" w:hAnsi="Arial"/>
            <w:sz w:val="18"/>
            <w:szCs w:val="18"/>
            <w:u w:val="single" w:color="auto"/>
            <w:color w:val="0000FF"/>
          </w:rPr>
          <w:t>McCormick’s Form 10-K for the fiscal year ended November 30, 2021, File No. 1-14920, as filed with the Securities and</w:t>
        </w:r>
      </w:hyperlink>
      <w:r>
        <w:rPr>
          <w:rFonts w:ascii="Arial" w:cs="Arial" w:eastAsia="Arial" w:hAnsi="Arial"/>
          <w:sz w:val="18"/>
          <w:szCs w:val="18"/>
          <w:u w:val="single" w:color="auto"/>
          <w:color w:val="0000FF"/>
        </w:rPr>
        <w:t xml:space="preserve"> </w:t>
      </w:r>
      <w:hyperlink r:id="rId155">
        <w:r>
          <w:rPr>
            <w:rFonts w:ascii="Arial" w:cs="Arial" w:eastAsia="Arial" w:hAnsi="Arial"/>
            <w:sz w:val="18"/>
            <w:szCs w:val="18"/>
            <w:u w:val="single" w:color="auto"/>
            <w:color w:val="0000FF"/>
          </w:rPr>
          <w:t>Exchange Commission on January 27, 2022.</w:t>
        </w:r>
      </w:hyperlink>
    </w:p>
    <w:p>
      <w:pPr>
        <w:spacing w:after="0" w:line="256" w:lineRule="exact"/>
        <w:rPr>
          <w:rFonts w:ascii="Arial" w:cs="Arial" w:eastAsia="Arial" w:hAnsi="Arial"/>
          <w:sz w:val="18"/>
          <w:szCs w:val="18"/>
          <w:u w:val="single" w:color="auto"/>
          <w:color w:val="0000FF"/>
        </w:rPr>
      </w:pPr>
    </w:p>
    <w:p>
      <w:pPr>
        <w:ind w:left="1040" w:hanging="1031"/>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Material contracts</w:t>
      </w:r>
    </w:p>
    <w:p>
      <w:pPr>
        <w:spacing w:after="0" w:line="76" w:lineRule="exact"/>
        <w:rPr>
          <w:rFonts w:ascii="Arial" w:cs="Arial" w:eastAsia="Arial" w:hAnsi="Arial"/>
          <w:sz w:val="18"/>
          <w:szCs w:val="18"/>
          <w:color w:val="auto"/>
        </w:rPr>
      </w:pPr>
    </w:p>
    <w:p>
      <w:pPr>
        <w:ind w:left="1040" w:right="160" w:hanging="666"/>
        <w:spacing w:after="0" w:line="221" w:lineRule="auto"/>
        <w:tabs>
          <w:tab w:leader="none" w:pos="1040" w:val="left"/>
        </w:tabs>
        <w:numPr>
          <w:ilvl w:val="1"/>
          <w:numId w:val="21"/>
        </w:numPr>
        <w:rPr>
          <w:rFonts w:ascii="Arial" w:cs="Arial" w:eastAsia="Arial" w:hAnsi="Arial"/>
          <w:sz w:val="18"/>
          <w:szCs w:val="18"/>
          <w:u w:val="single" w:color="auto"/>
          <w:color w:val="0000FF"/>
        </w:rPr>
      </w:pPr>
      <w:hyperlink r:id="rId156">
        <w:r>
          <w:rPr>
            <w:rFonts w:ascii="Arial" w:cs="Arial" w:eastAsia="Arial" w:hAnsi="Arial"/>
            <w:sz w:val="18"/>
            <w:szCs w:val="18"/>
            <w:u w:val="single" w:color="auto"/>
            <w:color w:val="0000FF"/>
          </w:rPr>
          <w:t>Deferred Compensation Plan, as restated on January 1, 2000, and amended on August 29, 2000, September 5, 2000 and</w:t>
        </w:r>
      </w:hyperlink>
      <w:r>
        <w:rPr>
          <w:rFonts w:ascii="Arial" w:cs="Arial" w:eastAsia="Arial" w:hAnsi="Arial"/>
          <w:sz w:val="18"/>
          <w:szCs w:val="18"/>
          <w:u w:val="single" w:color="auto"/>
          <w:color w:val="0000FF"/>
        </w:rPr>
        <w:t xml:space="preserve"> </w:t>
      </w:r>
      <w:hyperlink r:id="rId156">
        <w:r>
          <w:rPr>
            <w:rFonts w:ascii="Arial" w:cs="Arial" w:eastAsia="Arial" w:hAnsi="Arial"/>
            <w:sz w:val="18"/>
            <w:szCs w:val="18"/>
            <w:u w:val="single" w:color="auto"/>
            <w:color w:val="0000FF"/>
          </w:rPr>
          <w:t>May 16, 2003, in which directors, officers and certain other management employees participate, a copy of which Plan</w:t>
        </w:r>
      </w:hyperlink>
      <w:r>
        <w:rPr>
          <w:rFonts w:ascii="Arial" w:cs="Arial" w:eastAsia="Arial" w:hAnsi="Arial"/>
          <w:sz w:val="18"/>
          <w:szCs w:val="18"/>
          <w:u w:val="single" w:color="auto"/>
          <w:color w:val="0000FF"/>
        </w:rPr>
        <w:t xml:space="preserve"> </w:t>
      </w:r>
      <w:hyperlink r:id="rId156">
        <w:r>
          <w:rPr>
            <w:rFonts w:ascii="Arial" w:cs="Arial" w:eastAsia="Arial" w:hAnsi="Arial"/>
            <w:sz w:val="18"/>
            <w:szCs w:val="18"/>
            <w:u w:val="single" w:color="auto"/>
            <w:color w:val="0000FF"/>
          </w:rPr>
          <w:t>document and amendments was attached as Exhibit 10(viii) of McCormick’s Form 10-Q for the quarter ended August 31,</w:t>
        </w:r>
      </w:hyperlink>
      <w:r>
        <w:rPr>
          <w:rFonts w:ascii="Arial" w:cs="Arial" w:eastAsia="Arial" w:hAnsi="Arial"/>
          <w:sz w:val="18"/>
          <w:szCs w:val="18"/>
          <w:u w:val="single" w:color="auto"/>
          <w:color w:val="0000FF"/>
        </w:rPr>
        <w:t xml:space="preserve"> </w:t>
      </w:r>
      <w:hyperlink r:id="rId156">
        <w:r>
          <w:rPr>
            <w:rFonts w:ascii="Arial" w:cs="Arial" w:eastAsia="Arial" w:hAnsi="Arial"/>
            <w:sz w:val="18"/>
            <w:szCs w:val="18"/>
            <w:u w:val="single" w:color="auto"/>
            <w:color w:val="0000FF"/>
          </w:rPr>
          <w:t>2003, File No. 1-14920, as filed with the Securities and Exchange Commission on October 14, 2003, and incorporated by</w:t>
        </w:r>
      </w:hyperlink>
      <w:r>
        <w:rPr>
          <w:rFonts w:ascii="Arial" w:cs="Arial" w:eastAsia="Arial" w:hAnsi="Arial"/>
          <w:sz w:val="18"/>
          <w:szCs w:val="18"/>
          <w:u w:val="single" w:color="auto"/>
          <w:color w:val="0000FF"/>
        </w:rPr>
        <w:t xml:space="preserve"> </w:t>
      </w:r>
      <w:hyperlink r:id="rId156">
        <w:r>
          <w:rPr>
            <w:rFonts w:ascii="Arial" w:cs="Arial" w:eastAsia="Arial" w:hAnsi="Arial"/>
            <w:sz w:val="18"/>
            <w:szCs w:val="18"/>
            <w:u w:val="single" w:color="auto"/>
            <w:color w:val="0000FF"/>
          </w:rPr>
          <w:t>reference herein.*</w:t>
        </w:r>
      </w:hyperlink>
    </w:p>
    <w:p>
      <w:pPr>
        <w:spacing w:after="0" w:line="59" w:lineRule="exact"/>
        <w:rPr>
          <w:rFonts w:ascii="Arial" w:cs="Arial" w:eastAsia="Arial" w:hAnsi="Arial"/>
          <w:sz w:val="18"/>
          <w:szCs w:val="18"/>
          <w:u w:val="single" w:color="auto"/>
          <w:color w:val="0000FF"/>
        </w:rPr>
      </w:pPr>
    </w:p>
    <w:p>
      <w:pPr>
        <w:ind w:left="1040" w:right="80" w:hanging="666"/>
        <w:spacing w:after="0" w:line="233" w:lineRule="auto"/>
        <w:tabs>
          <w:tab w:leader="none" w:pos="1040" w:val="left"/>
        </w:tabs>
        <w:numPr>
          <w:ilvl w:val="1"/>
          <w:numId w:val="21"/>
        </w:numPr>
        <w:rPr>
          <w:rFonts w:ascii="Arial" w:cs="Arial" w:eastAsia="Arial" w:hAnsi="Arial"/>
          <w:sz w:val="18"/>
          <w:szCs w:val="18"/>
          <w:u w:val="single" w:color="auto"/>
          <w:color w:val="0000FF"/>
        </w:rPr>
      </w:pPr>
      <w:hyperlink r:id="rId157">
        <w:r>
          <w:rPr>
            <w:rFonts w:ascii="Arial" w:cs="Arial" w:eastAsia="Arial" w:hAnsi="Arial"/>
            <w:sz w:val="18"/>
            <w:szCs w:val="18"/>
            <w:u w:val="single" w:color="auto"/>
            <w:color w:val="0000FF"/>
          </w:rPr>
          <w:t>2004 Long-Term Incentive Plan, in which officers and certain other management employees participate, is set forth in</w:t>
        </w:r>
      </w:hyperlink>
      <w:r>
        <w:rPr>
          <w:rFonts w:ascii="Arial" w:cs="Arial" w:eastAsia="Arial" w:hAnsi="Arial"/>
          <w:sz w:val="18"/>
          <w:szCs w:val="18"/>
          <w:u w:val="single" w:color="auto"/>
          <w:color w:val="0000FF"/>
        </w:rPr>
        <w:t xml:space="preserve"> </w:t>
      </w:r>
      <w:hyperlink r:id="rId157">
        <w:r>
          <w:rPr>
            <w:rFonts w:ascii="Arial" w:cs="Arial" w:eastAsia="Arial" w:hAnsi="Arial"/>
            <w:sz w:val="18"/>
            <w:szCs w:val="18"/>
            <w:u w:val="single" w:color="auto"/>
            <w:color w:val="0000FF"/>
          </w:rPr>
          <w:t>Exhibit A of McCormick’s definitive Proxy Statement dated February 17, 2004, File No. 1-14920, as filed with the Securities</w:t>
        </w:r>
      </w:hyperlink>
      <w:r>
        <w:rPr>
          <w:rFonts w:ascii="Arial" w:cs="Arial" w:eastAsia="Arial" w:hAnsi="Arial"/>
          <w:sz w:val="18"/>
          <w:szCs w:val="18"/>
          <w:u w:val="single" w:color="auto"/>
          <w:color w:val="0000FF"/>
        </w:rPr>
        <w:t xml:space="preserve"> </w:t>
      </w:r>
      <w:hyperlink r:id="rId157">
        <w:r>
          <w:rPr>
            <w:rFonts w:ascii="Arial" w:cs="Arial" w:eastAsia="Arial" w:hAnsi="Arial"/>
            <w:sz w:val="18"/>
            <w:szCs w:val="18"/>
            <w:u w:val="single" w:color="auto"/>
            <w:color w:val="0000FF"/>
          </w:rPr>
          <w:t>and Exchange Commission on February 17, 2004, and incorporated by reference herein.*</w:t>
        </w:r>
      </w:hyperlink>
    </w:p>
    <w:p>
      <w:pPr>
        <w:spacing w:after="0" w:line="45" w:lineRule="exact"/>
        <w:rPr>
          <w:rFonts w:ascii="Arial" w:cs="Arial" w:eastAsia="Arial" w:hAnsi="Arial"/>
          <w:sz w:val="18"/>
          <w:szCs w:val="18"/>
          <w:u w:val="single" w:color="auto"/>
          <w:color w:val="0000FF"/>
        </w:rPr>
      </w:pPr>
    </w:p>
    <w:p>
      <w:pPr>
        <w:ind w:left="1040" w:right="200" w:hanging="666"/>
        <w:spacing w:after="0" w:line="225" w:lineRule="auto"/>
        <w:tabs>
          <w:tab w:leader="none" w:pos="1040" w:val="left"/>
        </w:tabs>
        <w:numPr>
          <w:ilvl w:val="1"/>
          <w:numId w:val="21"/>
        </w:numPr>
        <w:rPr>
          <w:rFonts w:ascii="Arial" w:cs="Arial" w:eastAsia="Arial" w:hAnsi="Arial"/>
          <w:sz w:val="18"/>
          <w:szCs w:val="18"/>
          <w:u w:val="single" w:color="auto"/>
          <w:color w:val="0000FF"/>
        </w:rPr>
      </w:pPr>
      <w:hyperlink r:id="rId158">
        <w:r>
          <w:rPr>
            <w:rFonts w:ascii="Arial" w:cs="Arial" w:eastAsia="Arial" w:hAnsi="Arial"/>
            <w:sz w:val="18"/>
            <w:szCs w:val="18"/>
            <w:u w:val="single" w:color="auto"/>
            <w:color w:val="0000FF"/>
          </w:rPr>
          <w:t>Non-Qualified Retirement Savings Plan, with an effective date of February 1, 2017, in which directors, officers and certain</w:t>
        </w:r>
      </w:hyperlink>
      <w:r>
        <w:rPr>
          <w:rFonts w:ascii="Arial" w:cs="Arial" w:eastAsia="Arial" w:hAnsi="Arial"/>
          <w:sz w:val="18"/>
          <w:szCs w:val="18"/>
          <w:u w:val="single" w:color="auto"/>
          <w:color w:val="0000FF"/>
        </w:rPr>
        <w:t xml:space="preserve"> </w:t>
      </w:r>
      <w:hyperlink r:id="rId158">
        <w:r>
          <w:rPr>
            <w:rFonts w:ascii="Arial" w:cs="Arial" w:eastAsia="Arial" w:hAnsi="Arial"/>
            <w:sz w:val="18"/>
            <w:szCs w:val="18"/>
            <w:u w:val="single" w:color="auto"/>
            <w:color w:val="0000FF"/>
          </w:rPr>
          <w:t>other management employees participate, a copy of which Plan document was attached as Exhibit 10(v) of McCormick's</w:t>
        </w:r>
      </w:hyperlink>
      <w:r>
        <w:rPr>
          <w:rFonts w:ascii="Arial" w:cs="Arial" w:eastAsia="Arial" w:hAnsi="Arial"/>
          <w:sz w:val="18"/>
          <w:szCs w:val="18"/>
          <w:u w:val="single" w:color="auto"/>
          <w:color w:val="0000FF"/>
        </w:rPr>
        <w:t xml:space="preserve"> </w:t>
      </w:r>
      <w:hyperlink r:id="rId158">
        <w:r>
          <w:rPr>
            <w:rFonts w:ascii="Arial" w:cs="Arial" w:eastAsia="Arial" w:hAnsi="Arial"/>
            <w:sz w:val="18"/>
            <w:szCs w:val="18"/>
            <w:u w:val="single" w:color="auto"/>
            <w:color w:val="0000FF"/>
          </w:rPr>
          <w:t>Form 10-Q for the quarter ended February 28, 2017, File No. 1-14920, as filed with the Securities and Exchange</w:t>
        </w:r>
      </w:hyperlink>
      <w:r>
        <w:rPr>
          <w:rFonts w:ascii="Arial" w:cs="Arial" w:eastAsia="Arial" w:hAnsi="Arial"/>
          <w:sz w:val="18"/>
          <w:szCs w:val="18"/>
          <w:u w:val="single" w:color="auto"/>
          <w:color w:val="0000FF"/>
        </w:rPr>
        <w:t xml:space="preserve"> </w:t>
      </w:r>
      <w:hyperlink r:id="rId158">
        <w:r>
          <w:rPr>
            <w:rFonts w:ascii="Arial" w:cs="Arial" w:eastAsia="Arial" w:hAnsi="Arial"/>
            <w:sz w:val="18"/>
            <w:szCs w:val="18"/>
            <w:u w:val="single" w:color="auto"/>
            <w:color w:val="0000FF"/>
          </w:rPr>
          <w:t>Commission on March 28, 2017, and incorporated by reference herein.*</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82" w:lineRule="exact"/>
        <w:rPr>
          <w:rFonts w:ascii="Arial" w:cs="Arial" w:eastAsia="Arial" w:hAnsi="Arial"/>
          <w:sz w:val="18"/>
          <w:szCs w:val="18"/>
          <w:u w:val="single" w:color="auto"/>
          <w:color w:val="0000FF"/>
        </w:rPr>
      </w:pPr>
    </w:p>
    <w:p>
      <w:pPr>
        <w:jc w:val="center"/>
        <w:ind w:right="24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-197485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620" w:top="1116" w:right="399" w:bottom="1440" w:gutter="0" w:footer="0" w:header="0"/>
        </w:sectPr>
      </w:pPr>
    </w:p>
    <w:bookmarkStart w:id="86" w:name="page87"/>
    <w:bookmarkEnd w:id="86"/>
    <w:p>
      <w:pPr>
        <w:ind w:left="2606"/>
        <w:spacing w:after="0"/>
        <w:tabs>
          <w:tab w:leader="none" w:pos="7666" w:val="left"/>
        </w:tabs>
        <w:rPr>
          <w:sz w:val="20"/>
          <w:szCs w:val="20"/>
          <w:color w:val="auto"/>
        </w:rPr>
      </w:pPr>
      <w:r>
        <w:rPr>
          <w:rFonts w:ascii="Arial" w:cs="Arial" w:eastAsia="Arial" w:hAnsi="Arial"/>
          <w:sz w:val="14"/>
          <w:szCs w:val="14"/>
          <w:color w:val="auto"/>
        </w:rPr>
        <w:t>Exhibit Number</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40640</wp:posOffset>
            </wp:positionV>
            <wp:extent cx="711517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52" w:lineRule="exact"/>
        <w:rPr>
          <w:sz w:val="20"/>
          <w:szCs w:val="20"/>
          <w:color w:val="auto"/>
        </w:rPr>
      </w:pPr>
    </w:p>
    <w:p>
      <w:pPr>
        <w:ind w:left="666" w:right="140" w:hanging="666"/>
        <w:spacing w:after="0" w:line="220" w:lineRule="auto"/>
        <w:tabs>
          <w:tab w:leader="none" w:pos="666" w:val="left"/>
        </w:tabs>
        <w:numPr>
          <w:ilvl w:val="0"/>
          <w:numId w:val="22"/>
        </w:numPr>
        <w:rPr>
          <w:rFonts w:ascii="Arial" w:cs="Arial" w:eastAsia="Arial" w:hAnsi="Arial"/>
          <w:sz w:val="18"/>
          <w:szCs w:val="18"/>
          <w:color w:val="0000FF"/>
        </w:rPr>
      </w:pPr>
      <w:hyperlink r:id="rId161">
        <w:r>
          <w:rPr>
            <w:rFonts w:ascii="Arial" w:cs="Arial" w:eastAsia="Arial" w:hAnsi="Arial"/>
            <w:sz w:val="18"/>
            <w:szCs w:val="18"/>
            <w:u w:val="single" w:color="auto"/>
            <w:color w:val="0000FF"/>
          </w:rPr>
          <w:t>The 2007 Omnibus Incentive Plan, in which directors, officers and certain other management employees participate, is set</w:t>
        </w:r>
      </w:hyperlink>
      <w:r>
        <w:rPr>
          <w:rFonts w:ascii="Arial" w:cs="Arial" w:eastAsia="Arial" w:hAnsi="Arial"/>
          <w:sz w:val="18"/>
          <w:szCs w:val="18"/>
          <w:u w:val="single" w:color="auto"/>
          <w:color w:val="0000FF"/>
        </w:rPr>
        <w:t xml:space="preserve"> </w:t>
      </w:r>
      <w:hyperlink r:id="rId161">
        <w:r>
          <w:rPr>
            <w:rFonts w:ascii="Arial" w:cs="Arial" w:eastAsia="Arial" w:hAnsi="Arial"/>
            <w:sz w:val="18"/>
            <w:szCs w:val="18"/>
            <w:u w:val="single" w:color="auto"/>
            <w:color w:val="0000FF"/>
          </w:rPr>
          <w:t>forth in Exhibit A of McCormick’s definitive Proxy Statement dated February 20, 2008, File No. 1-14920, as filed with the</w:t>
        </w:r>
      </w:hyperlink>
      <w:r>
        <w:rPr>
          <w:rFonts w:ascii="Arial" w:cs="Arial" w:eastAsia="Arial" w:hAnsi="Arial"/>
          <w:sz w:val="18"/>
          <w:szCs w:val="18"/>
          <w:u w:val="single" w:color="auto"/>
          <w:color w:val="0000FF"/>
        </w:rPr>
        <w:t xml:space="preserve"> </w:t>
      </w:r>
      <w:hyperlink r:id="rId161">
        <w:r>
          <w:rPr>
            <w:rFonts w:ascii="Arial" w:cs="Arial" w:eastAsia="Arial" w:hAnsi="Arial"/>
            <w:sz w:val="18"/>
            <w:szCs w:val="18"/>
            <w:u w:val="single" w:color="auto"/>
            <w:color w:val="0000FF"/>
          </w:rPr>
          <w:t>Securities and Exchange Commission on February 20, 2008, and incorporated by reference herein</w:t>
        </w:r>
        <w:r>
          <w:rPr>
            <w:rFonts w:ascii="Arial" w:cs="Arial" w:eastAsia="Arial" w:hAnsi="Arial"/>
            <w:sz w:val="18"/>
            <w:szCs w:val="18"/>
            <w:color w:val="000000"/>
          </w:rPr>
          <w:t>, as amended by</w:t>
        </w:r>
      </w:hyperlink>
      <w:r>
        <w:rPr>
          <w:rFonts w:ascii="Arial" w:cs="Arial" w:eastAsia="Arial" w:hAnsi="Arial"/>
          <w:sz w:val="18"/>
          <w:szCs w:val="18"/>
          <w:color w:val="0000FF"/>
        </w:rPr>
        <w:t xml:space="preserve"> </w:t>
      </w:r>
      <w:hyperlink r:id="rId162">
        <w:r>
          <w:rPr>
            <w:rFonts w:ascii="Arial" w:cs="Arial" w:eastAsia="Arial" w:hAnsi="Arial"/>
            <w:sz w:val="18"/>
            <w:szCs w:val="18"/>
            <w:u w:val="single" w:color="auto"/>
            <w:color w:val="0000FF"/>
          </w:rPr>
          <w:t>Amendment No. 1 thereto, which Amendment is incorporated by reference from Exhibit 10(xi) of McCormick’s 10-K for the</w:t>
        </w:r>
      </w:hyperlink>
      <w:r>
        <w:rPr>
          <w:rFonts w:ascii="Arial" w:cs="Arial" w:eastAsia="Arial" w:hAnsi="Arial"/>
          <w:sz w:val="18"/>
          <w:szCs w:val="18"/>
          <w:u w:val="single" w:color="auto"/>
          <w:color w:val="0000FF"/>
        </w:rPr>
        <w:t xml:space="preserve"> </w:t>
      </w:r>
      <w:hyperlink r:id="rId162">
        <w:r>
          <w:rPr>
            <w:rFonts w:ascii="Arial" w:cs="Arial" w:eastAsia="Arial" w:hAnsi="Arial"/>
            <w:sz w:val="18"/>
            <w:szCs w:val="18"/>
            <w:u w:val="single" w:color="auto"/>
            <w:color w:val="0000FF"/>
          </w:rPr>
          <w:t>fiscal year ended November 30, 2008, File No. 1-14920, as filed with the Securities and Exchange Commission on</w:t>
        </w:r>
      </w:hyperlink>
      <w:r>
        <w:rPr>
          <w:rFonts w:ascii="Arial" w:cs="Arial" w:eastAsia="Arial" w:hAnsi="Arial"/>
          <w:sz w:val="18"/>
          <w:szCs w:val="18"/>
          <w:u w:val="single" w:color="auto"/>
          <w:color w:val="0000FF"/>
        </w:rPr>
        <w:t xml:space="preserve"> </w:t>
      </w:r>
      <w:hyperlink r:id="rId162">
        <w:r>
          <w:rPr>
            <w:rFonts w:ascii="Arial" w:cs="Arial" w:eastAsia="Arial" w:hAnsi="Arial"/>
            <w:sz w:val="18"/>
            <w:szCs w:val="18"/>
            <w:u w:val="single" w:color="auto"/>
            <w:color w:val="0000FF"/>
          </w:rPr>
          <w:t>January 28, 2009</w:t>
        </w:r>
        <w:r>
          <w:rPr>
            <w:rFonts w:ascii="Arial" w:cs="Arial" w:eastAsia="Arial" w:hAnsi="Arial"/>
            <w:sz w:val="18"/>
            <w:szCs w:val="18"/>
            <w:color w:val="000000"/>
          </w:rPr>
          <w:t>.*</w:t>
        </w:r>
      </w:hyperlink>
    </w:p>
    <w:p>
      <w:pPr>
        <w:spacing w:after="0" w:line="49" w:lineRule="exact"/>
        <w:rPr>
          <w:rFonts w:ascii="Arial" w:cs="Arial" w:eastAsia="Arial" w:hAnsi="Arial"/>
          <w:sz w:val="18"/>
          <w:szCs w:val="18"/>
          <w:color w:val="0000FF"/>
        </w:rPr>
      </w:pPr>
    </w:p>
    <w:p>
      <w:pPr>
        <w:ind w:left="666" w:right="520" w:hanging="666"/>
        <w:spacing w:after="0" w:line="250" w:lineRule="auto"/>
        <w:tabs>
          <w:tab w:leader="none" w:pos="666" w:val="left"/>
        </w:tabs>
        <w:numPr>
          <w:ilvl w:val="0"/>
          <w:numId w:val="22"/>
        </w:numPr>
        <w:rPr>
          <w:rFonts w:ascii="Arial" w:cs="Arial" w:eastAsia="Arial" w:hAnsi="Arial"/>
          <w:sz w:val="17"/>
          <w:szCs w:val="17"/>
          <w:u w:val="single" w:color="auto"/>
          <w:color w:val="0000FF"/>
        </w:rPr>
      </w:pPr>
      <w:hyperlink r:id="rId163">
        <w:r>
          <w:rPr>
            <w:rFonts w:ascii="Arial" w:cs="Arial" w:eastAsia="Arial" w:hAnsi="Arial"/>
            <w:sz w:val="17"/>
            <w:szCs w:val="17"/>
            <w:u w:val="single" w:color="auto"/>
            <w:color w:val="0000FF"/>
          </w:rPr>
          <w:t>The Amended and Restated 2013 Omnibus Incentive Plan, in which directors, officers and certain other management</w:t>
        </w:r>
      </w:hyperlink>
      <w:r>
        <w:rPr>
          <w:rFonts w:ascii="Arial" w:cs="Arial" w:eastAsia="Arial" w:hAnsi="Arial"/>
          <w:sz w:val="17"/>
          <w:szCs w:val="17"/>
          <w:u w:val="single" w:color="auto"/>
          <w:color w:val="0000FF"/>
        </w:rPr>
        <w:t xml:space="preserve"> </w:t>
      </w:r>
      <w:hyperlink r:id="rId163">
        <w:r>
          <w:rPr>
            <w:rFonts w:ascii="Arial" w:cs="Arial" w:eastAsia="Arial" w:hAnsi="Arial"/>
            <w:sz w:val="17"/>
            <w:szCs w:val="17"/>
            <w:u w:val="single" w:color="auto"/>
            <w:color w:val="0000FF"/>
          </w:rPr>
          <w:t>employees participate, is incorporated by reference from Exhibit A of McCormick’s definitive Proxy Statement dated</w:t>
        </w:r>
      </w:hyperlink>
      <w:r>
        <w:rPr>
          <w:rFonts w:ascii="Arial" w:cs="Arial" w:eastAsia="Arial" w:hAnsi="Arial"/>
          <w:sz w:val="17"/>
          <w:szCs w:val="17"/>
          <w:u w:val="single" w:color="auto"/>
          <w:color w:val="0000FF"/>
        </w:rPr>
        <w:t xml:space="preserve"> </w:t>
      </w:r>
      <w:hyperlink r:id="rId163">
        <w:r>
          <w:rPr>
            <w:rFonts w:ascii="Arial" w:cs="Arial" w:eastAsia="Arial" w:hAnsi="Arial"/>
            <w:sz w:val="17"/>
            <w:szCs w:val="17"/>
            <w:u w:val="single" w:color="auto"/>
            <w:color w:val="0000FF"/>
          </w:rPr>
          <w:t>February 14, 2019, File No. 1-14920, as filed with the Securities and Exchange Commission on February 14, 2019.*</w:t>
        </w:r>
      </w:hyperlink>
    </w:p>
    <w:p>
      <w:pPr>
        <w:spacing w:after="0" w:line="37" w:lineRule="exact"/>
        <w:rPr>
          <w:rFonts w:ascii="Arial" w:cs="Arial" w:eastAsia="Arial" w:hAnsi="Arial"/>
          <w:sz w:val="17"/>
          <w:szCs w:val="17"/>
          <w:u w:val="single" w:color="auto"/>
          <w:color w:val="0000FF"/>
        </w:rPr>
      </w:pPr>
    </w:p>
    <w:p>
      <w:pPr>
        <w:ind w:left="666" w:right="260" w:hanging="666"/>
        <w:spacing w:after="0" w:line="233" w:lineRule="auto"/>
        <w:tabs>
          <w:tab w:leader="none" w:pos="666" w:val="left"/>
        </w:tabs>
        <w:numPr>
          <w:ilvl w:val="0"/>
          <w:numId w:val="22"/>
        </w:numPr>
        <w:rPr>
          <w:rFonts w:ascii="Arial" w:cs="Arial" w:eastAsia="Arial" w:hAnsi="Arial"/>
          <w:sz w:val="18"/>
          <w:szCs w:val="18"/>
          <w:u w:val="single" w:color="auto"/>
          <w:color w:val="0000FF"/>
        </w:rPr>
      </w:pPr>
      <w:hyperlink r:id="rId164">
        <w:r>
          <w:rPr>
            <w:rFonts w:ascii="Arial" w:cs="Arial" w:eastAsia="Arial" w:hAnsi="Arial"/>
            <w:sz w:val="18"/>
            <w:szCs w:val="18"/>
            <w:u w:val="single" w:color="auto"/>
            <w:color w:val="0000FF"/>
          </w:rPr>
          <w:t>The 2022 Omnibus Incentive Plan, in which directors, officers and certain other management employees participate, is</w:t>
        </w:r>
      </w:hyperlink>
      <w:r>
        <w:rPr>
          <w:rFonts w:ascii="Arial" w:cs="Arial" w:eastAsia="Arial" w:hAnsi="Arial"/>
          <w:sz w:val="18"/>
          <w:szCs w:val="18"/>
          <w:u w:val="single" w:color="auto"/>
          <w:color w:val="0000FF"/>
        </w:rPr>
        <w:t xml:space="preserve"> </w:t>
      </w:r>
      <w:hyperlink r:id="rId164">
        <w:r>
          <w:rPr>
            <w:rFonts w:ascii="Arial" w:cs="Arial" w:eastAsia="Arial" w:hAnsi="Arial"/>
            <w:sz w:val="18"/>
            <w:szCs w:val="18"/>
            <w:u w:val="single" w:color="auto"/>
            <w:color w:val="0000FF"/>
          </w:rPr>
          <w:t>incorporated by reference from Exhibit A of McCormick’s definitive Proxy Statement dated February 17, 2022, File No. 1-</w:t>
        </w:r>
      </w:hyperlink>
      <w:hyperlink r:id="rId164">
        <w:r>
          <w:rPr>
            <w:rFonts w:ascii="Arial" w:cs="Arial" w:eastAsia="Arial" w:hAnsi="Arial"/>
            <w:sz w:val="18"/>
            <w:szCs w:val="18"/>
            <w:u w:val="single" w:color="auto"/>
            <w:color w:val="0000FF"/>
          </w:rPr>
          <w:t>14920, as filed with the Securities and Exchange Commission on February 17, 2022.*</w:t>
        </w:r>
      </w:hyperlink>
    </w:p>
    <w:p>
      <w:pPr>
        <w:spacing w:after="0" w:line="99" w:lineRule="exact"/>
        <w:rPr>
          <w:rFonts w:ascii="Arial" w:cs="Arial" w:eastAsia="Arial" w:hAnsi="Arial"/>
          <w:sz w:val="18"/>
          <w:szCs w:val="18"/>
          <w:u w:val="single" w:color="auto"/>
          <w:color w:val="0000FF"/>
        </w:rPr>
      </w:pPr>
    </w:p>
    <w:p>
      <w:pPr>
        <w:ind w:left="666" w:hanging="666"/>
        <w:spacing w:after="0" w:line="233" w:lineRule="auto"/>
        <w:tabs>
          <w:tab w:leader="none" w:pos="666" w:val="left"/>
        </w:tabs>
        <w:numPr>
          <w:ilvl w:val="0"/>
          <w:numId w:val="22"/>
        </w:numPr>
        <w:rPr>
          <w:rFonts w:ascii="Arial" w:cs="Arial" w:eastAsia="Arial" w:hAnsi="Arial"/>
          <w:sz w:val="18"/>
          <w:szCs w:val="18"/>
          <w:u w:val="single" w:color="auto"/>
          <w:color w:val="0000FF"/>
        </w:rPr>
      </w:pPr>
      <w:hyperlink r:id="rId165">
        <w:r>
          <w:rPr>
            <w:rFonts w:ascii="Arial" w:cs="Arial" w:eastAsia="Arial" w:hAnsi="Arial"/>
            <w:sz w:val="18"/>
            <w:szCs w:val="18"/>
            <w:u w:val="single" w:color="auto"/>
            <w:color w:val="0000FF"/>
          </w:rPr>
          <w:t>Amendment No. 1 to the 2022 Omnibus Incentive Plan is incorporated by reference from Exhibit 10(vii) of McCormick's</w:t>
        </w:r>
      </w:hyperlink>
      <w:r>
        <w:rPr>
          <w:rFonts w:ascii="Arial" w:cs="Arial" w:eastAsia="Arial" w:hAnsi="Arial"/>
          <w:sz w:val="18"/>
          <w:szCs w:val="18"/>
          <w:u w:val="single" w:color="auto"/>
          <w:color w:val="0000FF"/>
        </w:rPr>
        <w:t xml:space="preserve"> </w:t>
      </w:r>
      <w:hyperlink r:id="rId165">
        <w:r>
          <w:rPr>
            <w:rFonts w:ascii="Arial" w:cs="Arial" w:eastAsia="Arial" w:hAnsi="Arial"/>
            <w:sz w:val="18"/>
            <w:szCs w:val="18"/>
            <w:u w:val="single" w:color="auto"/>
            <w:color w:val="0000FF"/>
          </w:rPr>
          <w:t>Form 10-Q for the quarter ended May 31, 2022, File No. 1-14920, as filed with the Securities and Exchange Commission on</w:t>
        </w:r>
      </w:hyperlink>
      <w:r>
        <w:rPr>
          <w:rFonts w:ascii="Arial" w:cs="Arial" w:eastAsia="Arial" w:hAnsi="Arial"/>
          <w:sz w:val="18"/>
          <w:szCs w:val="18"/>
          <w:u w:val="single" w:color="auto"/>
          <w:color w:val="0000FF"/>
        </w:rPr>
        <w:t xml:space="preserve"> </w:t>
      </w:r>
      <w:hyperlink r:id="rId165">
        <w:r>
          <w:rPr>
            <w:rFonts w:ascii="Arial" w:cs="Arial" w:eastAsia="Arial" w:hAnsi="Arial"/>
            <w:sz w:val="18"/>
            <w:szCs w:val="18"/>
            <w:u w:val="single" w:color="auto"/>
            <w:color w:val="0000FF"/>
          </w:rPr>
          <w:t>June 29, 2022.*</w:t>
        </w:r>
      </w:hyperlink>
    </w:p>
    <w:p>
      <w:pPr>
        <w:spacing w:after="0" w:line="85" w:lineRule="exact"/>
        <w:rPr>
          <w:rFonts w:ascii="Arial" w:cs="Arial" w:eastAsia="Arial" w:hAnsi="Arial"/>
          <w:sz w:val="18"/>
          <w:szCs w:val="18"/>
          <w:u w:val="single" w:color="auto"/>
          <w:color w:val="0000FF"/>
        </w:rPr>
      </w:pPr>
    </w:p>
    <w:p>
      <w:pPr>
        <w:ind w:left="666" w:right="40" w:hanging="666"/>
        <w:spacing w:after="0" w:line="233" w:lineRule="auto"/>
        <w:tabs>
          <w:tab w:leader="none" w:pos="666" w:val="left"/>
        </w:tabs>
        <w:numPr>
          <w:ilvl w:val="0"/>
          <w:numId w:val="22"/>
        </w:numPr>
        <w:rPr>
          <w:rFonts w:ascii="Arial" w:cs="Arial" w:eastAsia="Arial" w:hAnsi="Arial"/>
          <w:sz w:val="18"/>
          <w:szCs w:val="18"/>
          <w:u w:val="single" w:color="auto"/>
          <w:color w:val="0000FF"/>
        </w:rPr>
      </w:pPr>
      <w:hyperlink r:id="rId166">
        <w:r>
          <w:rPr>
            <w:rFonts w:ascii="Arial" w:cs="Arial" w:eastAsia="Arial" w:hAnsi="Arial"/>
            <w:sz w:val="18"/>
            <w:szCs w:val="18"/>
            <w:u w:val="single" w:color="auto"/>
            <w:color w:val="0000FF"/>
          </w:rPr>
          <w:t>Form of Long-Term Performance Plan Agreement, incorporated by reference from Exhibit 10(i) of McCormick's Form 8-K/A,</w:t>
        </w:r>
      </w:hyperlink>
      <w:r>
        <w:rPr>
          <w:rFonts w:ascii="Arial" w:cs="Arial" w:eastAsia="Arial" w:hAnsi="Arial"/>
          <w:sz w:val="18"/>
          <w:szCs w:val="18"/>
          <w:u w:val="single" w:color="auto"/>
          <w:color w:val="0000FF"/>
        </w:rPr>
        <w:t xml:space="preserve"> </w:t>
      </w:r>
      <w:hyperlink r:id="rId166">
        <w:r>
          <w:rPr>
            <w:rFonts w:ascii="Arial" w:cs="Arial" w:eastAsia="Arial" w:hAnsi="Arial"/>
            <w:sz w:val="18"/>
            <w:szCs w:val="18"/>
            <w:u w:val="single" w:color="auto"/>
            <w:color w:val="0000FF"/>
          </w:rPr>
          <w:t>as amended, dated March 30, 2022, File No. 1-14920, as filed with the Securities and Exchange Commission on April 5,</w:t>
        </w:r>
      </w:hyperlink>
      <w:r>
        <w:rPr>
          <w:rFonts w:ascii="Arial" w:cs="Arial" w:eastAsia="Arial" w:hAnsi="Arial"/>
          <w:sz w:val="18"/>
          <w:szCs w:val="18"/>
          <w:u w:val="single" w:color="auto"/>
          <w:color w:val="0000FF"/>
        </w:rPr>
        <w:t xml:space="preserve"> </w:t>
      </w:r>
      <w:hyperlink r:id="rId166">
        <w:r>
          <w:rPr>
            <w:rFonts w:ascii="Arial" w:cs="Arial" w:eastAsia="Arial" w:hAnsi="Arial"/>
            <w:sz w:val="18"/>
            <w:szCs w:val="18"/>
            <w:u w:val="single" w:color="auto"/>
            <w:color w:val="0000FF"/>
          </w:rPr>
          <w:t>2022.*</w:t>
        </w:r>
      </w:hyperlink>
    </w:p>
    <w:p>
      <w:pPr>
        <w:spacing w:after="0" w:line="99" w:lineRule="exact"/>
        <w:rPr>
          <w:rFonts w:ascii="Arial" w:cs="Arial" w:eastAsia="Arial" w:hAnsi="Arial"/>
          <w:sz w:val="18"/>
          <w:szCs w:val="18"/>
          <w:u w:val="single" w:color="auto"/>
          <w:color w:val="0000FF"/>
        </w:rPr>
      </w:pPr>
    </w:p>
    <w:p>
      <w:pPr>
        <w:ind w:left="666" w:right="340" w:hanging="666"/>
        <w:spacing w:after="0" w:line="233" w:lineRule="auto"/>
        <w:tabs>
          <w:tab w:leader="none" w:pos="666" w:val="left"/>
        </w:tabs>
        <w:numPr>
          <w:ilvl w:val="0"/>
          <w:numId w:val="22"/>
        </w:numPr>
        <w:rPr>
          <w:rFonts w:ascii="Arial" w:cs="Arial" w:eastAsia="Arial" w:hAnsi="Arial"/>
          <w:sz w:val="18"/>
          <w:szCs w:val="18"/>
          <w:u w:val="single" w:color="auto"/>
          <w:color w:val="0000FF"/>
        </w:rPr>
      </w:pPr>
      <w:hyperlink r:id="rId167">
        <w:r>
          <w:rPr>
            <w:rFonts w:ascii="Arial" w:cs="Arial" w:eastAsia="Arial" w:hAnsi="Arial"/>
            <w:sz w:val="18"/>
            <w:szCs w:val="18"/>
            <w:u w:val="single" w:color="auto"/>
            <w:color w:val="0000FF"/>
          </w:rPr>
          <w:t>Form of Restricted Stock Units Agreement, incorporated by reference from Exhibit 10(ii) of McCormick's Form 8-K/A, as</w:t>
        </w:r>
      </w:hyperlink>
      <w:r>
        <w:rPr>
          <w:rFonts w:ascii="Arial" w:cs="Arial" w:eastAsia="Arial" w:hAnsi="Arial"/>
          <w:sz w:val="18"/>
          <w:szCs w:val="18"/>
          <w:u w:val="single" w:color="auto"/>
          <w:color w:val="0000FF"/>
        </w:rPr>
        <w:t xml:space="preserve"> </w:t>
      </w:r>
      <w:hyperlink r:id="rId167">
        <w:r>
          <w:rPr>
            <w:rFonts w:ascii="Arial" w:cs="Arial" w:eastAsia="Arial" w:hAnsi="Arial"/>
            <w:sz w:val="18"/>
            <w:szCs w:val="18"/>
            <w:u w:val="single" w:color="auto"/>
            <w:color w:val="0000FF"/>
          </w:rPr>
          <w:t>amended, dated March 30, 2022, File No. 1-14920, as filed with the Securities and Exchange Commission on April 5,</w:t>
        </w:r>
      </w:hyperlink>
      <w:r>
        <w:rPr>
          <w:rFonts w:ascii="Arial" w:cs="Arial" w:eastAsia="Arial" w:hAnsi="Arial"/>
          <w:sz w:val="18"/>
          <w:szCs w:val="18"/>
          <w:u w:val="single" w:color="auto"/>
          <w:color w:val="0000FF"/>
        </w:rPr>
        <w:t xml:space="preserve"> </w:t>
      </w:r>
      <w:hyperlink r:id="rId167">
        <w:r>
          <w:rPr>
            <w:rFonts w:ascii="Arial" w:cs="Arial" w:eastAsia="Arial" w:hAnsi="Arial"/>
            <w:sz w:val="18"/>
            <w:szCs w:val="18"/>
            <w:u w:val="single" w:color="auto"/>
            <w:color w:val="0000FF"/>
          </w:rPr>
          <w:t>2022.*</w:t>
        </w:r>
      </w:hyperlink>
    </w:p>
    <w:p>
      <w:pPr>
        <w:spacing w:after="0" w:line="99" w:lineRule="exact"/>
        <w:rPr>
          <w:rFonts w:ascii="Arial" w:cs="Arial" w:eastAsia="Arial" w:hAnsi="Arial"/>
          <w:sz w:val="18"/>
          <w:szCs w:val="18"/>
          <w:u w:val="single" w:color="auto"/>
          <w:color w:val="0000FF"/>
        </w:rPr>
      </w:pPr>
    </w:p>
    <w:p>
      <w:pPr>
        <w:ind w:left="666" w:right="60" w:hanging="666"/>
        <w:spacing w:after="0" w:line="233" w:lineRule="auto"/>
        <w:tabs>
          <w:tab w:leader="none" w:pos="666" w:val="left"/>
        </w:tabs>
        <w:numPr>
          <w:ilvl w:val="0"/>
          <w:numId w:val="22"/>
        </w:numPr>
        <w:rPr>
          <w:rFonts w:ascii="Arial" w:cs="Arial" w:eastAsia="Arial" w:hAnsi="Arial"/>
          <w:sz w:val="18"/>
          <w:szCs w:val="18"/>
          <w:u w:val="single" w:color="auto"/>
          <w:color w:val="0000FF"/>
        </w:rPr>
      </w:pPr>
      <w:hyperlink r:id="rId168">
        <w:r>
          <w:rPr>
            <w:rFonts w:ascii="Arial" w:cs="Arial" w:eastAsia="Arial" w:hAnsi="Arial"/>
            <w:sz w:val="18"/>
            <w:szCs w:val="18"/>
            <w:u w:val="single" w:color="auto"/>
            <w:color w:val="0000FF"/>
          </w:rPr>
          <w:t>Form of Restricted Stock Units Agreement for Directors, incorporated by reference from Exhibit 10(iii) of McCormick's Form</w:t>
        </w:r>
      </w:hyperlink>
      <w:r>
        <w:rPr>
          <w:rFonts w:ascii="Arial" w:cs="Arial" w:eastAsia="Arial" w:hAnsi="Arial"/>
          <w:sz w:val="18"/>
          <w:szCs w:val="18"/>
          <w:u w:val="single" w:color="auto"/>
          <w:color w:val="0000FF"/>
        </w:rPr>
        <w:t xml:space="preserve"> </w:t>
      </w:r>
      <w:hyperlink r:id="rId168">
        <w:r>
          <w:rPr>
            <w:rFonts w:ascii="Arial" w:cs="Arial" w:eastAsia="Arial" w:hAnsi="Arial"/>
            <w:sz w:val="18"/>
            <w:szCs w:val="18"/>
            <w:u w:val="single" w:color="auto"/>
            <w:color w:val="0000FF"/>
          </w:rPr>
          <w:t>8-K/A, as amended, dated March 30, 2022, File No. 1-14920, as filed with the Securities and Exchange Commission on</w:t>
        </w:r>
      </w:hyperlink>
      <w:r>
        <w:rPr>
          <w:rFonts w:ascii="Arial" w:cs="Arial" w:eastAsia="Arial" w:hAnsi="Arial"/>
          <w:sz w:val="18"/>
          <w:szCs w:val="18"/>
          <w:u w:val="single" w:color="auto"/>
          <w:color w:val="0000FF"/>
        </w:rPr>
        <w:t xml:space="preserve"> </w:t>
      </w:r>
      <w:hyperlink r:id="rId168">
        <w:r>
          <w:rPr>
            <w:rFonts w:ascii="Arial" w:cs="Arial" w:eastAsia="Arial" w:hAnsi="Arial"/>
            <w:sz w:val="18"/>
            <w:szCs w:val="18"/>
            <w:u w:val="single" w:color="auto"/>
            <w:color w:val="0000FF"/>
          </w:rPr>
          <w:t>April 5, 2022.*</w:t>
        </w:r>
      </w:hyperlink>
    </w:p>
    <w:p>
      <w:pPr>
        <w:spacing w:after="0" w:line="99" w:lineRule="exact"/>
        <w:rPr>
          <w:rFonts w:ascii="Arial" w:cs="Arial" w:eastAsia="Arial" w:hAnsi="Arial"/>
          <w:sz w:val="18"/>
          <w:szCs w:val="18"/>
          <w:u w:val="single" w:color="auto"/>
          <w:color w:val="0000FF"/>
        </w:rPr>
      </w:pPr>
    </w:p>
    <w:p>
      <w:pPr>
        <w:ind w:left="666" w:right="120" w:hanging="666"/>
        <w:spacing w:after="0" w:line="233" w:lineRule="auto"/>
        <w:tabs>
          <w:tab w:leader="none" w:pos="666" w:val="left"/>
        </w:tabs>
        <w:numPr>
          <w:ilvl w:val="0"/>
          <w:numId w:val="22"/>
        </w:numPr>
        <w:rPr>
          <w:rFonts w:ascii="Arial" w:cs="Arial" w:eastAsia="Arial" w:hAnsi="Arial"/>
          <w:sz w:val="18"/>
          <w:szCs w:val="18"/>
          <w:u w:val="single" w:color="auto"/>
          <w:color w:val="0000FF"/>
        </w:rPr>
      </w:pPr>
      <w:hyperlink r:id="rId169">
        <w:r>
          <w:rPr>
            <w:rFonts w:ascii="Arial" w:cs="Arial" w:eastAsia="Arial" w:hAnsi="Arial"/>
            <w:sz w:val="18"/>
            <w:szCs w:val="18"/>
            <w:u w:val="single" w:color="auto"/>
            <w:color w:val="0000FF"/>
          </w:rPr>
          <w:t>Form of Non-Qualified Stock Option Agreement, incorporated by reference from Exhibit 10(iv) of McCormick's Form 8-K/A,</w:t>
        </w:r>
      </w:hyperlink>
      <w:r>
        <w:rPr>
          <w:rFonts w:ascii="Arial" w:cs="Arial" w:eastAsia="Arial" w:hAnsi="Arial"/>
          <w:sz w:val="18"/>
          <w:szCs w:val="18"/>
          <w:u w:val="single" w:color="auto"/>
          <w:color w:val="0000FF"/>
        </w:rPr>
        <w:t xml:space="preserve"> </w:t>
      </w:r>
      <w:hyperlink r:id="rId169">
        <w:r>
          <w:rPr>
            <w:rFonts w:ascii="Arial" w:cs="Arial" w:eastAsia="Arial" w:hAnsi="Arial"/>
            <w:sz w:val="18"/>
            <w:szCs w:val="18"/>
            <w:u w:val="single" w:color="auto"/>
            <w:color w:val="0000FF"/>
          </w:rPr>
          <w:t>as amended, dated March 30, 2022, File No. 1-14920, as filed with the Securities and Exchange Commission on April 5,</w:t>
        </w:r>
      </w:hyperlink>
      <w:r>
        <w:rPr>
          <w:rFonts w:ascii="Arial" w:cs="Arial" w:eastAsia="Arial" w:hAnsi="Arial"/>
          <w:sz w:val="18"/>
          <w:szCs w:val="18"/>
          <w:u w:val="single" w:color="auto"/>
          <w:color w:val="0000FF"/>
        </w:rPr>
        <w:t xml:space="preserve"> </w:t>
      </w:r>
      <w:hyperlink r:id="rId169">
        <w:r>
          <w:rPr>
            <w:rFonts w:ascii="Arial" w:cs="Arial" w:eastAsia="Arial" w:hAnsi="Arial"/>
            <w:sz w:val="18"/>
            <w:szCs w:val="18"/>
            <w:u w:val="single" w:color="auto"/>
            <w:color w:val="0000FF"/>
          </w:rPr>
          <w:t>2022.*</w:t>
        </w:r>
      </w:hyperlink>
    </w:p>
    <w:p>
      <w:pPr>
        <w:spacing w:after="0" w:line="153" w:lineRule="exact"/>
        <w:rPr>
          <w:rFonts w:ascii="Arial" w:cs="Arial" w:eastAsia="Arial" w:hAnsi="Arial"/>
          <w:sz w:val="18"/>
          <w:szCs w:val="18"/>
          <w:u w:val="single" w:color="auto"/>
          <w:color w:val="0000FF"/>
        </w:rPr>
      </w:pPr>
    </w:p>
    <w:p>
      <w:pPr>
        <w:ind w:left="666" w:right="160" w:hanging="666"/>
        <w:spacing w:after="0" w:line="233" w:lineRule="auto"/>
        <w:tabs>
          <w:tab w:leader="none" w:pos="666" w:val="left"/>
        </w:tabs>
        <w:numPr>
          <w:ilvl w:val="0"/>
          <w:numId w:val="22"/>
        </w:numPr>
        <w:rPr>
          <w:rFonts w:ascii="Arial" w:cs="Arial" w:eastAsia="Arial" w:hAnsi="Arial"/>
          <w:sz w:val="18"/>
          <w:szCs w:val="18"/>
          <w:u w:val="single" w:color="auto"/>
          <w:color w:val="0000FF"/>
        </w:rPr>
      </w:pPr>
      <w:hyperlink r:id="rId170">
        <w:r>
          <w:rPr>
            <w:rFonts w:ascii="Arial" w:cs="Arial" w:eastAsia="Arial" w:hAnsi="Arial"/>
            <w:sz w:val="18"/>
            <w:szCs w:val="18"/>
            <w:u w:val="single" w:color="auto"/>
            <w:color w:val="0000FF"/>
          </w:rPr>
          <w:t>Form of Non-Qualified Stock Option Agreement for Directors, incorporated by reference from Exhibit 10(v) of McCormick's</w:t>
        </w:r>
      </w:hyperlink>
      <w:r>
        <w:rPr>
          <w:rFonts w:ascii="Arial" w:cs="Arial" w:eastAsia="Arial" w:hAnsi="Arial"/>
          <w:sz w:val="18"/>
          <w:szCs w:val="18"/>
          <w:u w:val="single" w:color="auto"/>
          <w:color w:val="0000FF"/>
        </w:rPr>
        <w:t xml:space="preserve"> </w:t>
      </w:r>
      <w:hyperlink r:id="rId170">
        <w:r>
          <w:rPr>
            <w:rFonts w:ascii="Arial" w:cs="Arial" w:eastAsia="Arial" w:hAnsi="Arial"/>
            <w:sz w:val="18"/>
            <w:szCs w:val="18"/>
            <w:u w:val="single" w:color="auto"/>
            <w:color w:val="0000FF"/>
          </w:rPr>
          <w:t>Form 8-K/A, as amended, March 30, 2022, File No. 1-14920, as filed with the Securities and Exchange Commission on</w:t>
        </w:r>
      </w:hyperlink>
      <w:r>
        <w:rPr>
          <w:rFonts w:ascii="Arial" w:cs="Arial" w:eastAsia="Arial" w:hAnsi="Arial"/>
          <w:sz w:val="18"/>
          <w:szCs w:val="18"/>
          <w:u w:val="single" w:color="auto"/>
          <w:color w:val="0000FF"/>
        </w:rPr>
        <w:t xml:space="preserve"> </w:t>
      </w:r>
      <w:hyperlink r:id="rId170">
        <w:r>
          <w:rPr>
            <w:rFonts w:ascii="Arial" w:cs="Arial" w:eastAsia="Arial" w:hAnsi="Arial"/>
            <w:sz w:val="18"/>
            <w:szCs w:val="18"/>
            <w:u w:val="single" w:color="auto"/>
            <w:color w:val="0000FF"/>
          </w:rPr>
          <w:t>April 5, 2022.*</w:t>
        </w:r>
      </w:hyperlink>
    </w:p>
    <w:p>
      <w:pPr>
        <w:spacing w:after="0" w:line="153" w:lineRule="exact"/>
        <w:rPr>
          <w:rFonts w:ascii="Arial" w:cs="Arial" w:eastAsia="Arial" w:hAnsi="Arial"/>
          <w:sz w:val="18"/>
          <w:szCs w:val="18"/>
          <w:u w:val="single" w:color="auto"/>
          <w:color w:val="0000FF"/>
        </w:rPr>
      </w:pPr>
    </w:p>
    <w:p>
      <w:pPr>
        <w:jc w:val="both"/>
        <w:ind w:left="666" w:right="180" w:hanging="666"/>
        <w:spacing w:after="0" w:line="233" w:lineRule="auto"/>
        <w:tabs>
          <w:tab w:leader="none" w:pos="666" w:val="left"/>
        </w:tabs>
        <w:numPr>
          <w:ilvl w:val="0"/>
          <w:numId w:val="22"/>
        </w:numPr>
        <w:rPr>
          <w:rFonts w:ascii="Arial" w:cs="Arial" w:eastAsia="Arial" w:hAnsi="Arial"/>
          <w:sz w:val="18"/>
          <w:szCs w:val="18"/>
          <w:u w:val="single" w:color="auto"/>
          <w:color w:val="0000FF"/>
        </w:rPr>
      </w:pPr>
      <w:hyperlink r:id="rId171">
        <w:r>
          <w:rPr>
            <w:rFonts w:ascii="Arial" w:cs="Arial" w:eastAsia="Arial" w:hAnsi="Arial"/>
            <w:sz w:val="18"/>
            <w:szCs w:val="18"/>
            <w:u w:val="single" w:color="auto"/>
            <w:color w:val="0000FF"/>
          </w:rPr>
          <w:t>Form of Non-Qualified Stock Option Agreement, incorporated by reference from Exhibit 10(xii) of McCormick's Form 10-Q</w:t>
        </w:r>
      </w:hyperlink>
      <w:r>
        <w:rPr>
          <w:rFonts w:ascii="Arial" w:cs="Arial" w:eastAsia="Arial" w:hAnsi="Arial"/>
          <w:sz w:val="18"/>
          <w:szCs w:val="18"/>
          <w:u w:val="single" w:color="auto"/>
          <w:color w:val="0000FF"/>
        </w:rPr>
        <w:t xml:space="preserve"> </w:t>
      </w:r>
      <w:hyperlink r:id="rId171">
        <w:r>
          <w:rPr>
            <w:rFonts w:ascii="Arial" w:cs="Arial" w:eastAsia="Arial" w:hAnsi="Arial"/>
            <w:sz w:val="18"/>
            <w:szCs w:val="18"/>
            <w:u w:val="single" w:color="auto"/>
            <w:color w:val="0000FF"/>
          </w:rPr>
          <w:t>for the quarter ended May 31, 2024, File No. 1-14920, as filed with the Securities and Exchange Commission on June 27,</w:t>
        </w:r>
      </w:hyperlink>
      <w:r>
        <w:rPr>
          <w:rFonts w:ascii="Arial" w:cs="Arial" w:eastAsia="Arial" w:hAnsi="Arial"/>
          <w:sz w:val="18"/>
          <w:szCs w:val="18"/>
          <w:u w:val="single" w:color="auto"/>
          <w:color w:val="0000FF"/>
        </w:rPr>
        <w:t xml:space="preserve"> </w:t>
      </w:r>
      <w:hyperlink r:id="rId171">
        <w:r>
          <w:rPr>
            <w:rFonts w:ascii="Arial" w:cs="Arial" w:eastAsia="Arial" w:hAnsi="Arial"/>
            <w:sz w:val="18"/>
            <w:szCs w:val="18"/>
            <w:u w:val="single" w:color="auto"/>
            <w:color w:val="0000FF"/>
          </w:rPr>
          <w:t>2024. *</w:t>
        </w:r>
      </w:hyperlink>
    </w:p>
    <w:p>
      <w:pPr>
        <w:spacing w:after="0" w:line="153" w:lineRule="exact"/>
        <w:rPr>
          <w:rFonts w:ascii="Arial" w:cs="Arial" w:eastAsia="Arial" w:hAnsi="Arial"/>
          <w:sz w:val="18"/>
          <w:szCs w:val="18"/>
          <w:u w:val="single" w:color="auto"/>
          <w:color w:val="0000FF"/>
        </w:rPr>
      </w:pPr>
    </w:p>
    <w:p>
      <w:pPr>
        <w:jc w:val="both"/>
        <w:ind w:left="666" w:hanging="666"/>
        <w:spacing w:after="0" w:line="233" w:lineRule="auto"/>
        <w:tabs>
          <w:tab w:leader="none" w:pos="666" w:val="left"/>
        </w:tabs>
        <w:numPr>
          <w:ilvl w:val="0"/>
          <w:numId w:val="22"/>
        </w:numPr>
        <w:rPr>
          <w:rFonts w:ascii="Arial" w:cs="Arial" w:eastAsia="Arial" w:hAnsi="Arial"/>
          <w:sz w:val="18"/>
          <w:szCs w:val="18"/>
          <w:u w:val="single" w:color="auto"/>
          <w:color w:val="0000FF"/>
        </w:rPr>
      </w:pPr>
      <w:hyperlink r:id="rId172">
        <w:r>
          <w:rPr>
            <w:rFonts w:ascii="Arial" w:cs="Arial" w:eastAsia="Arial" w:hAnsi="Arial"/>
            <w:sz w:val="18"/>
            <w:szCs w:val="18"/>
            <w:u w:val="single" w:color="auto"/>
            <w:color w:val="0000FF"/>
          </w:rPr>
          <w:t>Form of Non-Qualified Stock Option Agreement for Directors, incorporated by reference from Exhibit 10(xiv) of McCormick's</w:t>
        </w:r>
      </w:hyperlink>
      <w:r>
        <w:rPr>
          <w:rFonts w:ascii="Arial" w:cs="Arial" w:eastAsia="Arial" w:hAnsi="Arial"/>
          <w:sz w:val="18"/>
          <w:szCs w:val="18"/>
          <w:u w:val="single" w:color="auto"/>
          <w:color w:val="0000FF"/>
        </w:rPr>
        <w:t xml:space="preserve"> </w:t>
      </w:r>
      <w:hyperlink r:id="rId172">
        <w:r>
          <w:rPr>
            <w:rFonts w:ascii="Arial" w:cs="Arial" w:eastAsia="Arial" w:hAnsi="Arial"/>
            <w:sz w:val="18"/>
            <w:szCs w:val="18"/>
            <w:u w:val="single" w:color="auto"/>
            <w:color w:val="0000FF"/>
          </w:rPr>
          <w:t>Form 10-Q for the quarter ended May 31, 2024, File No. 1-14920, as filed with the Securities and Exchange Commission on</w:t>
        </w:r>
      </w:hyperlink>
      <w:r>
        <w:rPr>
          <w:rFonts w:ascii="Arial" w:cs="Arial" w:eastAsia="Arial" w:hAnsi="Arial"/>
          <w:sz w:val="18"/>
          <w:szCs w:val="18"/>
          <w:u w:val="single" w:color="auto"/>
          <w:color w:val="0000FF"/>
        </w:rPr>
        <w:t xml:space="preserve"> </w:t>
      </w:r>
      <w:hyperlink r:id="rId172">
        <w:r>
          <w:rPr>
            <w:rFonts w:ascii="Arial" w:cs="Arial" w:eastAsia="Arial" w:hAnsi="Arial"/>
            <w:sz w:val="18"/>
            <w:szCs w:val="18"/>
            <w:u w:val="single" w:color="auto"/>
            <w:color w:val="0000FF"/>
          </w:rPr>
          <w:t>June 27, 2024. *</w:t>
        </w:r>
      </w:hyperlink>
    </w:p>
    <w:p>
      <w:pPr>
        <w:spacing w:after="0" w:line="166" w:lineRule="exact"/>
        <w:rPr>
          <w:rFonts w:ascii="Arial" w:cs="Arial" w:eastAsia="Arial" w:hAnsi="Arial"/>
          <w:sz w:val="18"/>
          <w:szCs w:val="18"/>
          <w:u w:val="single" w:color="auto"/>
          <w:color w:val="0000FF"/>
        </w:rPr>
      </w:pPr>
    </w:p>
    <w:p>
      <w:pPr>
        <w:jc w:val="both"/>
        <w:ind w:left="666" w:right="60" w:hanging="666"/>
        <w:spacing w:after="0" w:line="301" w:lineRule="auto"/>
        <w:tabs>
          <w:tab w:leader="none" w:pos="666" w:val="left"/>
        </w:tabs>
        <w:numPr>
          <w:ilvl w:val="0"/>
          <w:numId w:val="22"/>
        </w:numPr>
        <w:rPr>
          <w:rFonts w:ascii="Arial" w:cs="Arial" w:eastAsia="Arial" w:hAnsi="Arial"/>
          <w:sz w:val="17"/>
          <w:szCs w:val="17"/>
          <w:u w:val="single" w:color="auto"/>
          <w:color w:val="0000FF"/>
        </w:rPr>
      </w:pPr>
      <w:hyperlink r:id="rId173">
        <w:r>
          <w:rPr>
            <w:rFonts w:ascii="Arial" w:cs="Arial" w:eastAsia="Arial" w:hAnsi="Arial"/>
            <w:sz w:val="17"/>
            <w:szCs w:val="17"/>
            <w:u w:val="single" w:color="auto"/>
            <w:color w:val="0000FF"/>
          </w:rPr>
          <w:t>Form of Stock Option Agreement for the Value Creation Acceleration Program, incorporated by reference from Exhibit 99.1</w:t>
        </w:r>
      </w:hyperlink>
      <w:r>
        <w:rPr>
          <w:rFonts w:ascii="Arial" w:cs="Arial" w:eastAsia="Arial" w:hAnsi="Arial"/>
          <w:sz w:val="17"/>
          <w:szCs w:val="17"/>
          <w:u w:val="single" w:color="auto"/>
          <w:color w:val="0000FF"/>
        </w:rPr>
        <w:t xml:space="preserve"> </w:t>
      </w:r>
      <w:hyperlink r:id="rId173">
        <w:r>
          <w:rPr>
            <w:rFonts w:ascii="Arial" w:cs="Arial" w:eastAsia="Arial" w:hAnsi="Arial"/>
            <w:sz w:val="17"/>
            <w:szCs w:val="17"/>
            <w:u w:val="single" w:color="auto"/>
            <w:color w:val="0000FF"/>
          </w:rPr>
          <w:t>of McCormick’s Form 8-K, File No. 1-14920, as filed with the Securities and Exchange Commission on December 3, 2020.*</w:t>
        </w:r>
      </w:hyperlink>
    </w:p>
    <w:p>
      <w:pPr>
        <w:spacing w:after="0" w:line="22" w:lineRule="exact"/>
        <w:rPr>
          <w:rFonts w:ascii="Arial" w:cs="Arial" w:eastAsia="Arial" w:hAnsi="Arial"/>
          <w:sz w:val="17"/>
          <w:szCs w:val="17"/>
          <w:u w:val="single" w:color="auto"/>
          <w:color w:val="0000FF"/>
        </w:rPr>
      </w:pPr>
    </w:p>
    <w:p>
      <w:pPr>
        <w:ind w:left="666" w:right="260" w:hanging="666"/>
        <w:spacing w:after="0" w:line="233" w:lineRule="auto"/>
        <w:tabs>
          <w:tab w:leader="none" w:pos="666" w:val="left"/>
        </w:tabs>
        <w:numPr>
          <w:ilvl w:val="0"/>
          <w:numId w:val="22"/>
        </w:numPr>
        <w:rPr>
          <w:rFonts w:ascii="Arial" w:cs="Arial" w:eastAsia="Arial" w:hAnsi="Arial"/>
          <w:sz w:val="18"/>
          <w:szCs w:val="18"/>
          <w:u w:val="single" w:color="auto"/>
          <w:color w:val="0000FF"/>
        </w:rPr>
      </w:pPr>
      <w:hyperlink r:id="rId174">
        <w:r>
          <w:rPr>
            <w:rFonts w:ascii="Arial" w:cs="Arial" w:eastAsia="Arial" w:hAnsi="Arial"/>
            <w:sz w:val="18"/>
            <w:szCs w:val="18"/>
            <w:u w:val="single" w:color="auto"/>
            <w:color w:val="0000FF"/>
          </w:rPr>
          <w:t>Form of Indemnification Agreement, incorporated by reference from Exhibit 10(xv) of McCormick’s Form 10-Q for the</w:t>
        </w:r>
      </w:hyperlink>
      <w:r>
        <w:rPr>
          <w:rFonts w:ascii="Arial" w:cs="Arial" w:eastAsia="Arial" w:hAnsi="Arial"/>
          <w:sz w:val="18"/>
          <w:szCs w:val="18"/>
          <w:u w:val="single" w:color="auto"/>
          <w:color w:val="0000FF"/>
        </w:rPr>
        <w:t xml:space="preserve"> </w:t>
      </w:r>
      <w:hyperlink r:id="rId174">
        <w:r>
          <w:rPr>
            <w:rFonts w:ascii="Arial" w:cs="Arial" w:eastAsia="Arial" w:hAnsi="Arial"/>
            <w:sz w:val="18"/>
            <w:szCs w:val="18"/>
            <w:u w:val="single" w:color="auto"/>
            <w:color w:val="0000FF"/>
          </w:rPr>
          <w:t>quarter ended February 28, 2014, File No. 1-14920, as filed with the Securities and Exchange Commission on March 26,</w:t>
        </w:r>
      </w:hyperlink>
      <w:r>
        <w:rPr>
          <w:rFonts w:ascii="Arial" w:cs="Arial" w:eastAsia="Arial" w:hAnsi="Arial"/>
          <w:sz w:val="18"/>
          <w:szCs w:val="18"/>
          <w:u w:val="single" w:color="auto"/>
          <w:color w:val="0000FF"/>
        </w:rPr>
        <w:t xml:space="preserve"> </w:t>
      </w:r>
      <w:hyperlink r:id="rId174">
        <w:r>
          <w:rPr>
            <w:rFonts w:ascii="Arial" w:cs="Arial" w:eastAsia="Arial" w:hAnsi="Arial"/>
            <w:sz w:val="18"/>
            <w:szCs w:val="18"/>
            <w:u w:val="single" w:color="auto"/>
            <w:color w:val="0000FF"/>
          </w:rPr>
          <w:t>2014.*</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80" w:lineRule="exact"/>
        <w:rPr>
          <w:rFonts w:ascii="Arial" w:cs="Arial" w:eastAsia="Arial" w:hAnsi="Arial"/>
          <w:sz w:val="18"/>
          <w:szCs w:val="18"/>
          <w:u w:val="single" w:color="auto"/>
          <w:color w:val="0000FF"/>
        </w:rPr>
      </w:pPr>
    </w:p>
    <w:p>
      <w:pPr>
        <w:ind w:left="4866"/>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-434975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6"/>
          </w:cols>
          <w:pgMar w:left="994" w:top="1116" w:right="399" w:bottom="1440" w:gutter="0" w:footer="0" w:header="0"/>
        </w:sectPr>
      </w:pPr>
    </w:p>
    <w:bookmarkStart w:id="87" w:name="page88"/>
    <w:bookmarkEnd w:id="87"/>
    <w:p>
      <w:pPr>
        <w:ind w:left="3062"/>
        <w:spacing w:after="0"/>
        <w:tabs>
          <w:tab w:leader="none" w:pos="8122" w:val="left"/>
        </w:tabs>
        <w:rPr>
          <w:sz w:val="20"/>
          <w:szCs w:val="20"/>
          <w:color w:val="auto"/>
        </w:rPr>
      </w:pPr>
      <w:r>
        <w:rPr>
          <w:rFonts w:ascii="Arial" w:cs="Arial" w:eastAsia="Arial" w:hAnsi="Arial"/>
          <w:sz w:val="14"/>
          <w:szCs w:val="14"/>
          <w:color w:val="auto"/>
        </w:rPr>
        <w:t>Exhibit Number</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40640</wp:posOffset>
            </wp:positionV>
            <wp:extent cx="711517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52" w:lineRule="exact"/>
        <w:rPr>
          <w:sz w:val="20"/>
          <w:szCs w:val="20"/>
          <w:color w:val="auto"/>
        </w:rPr>
      </w:pPr>
    </w:p>
    <w:p>
      <w:pPr>
        <w:jc w:val="both"/>
        <w:ind w:left="1122" w:right="280" w:hanging="666"/>
        <w:spacing w:after="0" w:line="268" w:lineRule="auto"/>
        <w:tabs>
          <w:tab w:leader="none" w:pos="1122" w:val="left"/>
        </w:tabs>
        <w:numPr>
          <w:ilvl w:val="1"/>
          <w:numId w:val="23"/>
        </w:numPr>
        <w:rPr>
          <w:rFonts w:ascii="Arial" w:cs="Arial" w:eastAsia="Arial" w:hAnsi="Arial"/>
          <w:sz w:val="17"/>
          <w:szCs w:val="17"/>
          <w:color w:val="0000FF"/>
        </w:rPr>
      </w:pPr>
      <w:hyperlink r:id="rId177">
        <w:r>
          <w:rPr>
            <w:rFonts w:ascii="Arial" w:cs="Arial" w:eastAsia="Arial" w:hAnsi="Arial"/>
            <w:sz w:val="17"/>
            <w:szCs w:val="17"/>
            <w:u w:val="single" w:color="auto"/>
            <w:color w:val="0000FF"/>
          </w:rPr>
          <w:t>Severance Plan for Executives, incorporated by reference from Exhibit 10(xix) of McCormick’s Form 10-Q for the quarter</w:t>
        </w:r>
      </w:hyperlink>
      <w:r>
        <w:rPr>
          <w:rFonts w:ascii="Arial" w:cs="Arial" w:eastAsia="Arial" w:hAnsi="Arial"/>
          <w:sz w:val="17"/>
          <w:szCs w:val="17"/>
          <w:u w:val="single" w:color="auto"/>
          <w:color w:val="0000FF"/>
        </w:rPr>
        <w:t xml:space="preserve"> </w:t>
      </w:r>
      <w:hyperlink r:id="rId177">
        <w:r>
          <w:rPr>
            <w:rFonts w:ascii="Arial" w:cs="Arial" w:eastAsia="Arial" w:hAnsi="Arial"/>
            <w:sz w:val="17"/>
            <w:szCs w:val="17"/>
            <w:u w:val="single" w:color="auto"/>
            <w:color w:val="0000FF"/>
          </w:rPr>
          <w:t>ended February 28, 2015, File No. 1-14920, as filed with the Securities and Exchange Commission on March 31, 2015</w:t>
        </w:r>
        <w:r>
          <w:rPr>
            <w:rFonts w:ascii="Arial" w:cs="Arial" w:eastAsia="Arial" w:hAnsi="Arial"/>
            <w:sz w:val="17"/>
            <w:szCs w:val="17"/>
            <w:color w:val="000000"/>
          </w:rPr>
          <w:t>.*</w:t>
        </w:r>
      </w:hyperlink>
    </w:p>
    <w:p>
      <w:pPr>
        <w:spacing w:after="0" w:line="36" w:lineRule="exact"/>
        <w:rPr>
          <w:rFonts w:ascii="Arial" w:cs="Arial" w:eastAsia="Arial" w:hAnsi="Arial"/>
          <w:sz w:val="17"/>
          <w:szCs w:val="17"/>
          <w:color w:val="0000FF"/>
        </w:rPr>
      </w:pPr>
    </w:p>
    <w:p>
      <w:pPr>
        <w:ind w:left="1122" w:right="340" w:hanging="1031"/>
        <w:spacing w:after="0" w:line="237" w:lineRule="auto"/>
        <w:tabs>
          <w:tab w:leader="none" w:pos="1122" w:val="left"/>
        </w:tabs>
        <w:numPr>
          <w:ilvl w:val="0"/>
          <w:numId w:val="24"/>
        </w:numPr>
        <w:rPr>
          <w:rFonts w:ascii="Times New Roman" w:cs="Times New Roman" w:eastAsia="Times New Roman" w:hAnsi="Times New Roman"/>
          <w:sz w:val="18"/>
          <w:szCs w:val="18"/>
          <w:u w:val="single" w:color="auto"/>
          <w:color w:val="0000FF"/>
        </w:rPr>
      </w:pPr>
      <w:hyperlink r:id="rId178">
        <w:r>
          <w:rPr>
            <w:rFonts w:ascii="Times New Roman" w:cs="Times New Roman" w:eastAsia="Times New Roman" w:hAnsi="Times New Roman"/>
            <w:sz w:val="18"/>
            <w:szCs w:val="18"/>
            <w:u w:val="single" w:color="auto"/>
            <w:color w:val="0000FF"/>
          </w:rPr>
          <w:t>McCormick Insider Trading Policy, incorporated by reference from Exhibit 19 of McCormick’s Form 10-K for the fiscal year ended</w:t>
        </w:r>
      </w:hyperlink>
      <w:r>
        <w:rPr>
          <w:rFonts w:ascii="Times New Roman" w:cs="Times New Roman" w:eastAsia="Times New Roman" w:hAnsi="Times New Roman"/>
          <w:sz w:val="18"/>
          <w:szCs w:val="18"/>
          <w:u w:val="single" w:color="auto"/>
          <w:color w:val="0000FF"/>
        </w:rPr>
        <w:t xml:space="preserve"> </w:t>
      </w:r>
      <w:hyperlink r:id="rId178">
        <w:r>
          <w:rPr>
            <w:rFonts w:ascii="Times New Roman" w:cs="Times New Roman" w:eastAsia="Times New Roman" w:hAnsi="Times New Roman"/>
            <w:sz w:val="18"/>
            <w:szCs w:val="18"/>
            <w:u w:val="single" w:color="auto"/>
            <w:color w:val="0000FF"/>
          </w:rPr>
          <w:t>November 30, 2024, File No. 1-14920, as filed with the Securities and Exchange Commission on January 23, 2025.</w:t>
        </w:r>
      </w:hyperlink>
    </w:p>
    <w:p>
      <w:pPr>
        <w:spacing w:after="0" w:line="50" w:lineRule="exact"/>
        <w:rPr>
          <w:rFonts w:ascii="Arial" w:cs="Arial" w:eastAsia="Arial" w:hAnsi="Arial"/>
          <w:sz w:val="18"/>
          <w:szCs w:val="18"/>
          <w:color w:val="auto"/>
        </w:rPr>
      </w:pPr>
    </w:p>
    <w:tbl>
      <w:tblPr>
        <w:tblLayout w:type="fixed"/>
        <w:tblInd w:w="82" w:type="dxa"/>
        <w:tblCellMar>
          <w:top w:w="0" w:type="dxa"/>
          <w:left w:w="0" w:type="dxa"/>
          <w:bottom w:w="0" w:type="dxa"/>
          <w:right w:w="0" w:type="dxa"/>
        </w:tblCellMar>
      </w:tblPr>
      <w:tr>
        <w:trPr>
          <w:trHeight w:val="207"/>
        </w:trPr>
        <w:tc>
          <w:tcPr>
            <w:tcW w:w="1040" w:type="dxa"/>
            <w:vAlign w:val="bottom"/>
          </w:tcPr>
          <w:p>
            <w:pPr>
              <w:jc w:val="right"/>
              <w:ind w:right="630"/>
              <w:spacing w:after="0"/>
              <w:rPr>
                <w:sz w:val="20"/>
                <w:szCs w:val="20"/>
                <w:color w:val="auto"/>
              </w:rPr>
            </w:pPr>
            <w:r>
              <w:rPr>
                <w:rFonts w:ascii="Arial" w:cs="Arial" w:eastAsia="Arial" w:hAnsi="Arial"/>
                <w:sz w:val="18"/>
                <w:szCs w:val="18"/>
                <w:color w:val="auto"/>
                <w:w w:val="93"/>
              </w:rPr>
              <w:t>(21)</w:t>
            </w:r>
          </w:p>
        </w:tc>
        <w:tc>
          <w:tcPr>
            <w:tcW w:w="4960" w:type="dxa"/>
            <w:vAlign w:val="bottom"/>
            <w:gridSpan w:val="3"/>
          </w:tcPr>
          <w:p>
            <w:pPr>
              <w:spacing w:after="0"/>
              <w:rPr>
                <w:sz w:val="20"/>
                <w:szCs w:val="20"/>
                <w:color w:val="auto"/>
              </w:rPr>
            </w:pPr>
            <w:r>
              <w:rPr>
                <w:rFonts w:ascii="Arial" w:cs="Arial" w:eastAsia="Arial" w:hAnsi="Arial"/>
                <w:sz w:val="18"/>
                <w:szCs w:val="18"/>
                <w:color w:val="0000FF"/>
              </w:rPr>
              <w:t>Subsidiaries of McCormick</w:t>
            </w:r>
          </w:p>
        </w:tc>
        <w:tc>
          <w:tcPr>
            <w:tcW w:w="2980" w:type="dxa"/>
            <w:vAlign w:val="bottom"/>
          </w:tcPr>
          <w:p>
            <w:pPr>
              <w:ind w:left="1860"/>
              <w:spacing w:after="0"/>
              <w:rPr>
                <w:sz w:val="20"/>
                <w:szCs w:val="20"/>
                <w:color w:val="auto"/>
              </w:rPr>
            </w:pPr>
            <w:r>
              <w:rPr>
                <w:rFonts w:ascii="Arial" w:cs="Arial" w:eastAsia="Arial" w:hAnsi="Arial"/>
                <w:sz w:val="18"/>
                <w:szCs w:val="18"/>
                <w:color w:val="auto"/>
                <w:w w:val="98"/>
              </w:rPr>
              <w:t>Filed herewith</w:t>
            </w:r>
          </w:p>
        </w:tc>
      </w:tr>
      <w:tr>
        <w:trPr>
          <w:trHeight w:val="20"/>
        </w:trPr>
        <w:tc>
          <w:tcPr>
            <w:tcW w:w="104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263"/>
        </w:trPr>
        <w:tc>
          <w:tcPr>
            <w:tcW w:w="1040" w:type="dxa"/>
            <w:vAlign w:val="bottom"/>
          </w:tcPr>
          <w:p>
            <w:pPr>
              <w:jc w:val="right"/>
              <w:ind w:right="630"/>
              <w:spacing w:after="0"/>
              <w:rPr>
                <w:sz w:val="20"/>
                <w:szCs w:val="20"/>
                <w:color w:val="auto"/>
              </w:rPr>
            </w:pPr>
            <w:r>
              <w:rPr>
                <w:rFonts w:ascii="Arial" w:cs="Arial" w:eastAsia="Arial" w:hAnsi="Arial"/>
                <w:sz w:val="18"/>
                <w:szCs w:val="18"/>
                <w:color w:val="auto"/>
                <w:w w:val="93"/>
              </w:rPr>
              <w:t>(23)</w:t>
            </w:r>
          </w:p>
        </w:tc>
        <w:tc>
          <w:tcPr>
            <w:tcW w:w="262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9"/>
              </w:rPr>
              <w:t>Consents of experts and counsel</w:t>
            </w:r>
          </w:p>
        </w:tc>
        <w:tc>
          <w:tcPr>
            <w:tcW w:w="2340" w:type="dxa"/>
            <w:vAlign w:val="bottom"/>
          </w:tcPr>
          <w:p>
            <w:pPr>
              <w:spacing w:after="0"/>
              <w:rPr>
                <w:sz w:val="22"/>
                <w:szCs w:val="22"/>
                <w:color w:val="auto"/>
              </w:rPr>
            </w:pPr>
          </w:p>
        </w:tc>
        <w:tc>
          <w:tcPr>
            <w:tcW w:w="2980" w:type="dxa"/>
            <w:vAlign w:val="bottom"/>
          </w:tcPr>
          <w:p>
            <w:pPr>
              <w:ind w:left="1860"/>
              <w:spacing w:after="0"/>
              <w:rPr>
                <w:sz w:val="20"/>
                <w:szCs w:val="20"/>
                <w:color w:val="auto"/>
              </w:rPr>
            </w:pPr>
            <w:r>
              <w:rPr>
                <w:rFonts w:ascii="Arial" w:cs="Arial" w:eastAsia="Arial" w:hAnsi="Arial"/>
                <w:sz w:val="18"/>
                <w:szCs w:val="18"/>
                <w:color w:val="auto"/>
                <w:w w:val="98"/>
              </w:rPr>
              <w:t>Filed herewith</w:t>
            </w:r>
          </w:p>
        </w:tc>
      </w:tr>
      <w:tr>
        <w:trPr>
          <w:trHeight w:val="308"/>
        </w:trPr>
        <w:tc>
          <w:tcPr>
            <w:tcW w:w="1040" w:type="dxa"/>
            <w:vAlign w:val="bottom"/>
          </w:tcPr>
          <w:p>
            <w:pPr>
              <w:jc w:val="right"/>
              <w:ind w:right="630"/>
              <w:spacing w:after="0"/>
              <w:rPr>
                <w:sz w:val="20"/>
                <w:szCs w:val="20"/>
                <w:color w:val="auto"/>
              </w:rPr>
            </w:pPr>
            <w:r>
              <w:rPr>
                <w:rFonts w:ascii="Arial" w:cs="Arial" w:eastAsia="Arial" w:hAnsi="Arial"/>
                <w:sz w:val="18"/>
                <w:szCs w:val="18"/>
                <w:color w:val="auto"/>
                <w:w w:val="93"/>
              </w:rPr>
              <w:t>(31)</w:t>
            </w:r>
          </w:p>
        </w:tc>
        <w:tc>
          <w:tcPr>
            <w:tcW w:w="4960" w:type="dxa"/>
            <w:vAlign w:val="bottom"/>
            <w:gridSpan w:val="3"/>
          </w:tcPr>
          <w:p>
            <w:pPr>
              <w:spacing w:after="0"/>
              <w:rPr>
                <w:sz w:val="20"/>
                <w:szCs w:val="20"/>
                <w:color w:val="auto"/>
              </w:rPr>
            </w:pPr>
            <w:r>
              <w:rPr>
                <w:rFonts w:ascii="Arial" w:cs="Arial" w:eastAsia="Arial" w:hAnsi="Arial"/>
                <w:sz w:val="18"/>
                <w:szCs w:val="18"/>
                <w:color w:val="auto"/>
              </w:rPr>
              <w:t>Rule 13a-14(a)/15d-14(a) Certifications</w:t>
            </w:r>
          </w:p>
        </w:tc>
        <w:tc>
          <w:tcPr>
            <w:tcW w:w="2980" w:type="dxa"/>
            <w:vAlign w:val="bottom"/>
          </w:tcPr>
          <w:p>
            <w:pPr>
              <w:ind w:left="1860"/>
              <w:spacing w:after="0"/>
              <w:rPr>
                <w:sz w:val="20"/>
                <w:szCs w:val="20"/>
                <w:color w:val="auto"/>
              </w:rPr>
            </w:pPr>
            <w:r>
              <w:rPr>
                <w:rFonts w:ascii="Arial" w:cs="Arial" w:eastAsia="Arial" w:hAnsi="Arial"/>
                <w:sz w:val="18"/>
                <w:szCs w:val="18"/>
                <w:color w:val="auto"/>
                <w:w w:val="98"/>
              </w:rPr>
              <w:t>Filed herewith</w:t>
            </w:r>
          </w:p>
        </w:tc>
      </w:tr>
    </w:tbl>
    <w:p>
      <w:pPr>
        <w:spacing w:after="0" w:line="45" w:lineRule="exact"/>
        <w:rPr>
          <w:rFonts w:ascii="Arial" w:cs="Arial" w:eastAsia="Arial" w:hAnsi="Arial"/>
          <w:sz w:val="18"/>
          <w:szCs w:val="18"/>
          <w:color w:val="auto"/>
        </w:rPr>
      </w:pPr>
    </w:p>
    <w:p>
      <w:pPr>
        <w:jc w:val="both"/>
        <w:ind w:left="1122" w:right="320" w:hanging="666"/>
        <w:spacing w:after="0" w:line="233" w:lineRule="auto"/>
        <w:tabs>
          <w:tab w:leader="none" w:pos="1122"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0000FF"/>
        </w:rPr>
        <w:t>Certification of Brendan M. Foley, Chairman, President, and Chief Executive Officer, pursuant to Rule 13a-14(a) or Rule 15d-14(a) under the Securities Exchange Act of 1934, as adopted pursuant to Section 302 of the Sarbanes-Oxley Act of 2002.</w:t>
      </w:r>
    </w:p>
    <w:p>
      <w:pPr>
        <w:spacing w:after="0" w:line="45" w:lineRule="exact"/>
        <w:rPr>
          <w:rFonts w:ascii="Arial" w:cs="Arial" w:eastAsia="Arial" w:hAnsi="Arial"/>
          <w:sz w:val="18"/>
          <w:szCs w:val="18"/>
          <w:color w:val="auto"/>
        </w:rPr>
      </w:pPr>
    </w:p>
    <w:p>
      <w:pPr>
        <w:ind w:left="1122" w:right="60" w:hanging="666"/>
        <w:spacing w:after="0" w:line="233" w:lineRule="auto"/>
        <w:tabs>
          <w:tab w:leader="none" w:pos="1122"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0000FF"/>
        </w:rPr>
        <w:t>Certification of Marcos M. Gabriel, Executive Vice President and Chief Financial Officer, pursuant to Rule 13a-14(a) or Rule 15d-14(a) under the Securities Exchange Act of 1934, as adopted pursuant to Section 302 of the Sarbanes-Oxley Act of 2002.</w:t>
      </w:r>
    </w:p>
    <w:p>
      <w:pPr>
        <w:spacing w:after="0" w:line="45" w:lineRule="exact"/>
        <w:rPr>
          <w:rFonts w:ascii="Arial" w:cs="Arial" w:eastAsia="Arial" w:hAnsi="Arial"/>
          <w:sz w:val="18"/>
          <w:szCs w:val="18"/>
          <w:color w:val="auto"/>
        </w:rPr>
      </w:pPr>
    </w:p>
    <w:p>
      <w:pPr>
        <w:ind w:left="82"/>
        <w:spacing w:after="0"/>
        <w:tabs>
          <w:tab w:leader="none" w:pos="1102" w:val="left"/>
          <w:tab w:leader="none" w:pos="7922"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Section 1350 Certifications</w:t>
      </w:r>
      <w:r>
        <w:rPr>
          <w:sz w:val="20"/>
          <w:szCs w:val="20"/>
          <w:color w:val="auto"/>
        </w:rPr>
        <w:tab/>
      </w:r>
      <w:r>
        <w:rPr>
          <w:rFonts w:ascii="Arial" w:cs="Arial" w:eastAsia="Arial" w:hAnsi="Arial"/>
          <w:sz w:val="17"/>
          <w:szCs w:val="17"/>
          <w:color w:val="auto"/>
        </w:rPr>
        <w:t>Filed herewith</w:t>
      </w:r>
    </w:p>
    <w:p>
      <w:pPr>
        <w:spacing w:after="0" w:line="77" w:lineRule="exact"/>
        <w:rPr>
          <w:rFonts w:ascii="Arial" w:cs="Arial" w:eastAsia="Arial" w:hAnsi="Arial"/>
          <w:sz w:val="18"/>
          <w:szCs w:val="18"/>
          <w:color w:val="auto"/>
        </w:rPr>
      </w:pPr>
    </w:p>
    <w:p>
      <w:pPr>
        <w:ind w:left="1122" w:hanging="666"/>
        <w:spacing w:after="0" w:line="233" w:lineRule="auto"/>
        <w:tabs>
          <w:tab w:leader="none" w:pos="1122"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0000FF"/>
        </w:rPr>
        <w:t>Certification of Brendan M. Foley, Chairman, President and Chief Executive Officer, pursuant to Rule 13a-14(b) or Rule 15d-14(b) under the Securities Exchange Act of 1934 and 18 U.S.C. Section 1350, as adopted pursuant to Section 906 of the Sarbanes-Oxley Act of 2002.</w:t>
      </w:r>
    </w:p>
    <w:p>
      <w:pPr>
        <w:spacing w:after="0" w:line="45" w:lineRule="exact"/>
        <w:rPr>
          <w:rFonts w:ascii="Arial" w:cs="Arial" w:eastAsia="Arial" w:hAnsi="Arial"/>
          <w:sz w:val="18"/>
          <w:szCs w:val="18"/>
          <w:color w:val="auto"/>
        </w:rPr>
      </w:pPr>
    </w:p>
    <w:p>
      <w:pPr>
        <w:ind w:left="1122" w:right="60" w:hanging="666"/>
        <w:spacing w:after="0" w:line="233" w:lineRule="auto"/>
        <w:tabs>
          <w:tab w:leader="none" w:pos="1122"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0000FF"/>
        </w:rPr>
        <w:t>Certification of Marcos M. Gabriel, Executive Vice President and Chief Financial Officer, pursuant to Rule 13a-14(b) or Rule 15d-14(b) under the Securities Exchange Act of 1934 and 18 U.S.C. Section 1350, as adopted pursuant to Section 906 of the Sarbanes-Oxley Act of 2002.</w:t>
      </w:r>
    </w:p>
    <w:p>
      <w:pPr>
        <w:spacing w:after="0" w:line="45" w:lineRule="exact"/>
        <w:rPr>
          <w:rFonts w:ascii="Arial" w:cs="Arial" w:eastAsia="Arial" w:hAnsi="Arial"/>
          <w:sz w:val="18"/>
          <w:szCs w:val="18"/>
          <w:color w:val="auto"/>
        </w:rPr>
      </w:pPr>
    </w:p>
    <w:p>
      <w:pPr>
        <w:ind w:left="1122" w:right="60" w:hanging="1031"/>
        <w:spacing w:after="0"/>
        <w:tabs>
          <w:tab w:leader="none" w:pos="1122" w:val="left"/>
        </w:tabs>
        <w:numPr>
          <w:ilvl w:val="0"/>
          <w:numId w:val="27"/>
        </w:numPr>
        <w:rPr>
          <w:rFonts w:ascii="Arial" w:cs="Arial" w:eastAsia="Arial" w:hAnsi="Arial"/>
          <w:sz w:val="18"/>
          <w:szCs w:val="18"/>
          <w:u w:val="single" w:color="auto"/>
          <w:color w:val="0000FF"/>
        </w:rPr>
      </w:pPr>
      <w:hyperlink r:id="rId179">
        <w:r>
          <w:rPr>
            <w:rFonts w:ascii="Arial" w:cs="Arial" w:eastAsia="Arial" w:hAnsi="Arial"/>
            <w:sz w:val="18"/>
            <w:szCs w:val="18"/>
            <w:u w:val="single" w:color="auto"/>
            <w:color w:val="0000FF"/>
          </w:rPr>
          <w:t>McCormick Clawback Policy, incorporated by reference from Exhibit 97 of McCormick’s Form 10-K for the fiscal year ended</w:t>
        </w:r>
      </w:hyperlink>
      <w:r>
        <w:rPr>
          <w:rFonts w:ascii="Arial" w:cs="Arial" w:eastAsia="Arial" w:hAnsi="Arial"/>
          <w:sz w:val="18"/>
          <w:szCs w:val="18"/>
          <w:u w:val="single" w:color="auto"/>
          <w:color w:val="0000FF"/>
        </w:rPr>
        <w:t xml:space="preserve"> </w:t>
      </w:r>
      <w:hyperlink r:id="rId179">
        <w:r>
          <w:rPr>
            <w:rFonts w:ascii="Arial" w:cs="Arial" w:eastAsia="Arial" w:hAnsi="Arial"/>
            <w:sz w:val="18"/>
            <w:szCs w:val="18"/>
            <w:u w:val="single" w:color="auto"/>
            <w:color w:val="0000FF"/>
          </w:rPr>
          <w:t>November 30, 2023, File No. 1-14920, as filed with the Securities and Exchange Commission on January 25, 2024.</w:t>
        </w:r>
      </w:hyperlink>
    </w:p>
    <w:p>
      <w:pPr>
        <w:spacing w:after="0" w:line="59" w:lineRule="exact"/>
        <w:rPr>
          <w:rFonts w:ascii="Arial" w:cs="Arial" w:eastAsia="Arial" w:hAnsi="Arial"/>
          <w:sz w:val="18"/>
          <w:szCs w:val="18"/>
          <w:color w:val="auto"/>
        </w:rPr>
      </w:pPr>
    </w:p>
    <w:p>
      <w:pPr>
        <w:ind w:left="1122" w:right="240" w:hanging="1122"/>
        <w:spacing w:after="0" w:line="221" w:lineRule="auto"/>
        <w:tabs>
          <w:tab w:leader="none" w:pos="1122"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following financial information from the Annual Report on Form 10-K of McCormick for the year ended November 30, 2025, filed electronically herewith, and formatted in Inline XBRL (Extensible Business Reporting Language):</w:t>
      </w:r>
    </w:p>
    <w:p>
      <w:pPr>
        <w:spacing w:after="0" w:line="1" w:lineRule="exact"/>
        <w:rPr>
          <w:rFonts w:ascii="Arial" w:cs="Arial" w:eastAsia="Arial" w:hAnsi="Arial"/>
          <w:sz w:val="18"/>
          <w:szCs w:val="18"/>
          <w:color w:val="auto"/>
        </w:rPr>
      </w:pPr>
    </w:p>
    <w:p>
      <w:pPr>
        <w:ind w:left="1122" w:right="240"/>
        <w:spacing w:after="0" w:line="221" w:lineRule="auto"/>
        <w:rPr>
          <w:rFonts w:ascii="Arial" w:cs="Arial" w:eastAsia="Arial" w:hAnsi="Arial"/>
          <w:sz w:val="18"/>
          <w:szCs w:val="18"/>
          <w:color w:val="auto"/>
        </w:rPr>
      </w:pPr>
      <w:r>
        <w:rPr>
          <w:rFonts w:ascii="Arial" w:cs="Arial" w:eastAsia="Arial" w:hAnsi="Arial"/>
          <w:sz w:val="18"/>
          <w:szCs w:val="18"/>
          <w:color w:val="auto"/>
        </w:rPr>
        <w:t>(i) Consolidated Balance Sheets; (ii) Consolidated Income Statements; (iii) Consolidated Statements of Comprehensive Income; (iv) Consolidated Statements of Shareholders’ Equity; (v) Consolidated Cash Flow Statements; and (vi) Notes to Consolidated Financial Statements.</w:t>
      </w:r>
    </w:p>
    <w:p>
      <w:pPr>
        <w:spacing w:after="0" w:line="4" w:lineRule="exact"/>
        <w:rPr>
          <w:rFonts w:ascii="Arial" w:cs="Arial" w:eastAsia="Arial" w:hAnsi="Arial"/>
          <w:sz w:val="18"/>
          <w:szCs w:val="18"/>
          <w:color w:val="auto"/>
        </w:rPr>
      </w:pPr>
    </w:p>
    <w:p>
      <w:pPr>
        <w:ind w:left="1122" w:right="180" w:hanging="1122"/>
        <w:spacing w:after="0"/>
        <w:tabs>
          <w:tab w:leader="none" w:pos="1122"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Inline XBRL for the cover page of this Annual Report on Form 10-K of McCormick for the year ended November 30, 2025, filed electronically herewith, included in the Exhibit 101 Inline XBRL Document Set.</w:t>
      </w:r>
    </w:p>
    <w:p>
      <w:pPr>
        <w:spacing w:after="0" w:line="58" w:lineRule="exact"/>
        <w:rPr>
          <w:rFonts w:ascii="Arial" w:cs="Arial" w:eastAsia="Arial" w:hAnsi="Arial"/>
          <w:sz w:val="18"/>
          <w:szCs w:val="18"/>
          <w:color w:val="auto"/>
        </w:rPr>
      </w:pPr>
    </w:p>
    <w:p>
      <w:pPr>
        <w:ind w:left="462"/>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Management contract or compensatory plan or arrangement.</w:t>
      </w:r>
    </w:p>
    <w:p>
      <w:pPr>
        <w:spacing w:after="0" w:line="76" w:lineRule="exact"/>
        <w:rPr>
          <w:rFonts w:ascii="Arial" w:cs="Arial" w:eastAsia="Arial" w:hAnsi="Arial"/>
          <w:sz w:val="18"/>
          <w:szCs w:val="18"/>
          <w:color w:val="auto"/>
        </w:rPr>
      </w:pPr>
    </w:p>
    <w:p>
      <w:pPr>
        <w:jc w:val="both"/>
        <w:ind w:left="1122" w:right="20"/>
        <w:spacing w:after="0" w:line="250" w:lineRule="auto"/>
        <w:rPr>
          <w:rFonts w:ascii="Arial" w:cs="Arial" w:eastAsia="Arial" w:hAnsi="Arial"/>
          <w:sz w:val="18"/>
          <w:szCs w:val="18"/>
          <w:color w:val="auto"/>
        </w:rPr>
      </w:pPr>
      <w:r>
        <w:rPr>
          <w:rFonts w:ascii="Arial" w:cs="Arial" w:eastAsia="Arial" w:hAnsi="Arial"/>
          <w:sz w:val="17"/>
          <w:szCs w:val="17"/>
          <w:color w:val="auto"/>
        </w:rPr>
        <w:t>McCormick hereby undertakes to furnish to the Securities and Exchange Commission, upon its request, copies of additional instruments of McCormick with respect to long-term debt that involve an amount of securities that do not exceed 10% of the total assets of McCormick and its subsidiaries on a consolidated basis, pursuant to Regulation S-K, Item 601(b)(4)(iii)(A).</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1" w:lineRule="exact"/>
        <w:rPr>
          <w:rFonts w:ascii="Arial" w:cs="Arial" w:eastAsia="Arial" w:hAnsi="Arial"/>
          <w:sz w:val="18"/>
          <w:szCs w:val="18"/>
          <w:color w:val="auto"/>
        </w:rPr>
      </w:pPr>
    </w:p>
    <w:p>
      <w:pPr>
        <w:jc w:val="center"/>
        <w:ind w:right="158"/>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-145415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2"/>
          </w:cols>
          <w:pgMar w:left="538" w:top="1116" w:right="399" w:bottom="1440" w:gutter="0" w:footer="0" w:header="0"/>
        </w:sectPr>
      </w:pPr>
    </w:p>
    <w:bookmarkStart w:id="88" w:name="page89"/>
    <w:bookmarkEnd w:id="88"/>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Pursuant to the requirements of Section 13 or 15(d) of the Securities Exchange Act of 1934, McCormick has duly caused this report to be signed on its behalf by the undersigned, thereunto duly authorized.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McCORMICK &amp; COMPANY, INCORPORATED</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152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rPr>
              <w:t>/s/</w:t>
            </w:r>
          </w:p>
        </w:tc>
        <w:tc>
          <w:tcPr>
            <w:tcW w:w="29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RENDAN</w:t>
            </w:r>
            <w:r>
              <w:rPr>
                <w:rFonts w:ascii="Arial" w:cs="Arial" w:eastAsia="Arial" w:hAnsi="Arial"/>
                <w:sz w:val="18"/>
                <w:szCs w:val="18"/>
                <w:color w:val="auto"/>
              </w:rPr>
              <w:t xml:space="preserve"> M. F</w:t>
            </w:r>
            <w:r>
              <w:rPr>
                <w:rFonts w:ascii="Arial" w:cs="Arial" w:eastAsia="Arial" w:hAnsi="Arial"/>
                <w:sz w:val="14"/>
                <w:szCs w:val="14"/>
                <w:color w:val="auto"/>
              </w:rPr>
              <w:t>OLEY</w:t>
            </w:r>
          </w:p>
        </w:tc>
        <w:tc>
          <w:tcPr>
            <w:tcW w:w="3100" w:type="dxa"/>
            <w:vAlign w:val="bottom"/>
          </w:tcPr>
          <w:p>
            <w:pPr>
              <w:ind w:left="20"/>
              <w:spacing w:after="0"/>
              <w:rPr>
                <w:sz w:val="20"/>
                <w:szCs w:val="20"/>
                <w:color w:val="auto"/>
              </w:rPr>
            </w:pPr>
            <w:r>
              <w:rPr>
                <w:rFonts w:ascii="Arial" w:cs="Arial" w:eastAsia="Arial" w:hAnsi="Arial"/>
                <w:sz w:val="18"/>
                <w:szCs w:val="18"/>
                <w:color w:val="auto"/>
              </w:rPr>
              <w:t>Chairman, President &amp;</w:t>
            </w:r>
          </w:p>
        </w:tc>
        <w:tc>
          <w:tcPr>
            <w:tcW w:w="2640" w:type="dxa"/>
            <w:vAlign w:val="bottom"/>
          </w:tcPr>
          <w:p>
            <w:pPr>
              <w:ind w:left="1260"/>
              <w:spacing w:after="0"/>
              <w:rPr>
                <w:sz w:val="20"/>
                <w:szCs w:val="20"/>
                <w:color w:val="auto"/>
              </w:rPr>
            </w:pPr>
            <w:r>
              <w:rPr>
                <w:rFonts w:ascii="Arial" w:cs="Arial" w:eastAsia="Arial" w:hAnsi="Arial"/>
                <w:sz w:val="18"/>
                <w:szCs w:val="18"/>
                <w:color w:val="auto"/>
                <w:w w:val="97"/>
              </w:rPr>
              <w:t>January 22, 2026</w:t>
            </w:r>
          </w:p>
        </w:tc>
      </w:tr>
      <w:tr>
        <w:trPr>
          <w:trHeight w:val="242"/>
        </w:trPr>
        <w:tc>
          <w:tcPr>
            <w:tcW w:w="5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940" w:type="dxa"/>
            <w:vAlign w:val="bottom"/>
          </w:tcPr>
          <w:p>
            <w:pPr>
              <w:ind w:left="140"/>
              <w:spacing w:after="0"/>
              <w:rPr>
                <w:sz w:val="20"/>
                <w:szCs w:val="20"/>
                <w:color w:val="auto"/>
              </w:rPr>
            </w:pPr>
            <w:r>
              <w:rPr>
                <w:rFonts w:ascii="Arial" w:cs="Arial" w:eastAsia="Arial" w:hAnsi="Arial"/>
                <w:sz w:val="14"/>
                <w:szCs w:val="14"/>
                <w:color w:val="auto"/>
              </w:rPr>
              <w:t>Brendan M. Foley</w:t>
            </w:r>
          </w:p>
        </w:tc>
        <w:tc>
          <w:tcPr>
            <w:tcW w:w="3100" w:type="dxa"/>
            <w:vAlign w:val="bottom"/>
          </w:tcPr>
          <w:p>
            <w:pPr>
              <w:ind w:left="20"/>
              <w:spacing w:after="0"/>
              <w:rPr>
                <w:sz w:val="20"/>
                <w:szCs w:val="20"/>
                <w:color w:val="auto"/>
              </w:rPr>
            </w:pPr>
            <w:r>
              <w:rPr>
                <w:rFonts w:ascii="Arial" w:cs="Arial" w:eastAsia="Arial" w:hAnsi="Arial"/>
                <w:sz w:val="18"/>
                <w:szCs w:val="18"/>
                <w:color w:val="auto"/>
              </w:rPr>
              <w:t>Chief Executive Officer</w:t>
            </w:r>
          </w:p>
        </w:tc>
        <w:tc>
          <w:tcPr>
            <w:tcW w:w="2640" w:type="dxa"/>
            <w:vAlign w:val="bottom"/>
          </w:tcPr>
          <w:p>
            <w:pPr>
              <w:spacing w:after="0"/>
              <w:rPr>
                <w:sz w:val="21"/>
                <w:szCs w:val="21"/>
                <w:color w:val="auto"/>
              </w:rPr>
            </w:pPr>
          </w:p>
        </w:tc>
      </w:tr>
    </w:tbl>
    <w:p>
      <w:pPr>
        <w:ind w:left="20"/>
        <w:spacing w:after="0" w:line="233"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McCormick and in the capacities and on the dates indicated.</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160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rPr>
              <w:t>/s/</w:t>
            </w:r>
          </w:p>
        </w:tc>
        <w:tc>
          <w:tcPr>
            <w:tcW w:w="2860" w:type="dxa"/>
            <w:vAlign w:val="bottom"/>
            <w:tcBorders>
              <w:bottom w:val="single" w:sz="8" w:color="auto"/>
            </w:tcBorders>
          </w:tcPr>
          <w:p>
            <w:pPr>
              <w:jc w:val="center"/>
              <w:ind w:right="939"/>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RENDAN</w:t>
            </w:r>
            <w:r>
              <w:rPr>
                <w:rFonts w:ascii="Arial" w:cs="Arial" w:eastAsia="Arial" w:hAnsi="Arial"/>
                <w:sz w:val="18"/>
                <w:szCs w:val="18"/>
                <w:color w:val="auto"/>
              </w:rPr>
              <w:t xml:space="preserve"> M. F</w:t>
            </w:r>
            <w:r>
              <w:rPr>
                <w:rFonts w:ascii="Arial" w:cs="Arial" w:eastAsia="Arial" w:hAnsi="Arial"/>
                <w:sz w:val="14"/>
                <w:szCs w:val="14"/>
                <w:color w:val="auto"/>
              </w:rPr>
              <w:t>OLEY</w:t>
            </w:r>
          </w:p>
        </w:tc>
        <w:tc>
          <w:tcPr>
            <w:tcW w:w="3500" w:type="dxa"/>
            <w:vAlign w:val="bottom"/>
          </w:tcPr>
          <w:p>
            <w:pPr>
              <w:ind w:left="20"/>
              <w:spacing w:after="0"/>
              <w:rPr>
                <w:sz w:val="20"/>
                <w:szCs w:val="20"/>
                <w:color w:val="auto"/>
              </w:rPr>
            </w:pPr>
            <w:r>
              <w:rPr>
                <w:rFonts w:ascii="Arial" w:cs="Arial" w:eastAsia="Arial" w:hAnsi="Arial"/>
                <w:sz w:val="18"/>
                <w:szCs w:val="18"/>
                <w:color w:val="auto"/>
              </w:rPr>
              <w:t>Chairman, President &amp;</w:t>
            </w:r>
          </w:p>
        </w:tc>
        <w:tc>
          <w:tcPr>
            <w:tcW w:w="2240" w:type="dxa"/>
            <w:vAlign w:val="bottom"/>
          </w:tcPr>
          <w:p>
            <w:pPr>
              <w:ind w:left="860"/>
              <w:spacing w:after="0"/>
              <w:rPr>
                <w:sz w:val="20"/>
                <w:szCs w:val="20"/>
                <w:color w:val="auto"/>
              </w:rPr>
            </w:pPr>
            <w:r>
              <w:rPr>
                <w:rFonts w:ascii="Arial" w:cs="Arial" w:eastAsia="Arial" w:hAnsi="Arial"/>
                <w:sz w:val="18"/>
                <w:szCs w:val="18"/>
                <w:color w:val="auto"/>
                <w:w w:val="97"/>
              </w:rPr>
              <w:t>January 22, 2026</w:t>
            </w:r>
          </w:p>
        </w:tc>
      </w:tr>
      <w:tr>
        <w:trPr>
          <w:trHeight w:val="242"/>
        </w:trPr>
        <w:tc>
          <w:tcPr>
            <w:tcW w:w="5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860" w:type="dxa"/>
            <w:vAlign w:val="bottom"/>
          </w:tcPr>
          <w:p>
            <w:pPr>
              <w:ind w:left="60"/>
              <w:spacing w:after="0"/>
              <w:rPr>
                <w:sz w:val="20"/>
                <w:szCs w:val="20"/>
                <w:color w:val="auto"/>
              </w:rPr>
            </w:pPr>
            <w:r>
              <w:rPr>
                <w:rFonts w:ascii="Arial" w:cs="Arial" w:eastAsia="Arial" w:hAnsi="Arial"/>
                <w:sz w:val="14"/>
                <w:szCs w:val="14"/>
                <w:color w:val="auto"/>
              </w:rPr>
              <w:t>Brendan M. Foley</w:t>
            </w:r>
          </w:p>
        </w:tc>
        <w:tc>
          <w:tcPr>
            <w:tcW w:w="3500" w:type="dxa"/>
            <w:vAlign w:val="bottom"/>
          </w:tcPr>
          <w:p>
            <w:pPr>
              <w:ind w:left="20"/>
              <w:spacing w:after="0"/>
              <w:rPr>
                <w:sz w:val="20"/>
                <w:szCs w:val="20"/>
                <w:color w:val="auto"/>
              </w:rPr>
            </w:pPr>
            <w:r>
              <w:rPr>
                <w:rFonts w:ascii="Arial" w:cs="Arial" w:eastAsia="Arial" w:hAnsi="Arial"/>
                <w:sz w:val="18"/>
                <w:szCs w:val="18"/>
                <w:color w:val="auto"/>
              </w:rPr>
              <w:t>Chief Executive Officer</w:t>
            </w:r>
          </w:p>
        </w:tc>
        <w:tc>
          <w:tcPr>
            <w:tcW w:w="2240" w:type="dxa"/>
            <w:vAlign w:val="bottom"/>
          </w:tcPr>
          <w:p>
            <w:pPr>
              <w:spacing w:after="0"/>
              <w:rPr>
                <w:sz w:val="21"/>
                <w:szCs w:val="21"/>
                <w:color w:val="auto"/>
              </w:rPr>
            </w:pPr>
          </w:p>
        </w:tc>
      </w:tr>
      <w:tr>
        <w:trPr>
          <w:trHeight w:val="282"/>
        </w:trPr>
        <w:tc>
          <w:tcPr>
            <w:tcW w:w="2120" w:type="dxa"/>
            <w:vAlign w:val="bottom"/>
            <w:gridSpan w:val="2"/>
          </w:tcPr>
          <w:p>
            <w:pPr>
              <w:spacing w:after="0"/>
              <w:rPr>
                <w:sz w:val="20"/>
                <w:szCs w:val="20"/>
                <w:color w:val="auto"/>
              </w:rPr>
            </w:pPr>
            <w:r>
              <w:rPr>
                <w:rFonts w:ascii="Arial" w:cs="Arial" w:eastAsia="Arial" w:hAnsi="Arial"/>
                <w:sz w:val="18"/>
                <w:szCs w:val="18"/>
                <w:color w:val="auto"/>
              </w:rPr>
              <w:t>Principal Financial Officer:</w:t>
            </w:r>
          </w:p>
        </w:tc>
        <w:tc>
          <w:tcPr>
            <w:tcW w:w="28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48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160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rPr>
              <w:t>/s/</w:t>
            </w:r>
          </w:p>
        </w:tc>
        <w:tc>
          <w:tcPr>
            <w:tcW w:w="2860" w:type="dxa"/>
            <w:vAlign w:val="bottom"/>
            <w:tcBorders>
              <w:bottom w:val="single" w:sz="8" w:color="auto"/>
            </w:tcBorders>
          </w:tcPr>
          <w:p>
            <w:pPr>
              <w:jc w:val="center"/>
              <w:ind w:right="979"/>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ARCOS</w:t>
            </w:r>
            <w:r>
              <w:rPr>
                <w:rFonts w:ascii="Arial" w:cs="Arial" w:eastAsia="Arial" w:hAnsi="Arial"/>
                <w:sz w:val="18"/>
                <w:szCs w:val="18"/>
                <w:color w:val="auto"/>
              </w:rPr>
              <w:t xml:space="preserve"> M. G</w:t>
            </w:r>
            <w:r>
              <w:rPr>
                <w:rFonts w:ascii="Arial" w:cs="Arial" w:eastAsia="Arial" w:hAnsi="Arial"/>
                <w:sz w:val="14"/>
                <w:szCs w:val="14"/>
                <w:color w:val="auto"/>
              </w:rPr>
              <w:t>ABRIEL</w:t>
            </w:r>
          </w:p>
        </w:tc>
        <w:tc>
          <w:tcPr>
            <w:tcW w:w="3500" w:type="dxa"/>
            <w:vAlign w:val="bottom"/>
          </w:tcPr>
          <w:p>
            <w:pPr>
              <w:ind w:left="20"/>
              <w:spacing w:after="0"/>
              <w:rPr>
                <w:sz w:val="20"/>
                <w:szCs w:val="20"/>
                <w:color w:val="auto"/>
              </w:rPr>
            </w:pPr>
            <w:r>
              <w:rPr>
                <w:rFonts w:ascii="Arial" w:cs="Arial" w:eastAsia="Arial" w:hAnsi="Arial"/>
                <w:sz w:val="18"/>
                <w:szCs w:val="18"/>
                <w:color w:val="auto"/>
              </w:rPr>
              <w:t>Executive Vice President &amp; Chief</w:t>
            </w:r>
          </w:p>
        </w:tc>
        <w:tc>
          <w:tcPr>
            <w:tcW w:w="2240" w:type="dxa"/>
            <w:vAlign w:val="bottom"/>
          </w:tcPr>
          <w:p>
            <w:pPr>
              <w:ind w:left="860"/>
              <w:spacing w:after="0"/>
              <w:rPr>
                <w:sz w:val="20"/>
                <w:szCs w:val="20"/>
                <w:color w:val="auto"/>
              </w:rPr>
            </w:pPr>
            <w:r>
              <w:rPr>
                <w:rFonts w:ascii="Arial" w:cs="Arial" w:eastAsia="Arial" w:hAnsi="Arial"/>
                <w:sz w:val="18"/>
                <w:szCs w:val="18"/>
                <w:color w:val="auto"/>
                <w:w w:val="97"/>
              </w:rPr>
              <w:t>January 22, 2026</w:t>
            </w:r>
          </w:p>
        </w:tc>
      </w:tr>
      <w:tr>
        <w:trPr>
          <w:trHeight w:val="242"/>
        </w:trPr>
        <w:tc>
          <w:tcPr>
            <w:tcW w:w="5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860" w:type="dxa"/>
            <w:vAlign w:val="bottom"/>
          </w:tcPr>
          <w:p>
            <w:pPr>
              <w:ind w:left="40"/>
              <w:spacing w:after="0"/>
              <w:rPr>
                <w:sz w:val="20"/>
                <w:szCs w:val="20"/>
                <w:color w:val="auto"/>
              </w:rPr>
            </w:pPr>
            <w:r>
              <w:rPr>
                <w:rFonts w:ascii="Arial" w:cs="Arial" w:eastAsia="Arial" w:hAnsi="Arial"/>
                <w:sz w:val="14"/>
                <w:szCs w:val="14"/>
                <w:color w:val="auto"/>
              </w:rPr>
              <w:t>Marcos M. Gabriel</w:t>
            </w:r>
          </w:p>
        </w:tc>
        <w:tc>
          <w:tcPr>
            <w:tcW w:w="3500" w:type="dxa"/>
            <w:vAlign w:val="bottom"/>
          </w:tcPr>
          <w:p>
            <w:pPr>
              <w:ind w:left="20"/>
              <w:spacing w:after="0"/>
              <w:rPr>
                <w:sz w:val="20"/>
                <w:szCs w:val="20"/>
                <w:color w:val="auto"/>
              </w:rPr>
            </w:pPr>
            <w:r>
              <w:rPr>
                <w:rFonts w:ascii="Arial" w:cs="Arial" w:eastAsia="Arial" w:hAnsi="Arial"/>
                <w:sz w:val="18"/>
                <w:szCs w:val="18"/>
                <w:color w:val="auto"/>
              </w:rPr>
              <w:t>Financial Officer</w:t>
            </w:r>
          </w:p>
        </w:tc>
        <w:tc>
          <w:tcPr>
            <w:tcW w:w="2240" w:type="dxa"/>
            <w:vAlign w:val="bottom"/>
          </w:tcPr>
          <w:p>
            <w:pPr>
              <w:spacing w:after="0"/>
              <w:rPr>
                <w:sz w:val="21"/>
                <w:szCs w:val="21"/>
                <w:color w:val="auto"/>
              </w:rPr>
            </w:pPr>
          </w:p>
        </w:tc>
      </w:tr>
      <w:tr>
        <w:trPr>
          <w:trHeight w:val="282"/>
        </w:trPr>
        <w:tc>
          <w:tcPr>
            <w:tcW w:w="4980" w:type="dxa"/>
            <w:vAlign w:val="bottom"/>
            <w:gridSpan w:val="3"/>
          </w:tcPr>
          <w:p>
            <w:pPr>
              <w:spacing w:after="0"/>
              <w:rPr>
                <w:sz w:val="20"/>
                <w:szCs w:val="20"/>
                <w:color w:val="auto"/>
              </w:rPr>
            </w:pPr>
            <w:r>
              <w:rPr>
                <w:rFonts w:ascii="Arial" w:cs="Arial" w:eastAsia="Arial" w:hAnsi="Arial"/>
                <w:sz w:val="18"/>
                <w:szCs w:val="18"/>
                <w:color w:val="auto"/>
              </w:rPr>
              <w:t>Principal Accounting Officer:</w:t>
            </w:r>
          </w:p>
        </w:tc>
        <w:tc>
          <w:tcPr>
            <w:tcW w:w="35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48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160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/s/</w:t>
            </w:r>
          </w:p>
        </w:tc>
        <w:tc>
          <w:tcPr>
            <w:tcW w:w="2860" w:type="dxa"/>
            <w:vAlign w:val="bottom"/>
            <w:tcBorders>
              <w:bottom w:val="single" w:sz="8" w:color="auto"/>
            </w:tcBorders>
          </w:tcPr>
          <w:p>
            <w:pPr>
              <w:jc w:val="center"/>
              <w:ind w:right="979"/>
              <w:spacing w:after="0"/>
              <w:rPr>
                <w:sz w:val="20"/>
                <w:szCs w:val="20"/>
                <w:color w:val="auto"/>
              </w:rPr>
            </w:pPr>
            <w:r>
              <w:rPr>
                <w:rFonts w:ascii="Arial" w:cs="Arial" w:eastAsia="Arial" w:hAnsi="Arial"/>
                <w:sz w:val="18"/>
                <w:szCs w:val="18"/>
                <w:color w:val="auto"/>
                <w:w w:val="99"/>
              </w:rPr>
              <w:t>G</w:t>
            </w:r>
            <w:r>
              <w:rPr>
                <w:rFonts w:ascii="Arial" w:cs="Arial" w:eastAsia="Arial" w:hAnsi="Arial"/>
                <w:sz w:val="14"/>
                <w:szCs w:val="14"/>
                <w:color w:val="auto"/>
                <w:w w:val="99"/>
              </w:rPr>
              <w:t>REGORY</w:t>
            </w:r>
            <w:r>
              <w:rPr>
                <w:rFonts w:ascii="Arial" w:cs="Arial" w:eastAsia="Arial" w:hAnsi="Arial"/>
                <w:sz w:val="18"/>
                <w:szCs w:val="18"/>
                <w:color w:val="auto"/>
                <w:w w:val="99"/>
              </w:rPr>
              <w:t xml:space="preserve"> P. R</w:t>
            </w:r>
            <w:r>
              <w:rPr>
                <w:rFonts w:ascii="Arial" w:cs="Arial" w:eastAsia="Arial" w:hAnsi="Arial"/>
                <w:sz w:val="14"/>
                <w:szCs w:val="14"/>
                <w:color w:val="auto"/>
                <w:w w:val="99"/>
              </w:rPr>
              <w:t>EPAS</w:t>
            </w:r>
          </w:p>
        </w:tc>
        <w:tc>
          <w:tcPr>
            <w:tcW w:w="3500" w:type="dxa"/>
            <w:vAlign w:val="bottom"/>
          </w:tcPr>
          <w:p>
            <w:pPr>
              <w:ind w:left="20"/>
              <w:spacing w:after="0"/>
              <w:rPr>
                <w:sz w:val="20"/>
                <w:szCs w:val="20"/>
                <w:color w:val="auto"/>
              </w:rPr>
            </w:pPr>
            <w:r>
              <w:rPr>
                <w:rFonts w:ascii="Arial" w:cs="Arial" w:eastAsia="Arial" w:hAnsi="Arial"/>
                <w:sz w:val="18"/>
                <w:szCs w:val="18"/>
                <w:color w:val="auto"/>
              </w:rPr>
              <w:t>Vice President &amp; Controller</w:t>
            </w:r>
          </w:p>
        </w:tc>
        <w:tc>
          <w:tcPr>
            <w:tcW w:w="2240" w:type="dxa"/>
            <w:vAlign w:val="bottom"/>
          </w:tcPr>
          <w:p>
            <w:pPr>
              <w:ind w:left="860"/>
              <w:spacing w:after="0"/>
              <w:rPr>
                <w:sz w:val="20"/>
                <w:szCs w:val="20"/>
                <w:color w:val="auto"/>
              </w:rPr>
            </w:pPr>
            <w:r>
              <w:rPr>
                <w:rFonts w:ascii="Arial" w:cs="Arial" w:eastAsia="Arial" w:hAnsi="Arial"/>
                <w:sz w:val="18"/>
                <w:szCs w:val="18"/>
                <w:color w:val="auto"/>
                <w:w w:val="97"/>
              </w:rPr>
              <w:t>January 22, 2026</w:t>
            </w:r>
          </w:p>
        </w:tc>
      </w:tr>
      <w:tr>
        <w:trPr>
          <w:trHeight w:val="242"/>
        </w:trPr>
        <w:tc>
          <w:tcPr>
            <w:tcW w:w="5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860" w:type="dxa"/>
            <w:vAlign w:val="bottom"/>
          </w:tcPr>
          <w:p>
            <w:pPr>
              <w:ind w:left="60"/>
              <w:spacing w:after="0"/>
              <w:rPr>
                <w:sz w:val="20"/>
                <w:szCs w:val="20"/>
                <w:color w:val="auto"/>
              </w:rPr>
            </w:pPr>
            <w:r>
              <w:rPr>
                <w:rFonts w:ascii="Arial" w:cs="Arial" w:eastAsia="Arial" w:hAnsi="Arial"/>
                <w:sz w:val="14"/>
                <w:szCs w:val="14"/>
                <w:color w:val="auto"/>
              </w:rPr>
              <w:t>Gregory P. Repas</w:t>
            </w:r>
          </w:p>
        </w:tc>
        <w:tc>
          <w:tcPr>
            <w:tcW w:w="350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c>
          <w:tcPr>
            <w:tcW w:w="224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890" w:right="519" w:bottom="1440" w:gutter="0" w:footer="0" w:header="0"/>
        </w:sectPr>
      </w:pPr>
    </w:p>
    <w:bookmarkStart w:id="89" w:name="page90"/>
    <w:bookmarkEnd w:id="89"/>
    <w:p>
      <w:pPr>
        <w:spacing w:after="0" w:line="18"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being a majority of the Board of Directors of McCormick &amp; Company, Incorporated, on the date indicated: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4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THE BOARD OF DIRECTORS:</w:t>
            </w:r>
          </w:p>
        </w:tc>
        <w:tc>
          <w:tcPr>
            <w:tcW w:w="4400" w:type="dxa"/>
            <w:vAlign w:val="bottom"/>
          </w:tcPr>
          <w:p>
            <w:pPr>
              <w:spacing w:after="0"/>
              <w:rPr>
                <w:sz w:val="20"/>
                <w:szCs w:val="20"/>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DATE:</w:t>
            </w:r>
          </w:p>
        </w:tc>
      </w:tr>
      <w:tr>
        <w:trPr>
          <w:trHeight w:val="263"/>
        </w:trPr>
        <w:tc>
          <w:tcPr>
            <w:tcW w:w="1500" w:type="dxa"/>
            <w:vAlign w:val="bottom"/>
            <w:tcBorders>
              <w:bottom w:val="single" w:sz="8" w:color="auto"/>
            </w:tcBorders>
          </w:tcPr>
          <w:p>
            <w:pPr>
              <w:ind w:left="1240"/>
              <w:spacing w:after="0"/>
              <w:rPr>
                <w:sz w:val="20"/>
                <w:szCs w:val="20"/>
                <w:color w:val="auto"/>
              </w:rPr>
            </w:pPr>
            <w:r>
              <w:rPr>
                <w:rFonts w:ascii="Arial" w:cs="Arial" w:eastAsia="Arial" w:hAnsi="Arial"/>
                <w:sz w:val="18"/>
                <w:szCs w:val="18"/>
                <w:color w:val="auto"/>
              </w:rPr>
              <w:t>/s/</w:t>
            </w:r>
          </w:p>
        </w:tc>
        <w:tc>
          <w:tcPr>
            <w:tcW w:w="2980" w:type="dxa"/>
            <w:vAlign w:val="bottom"/>
            <w:tcBorders>
              <w:bottom w:val="single" w:sz="8" w:color="auto"/>
            </w:tcBorders>
          </w:tcPr>
          <w:p>
            <w:pPr>
              <w:jc w:val="center"/>
              <w:ind w:right="819"/>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NNE</w:t>
            </w:r>
            <w:r>
              <w:rPr>
                <w:rFonts w:ascii="Arial" w:cs="Arial" w:eastAsia="Arial" w:hAnsi="Arial"/>
                <w:sz w:val="18"/>
                <w:szCs w:val="18"/>
                <w:color w:val="auto"/>
              </w:rPr>
              <w:t xml:space="preserve"> L. B</w:t>
            </w:r>
            <w:r>
              <w:rPr>
                <w:rFonts w:ascii="Arial" w:cs="Arial" w:eastAsia="Arial" w:hAnsi="Arial"/>
                <w:sz w:val="14"/>
                <w:szCs w:val="14"/>
                <w:color w:val="auto"/>
              </w:rPr>
              <w:t>RAMMAN</w:t>
            </w:r>
          </w:p>
        </w:tc>
        <w:tc>
          <w:tcPr>
            <w:tcW w:w="4400" w:type="dxa"/>
            <w:vAlign w:val="bottom"/>
          </w:tcPr>
          <w:p>
            <w:pPr>
              <w:spacing w:after="0"/>
              <w:rPr>
                <w:sz w:val="22"/>
                <w:szCs w:val="22"/>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rPr>
              <w:t>January 22, 2026</w:t>
            </w:r>
          </w:p>
        </w:tc>
      </w:tr>
      <w:tr>
        <w:trPr>
          <w:trHeight w:val="337"/>
        </w:trPr>
        <w:tc>
          <w:tcPr>
            <w:tcW w:w="1500" w:type="dxa"/>
            <w:vAlign w:val="bottom"/>
          </w:tcPr>
          <w:p>
            <w:pPr>
              <w:spacing w:after="0"/>
              <w:rPr>
                <w:sz w:val="24"/>
                <w:szCs w:val="24"/>
                <w:color w:val="auto"/>
              </w:rPr>
            </w:pPr>
          </w:p>
        </w:tc>
        <w:tc>
          <w:tcPr>
            <w:tcW w:w="2980" w:type="dxa"/>
            <w:vAlign w:val="bottom"/>
          </w:tcPr>
          <w:p>
            <w:pPr>
              <w:jc w:val="center"/>
              <w:ind w:right="1419"/>
              <w:spacing w:after="0"/>
              <w:rPr>
                <w:sz w:val="20"/>
                <w:szCs w:val="20"/>
                <w:color w:val="auto"/>
              </w:rPr>
            </w:pPr>
            <w:r>
              <w:rPr>
                <w:rFonts w:ascii="Arial" w:cs="Arial" w:eastAsia="Arial" w:hAnsi="Arial"/>
                <w:sz w:val="14"/>
                <w:szCs w:val="14"/>
                <w:color w:val="auto"/>
              </w:rPr>
              <w:t>Anne L. Bramman</w:t>
            </w:r>
          </w:p>
        </w:tc>
        <w:tc>
          <w:tcPr>
            <w:tcW w:w="44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78"/>
        </w:trPr>
        <w:tc>
          <w:tcPr>
            <w:tcW w:w="150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rPr>
              <w:t>/s/</w:t>
            </w:r>
          </w:p>
        </w:tc>
        <w:tc>
          <w:tcPr>
            <w:tcW w:w="2980" w:type="dxa"/>
            <w:vAlign w:val="bottom"/>
            <w:tcBorders>
              <w:bottom w:val="single" w:sz="8" w:color="auto"/>
            </w:tcBorders>
          </w:tcPr>
          <w:p>
            <w:pPr>
              <w:jc w:val="center"/>
              <w:ind w:right="819"/>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ICHAEL</w:t>
            </w:r>
            <w:r>
              <w:rPr>
                <w:rFonts w:ascii="Arial" w:cs="Arial" w:eastAsia="Arial" w:hAnsi="Arial"/>
                <w:sz w:val="18"/>
                <w:szCs w:val="18"/>
                <w:color w:val="auto"/>
              </w:rPr>
              <w:t xml:space="preserve"> A. C</w:t>
            </w:r>
            <w:r>
              <w:rPr>
                <w:rFonts w:ascii="Arial" w:cs="Arial" w:eastAsia="Arial" w:hAnsi="Arial"/>
                <w:sz w:val="14"/>
                <w:szCs w:val="14"/>
                <w:color w:val="auto"/>
              </w:rPr>
              <w:t>ONWAY</w:t>
            </w:r>
          </w:p>
        </w:tc>
        <w:tc>
          <w:tcPr>
            <w:tcW w:w="440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rPr>
              <w:t>January 22, 2026</w:t>
            </w:r>
          </w:p>
        </w:tc>
      </w:tr>
      <w:tr>
        <w:trPr>
          <w:trHeight w:val="336"/>
        </w:trPr>
        <w:tc>
          <w:tcPr>
            <w:tcW w:w="1500" w:type="dxa"/>
            <w:vAlign w:val="bottom"/>
          </w:tcPr>
          <w:p>
            <w:pPr>
              <w:spacing w:after="0"/>
              <w:rPr>
                <w:sz w:val="24"/>
                <w:szCs w:val="24"/>
                <w:color w:val="auto"/>
              </w:rPr>
            </w:pPr>
          </w:p>
        </w:tc>
        <w:tc>
          <w:tcPr>
            <w:tcW w:w="2980" w:type="dxa"/>
            <w:vAlign w:val="bottom"/>
          </w:tcPr>
          <w:p>
            <w:pPr>
              <w:jc w:val="center"/>
              <w:ind w:right="1399"/>
              <w:spacing w:after="0"/>
              <w:rPr>
                <w:sz w:val="20"/>
                <w:szCs w:val="20"/>
                <w:color w:val="auto"/>
              </w:rPr>
            </w:pPr>
            <w:r>
              <w:rPr>
                <w:rFonts w:ascii="Arial" w:cs="Arial" w:eastAsia="Arial" w:hAnsi="Arial"/>
                <w:sz w:val="14"/>
                <w:szCs w:val="14"/>
                <w:color w:val="auto"/>
              </w:rPr>
              <w:t>Michael A. Conway</w:t>
            </w:r>
          </w:p>
        </w:tc>
        <w:tc>
          <w:tcPr>
            <w:tcW w:w="44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78"/>
        </w:trPr>
        <w:tc>
          <w:tcPr>
            <w:tcW w:w="1500" w:type="dxa"/>
            <w:vAlign w:val="bottom"/>
            <w:tcBorders>
              <w:bottom w:val="single" w:sz="8" w:color="auto"/>
            </w:tcBorders>
          </w:tcPr>
          <w:p>
            <w:pPr>
              <w:ind w:left="1240"/>
              <w:spacing w:after="0"/>
              <w:rPr>
                <w:sz w:val="20"/>
                <w:szCs w:val="20"/>
                <w:color w:val="auto"/>
              </w:rPr>
            </w:pPr>
            <w:r>
              <w:rPr>
                <w:rFonts w:ascii="Arial" w:cs="Arial" w:eastAsia="Arial" w:hAnsi="Arial"/>
                <w:sz w:val="18"/>
                <w:szCs w:val="18"/>
                <w:color w:val="auto"/>
              </w:rPr>
              <w:t>/s/</w:t>
            </w:r>
          </w:p>
        </w:tc>
        <w:tc>
          <w:tcPr>
            <w:tcW w:w="29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RENDAN</w:t>
            </w:r>
            <w:r>
              <w:rPr>
                <w:rFonts w:ascii="Arial" w:cs="Arial" w:eastAsia="Arial" w:hAnsi="Arial"/>
                <w:sz w:val="18"/>
                <w:szCs w:val="18"/>
                <w:color w:val="auto"/>
              </w:rPr>
              <w:t xml:space="preserve"> M. F</w:t>
            </w:r>
            <w:r>
              <w:rPr>
                <w:rFonts w:ascii="Arial" w:cs="Arial" w:eastAsia="Arial" w:hAnsi="Arial"/>
                <w:sz w:val="14"/>
                <w:szCs w:val="14"/>
                <w:color w:val="auto"/>
              </w:rPr>
              <w:t>OLEY</w:t>
            </w:r>
          </w:p>
        </w:tc>
        <w:tc>
          <w:tcPr>
            <w:tcW w:w="440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rPr>
              <w:t>January 22, 2026</w:t>
            </w:r>
          </w:p>
        </w:tc>
      </w:tr>
      <w:tr>
        <w:trPr>
          <w:trHeight w:val="182"/>
        </w:trPr>
        <w:tc>
          <w:tcPr>
            <w:tcW w:w="1500" w:type="dxa"/>
            <w:vAlign w:val="bottom"/>
          </w:tcPr>
          <w:p>
            <w:pPr>
              <w:spacing w:after="0"/>
              <w:rPr>
                <w:sz w:val="15"/>
                <w:szCs w:val="15"/>
                <w:color w:val="auto"/>
              </w:rPr>
            </w:pPr>
          </w:p>
        </w:tc>
        <w:tc>
          <w:tcPr>
            <w:tcW w:w="2980" w:type="dxa"/>
            <w:vAlign w:val="bottom"/>
          </w:tcPr>
          <w:p>
            <w:pPr>
              <w:jc w:val="center"/>
              <w:ind w:right="1399"/>
              <w:spacing w:after="0"/>
              <w:rPr>
                <w:sz w:val="20"/>
                <w:szCs w:val="20"/>
                <w:color w:val="auto"/>
              </w:rPr>
            </w:pPr>
            <w:r>
              <w:rPr>
                <w:rFonts w:ascii="Times New Roman" w:cs="Times New Roman" w:eastAsia="Times New Roman" w:hAnsi="Times New Roman"/>
                <w:sz w:val="14"/>
                <w:szCs w:val="14"/>
                <w:color w:val="auto"/>
              </w:rPr>
              <w:t>Brendan M. Foley</w:t>
            </w:r>
          </w:p>
        </w:tc>
        <w:tc>
          <w:tcPr>
            <w:tcW w:w="4400" w:type="dxa"/>
            <w:vAlign w:val="bottom"/>
          </w:tcPr>
          <w:p>
            <w:pPr>
              <w:spacing w:after="0"/>
              <w:rPr>
                <w:sz w:val="15"/>
                <w:szCs w:val="15"/>
                <w:color w:val="auto"/>
              </w:rPr>
            </w:pPr>
          </w:p>
        </w:tc>
        <w:tc>
          <w:tcPr>
            <w:tcW w:w="1840" w:type="dxa"/>
            <w:vAlign w:val="bottom"/>
          </w:tcPr>
          <w:p>
            <w:pPr>
              <w:spacing w:after="0"/>
              <w:rPr>
                <w:sz w:val="15"/>
                <w:szCs w:val="15"/>
                <w:color w:val="auto"/>
              </w:rPr>
            </w:pPr>
          </w:p>
        </w:tc>
      </w:tr>
      <w:tr>
        <w:trPr>
          <w:trHeight w:val="298"/>
        </w:trPr>
        <w:tc>
          <w:tcPr>
            <w:tcW w:w="150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rPr>
              <w:t>/s/</w:t>
            </w:r>
          </w:p>
        </w:tc>
        <w:tc>
          <w:tcPr>
            <w:tcW w:w="2980" w:type="dxa"/>
            <w:vAlign w:val="bottom"/>
            <w:tcBorders>
              <w:bottom w:val="single" w:sz="8" w:color="auto"/>
            </w:tcBorders>
          </w:tcPr>
          <w:p>
            <w:pPr>
              <w:jc w:val="center"/>
              <w:ind w:right="819"/>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ICHAEL</w:t>
            </w:r>
            <w:r>
              <w:rPr>
                <w:rFonts w:ascii="Arial" w:cs="Arial" w:eastAsia="Arial" w:hAnsi="Arial"/>
                <w:sz w:val="18"/>
                <w:szCs w:val="18"/>
                <w:color w:val="auto"/>
              </w:rPr>
              <w:t xml:space="preserve"> D. M</w:t>
            </w:r>
            <w:r>
              <w:rPr>
                <w:rFonts w:ascii="Arial" w:cs="Arial" w:eastAsia="Arial" w:hAnsi="Arial"/>
                <w:sz w:val="14"/>
                <w:szCs w:val="14"/>
                <w:color w:val="auto"/>
              </w:rPr>
              <w:t>ANGAN</w:t>
            </w:r>
          </w:p>
        </w:tc>
        <w:tc>
          <w:tcPr>
            <w:tcW w:w="440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rPr>
              <w:t>January 22, 2026</w:t>
            </w:r>
          </w:p>
        </w:tc>
      </w:tr>
      <w:tr>
        <w:trPr>
          <w:trHeight w:val="337"/>
        </w:trPr>
        <w:tc>
          <w:tcPr>
            <w:tcW w:w="1500" w:type="dxa"/>
            <w:vAlign w:val="bottom"/>
          </w:tcPr>
          <w:p>
            <w:pPr>
              <w:spacing w:after="0"/>
              <w:rPr>
                <w:sz w:val="24"/>
                <w:szCs w:val="24"/>
                <w:color w:val="auto"/>
              </w:rPr>
            </w:pPr>
          </w:p>
        </w:tc>
        <w:tc>
          <w:tcPr>
            <w:tcW w:w="2980" w:type="dxa"/>
            <w:vAlign w:val="bottom"/>
          </w:tcPr>
          <w:p>
            <w:pPr>
              <w:jc w:val="center"/>
              <w:ind w:right="1419"/>
              <w:spacing w:after="0"/>
              <w:rPr>
                <w:sz w:val="20"/>
                <w:szCs w:val="20"/>
                <w:color w:val="auto"/>
              </w:rPr>
            </w:pPr>
            <w:r>
              <w:rPr>
                <w:rFonts w:ascii="Arial" w:cs="Arial" w:eastAsia="Arial" w:hAnsi="Arial"/>
                <w:sz w:val="14"/>
                <w:szCs w:val="14"/>
                <w:color w:val="auto"/>
              </w:rPr>
              <w:t>Michael D. Mangan</w:t>
            </w:r>
          </w:p>
        </w:tc>
        <w:tc>
          <w:tcPr>
            <w:tcW w:w="44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78"/>
        </w:trPr>
        <w:tc>
          <w:tcPr>
            <w:tcW w:w="150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rPr>
              <w:t>/s/</w:t>
            </w:r>
          </w:p>
        </w:tc>
        <w:tc>
          <w:tcPr>
            <w:tcW w:w="2980" w:type="dxa"/>
            <w:vAlign w:val="bottom"/>
            <w:tcBorders>
              <w:bottom w:val="single" w:sz="8" w:color="auto"/>
            </w:tcBorders>
          </w:tcPr>
          <w:p>
            <w:pPr>
              <w:jc w:val="center"/>
              <w:ind w:right="819"/>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ARITZA</w:t>
            </w:r>
            <w:r>
              <w:rPr>
                <w:rFonts w:ascii="Arial" w:cs="Arial" w:eastAsia="Arial" w:hAnsi="Arial"/>
                <w:sz w:val="18"/>
                <w:szCs w:val="18"/>
                <w:color w:val="auto"/>
              </w:rPr>
              <w:t xml:space="preserve"> G</w:t>
            </w:r>
            <w:r>
              <w:rPr>
                <w:rFonts w:ascii="Arial" w:cs="Arial" w:eastAsia="Arial" w:hAnsi="Arial"/>
                <w:sz w:val="14"/>
                <w:szCs w:val="14"/>
                <w:color w:val="auto"/>
              </w:rPr>
              <w:t>.</w:t>
            </w:r>
            <w:r>
              <w:rPr>
                <w:rFonts w:ascii="Arial" w:cs="Arial" w:eastAsia="Arial" w:hAnsi="Arial"/>
                <w:sz w:val="18"/>
                <w:szCs w:val="18"/>
                <w:color w:val="auto"/>
              </w:rPr>
              <w:t xml:space="preserve"> M</w:t>
            </w:r>
            <w:r>
              <w:rPr>
                <w:rFonts w:ascii="Arial" w:cs="Arial" w:eastAsia="Arial" w:hAnsi="Arial"/>
                <w:sz w:val="14"/>
                <w:szCs w:val="14"/>
                <w:color w:val="auto"/>
              </w:rPr>
              <w:t>ONTIEL</w:t>
            </w:r>
          </w:p>
        </w:tc>
        <w:tc>
          <w:tcPr>
            <w:tcW w:w="440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rPr>
              <w:t>January 22, 2026</w:t>
            </w:r>
          </w:p>
        </w:tc>
      </w:tr>
      <w:tr>
        <w:trPr>
          <w:trHeight w:val="188"/>
        </w:trPr>
        <w:tc>
          <w:tcPr>
            <w:tcW w:w="1500" w:type="dxa"/>
            <w:vAlign w:val="bottom"/>
          </w:tcPr>
          <w:p>
            <w:pPr>
              <w:spacing w:after="0"/>
              <w:rPr>
                <w:sz w:val="16"/>
                <w:szCs w:val="16"/>
                <w:color w:val="auto"/>
              </w:rPr>
            </w:pPr>
          </w:p>
        </w:tc>
        <w:tc>
          <w:tcPr>
            <w:tcW w:w="2980" w:type="dxa"/>
            <w:vAlign w:val="bottom"/>
          </w:tcPr>
          <w:p>
            <w:pPr>
              <w:jc w:val="center"/>
              <w:ind w:right="1399"/>
              <w:spacing w:after="0"/>
              <w:rPr>
                <w:sz w:val="20"/>
                <w:szCs w:val="20"/>
                <w:color w:val="auto"/>
              </w:rPr>
            </w:pPr>
            <w:r>
              <w:rPr>
                <w:rFonts w:ascii="Arial" w:cs="Arial" w:eastAsia="Arial" w:hAnsi="Arial"/>
                <w:sz w:val="14"/>
                <w:szCs w:val="14"/>
                <w:color w:val="auto"/>
              </w:rPr>
              <w:t>Maritza G. Montiel</w:t>
            </w:r>
          </w:p>
        </w:tc>
        <w:tc>
          <w:tcPr>
            <w:tcW w:w="440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292"/>
        </w:trPr>
        <w:tc>
          <w:tcPr>
            <w:tcW w:w="150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/s/</w:t>
            </w:r>
          </w:p>
        </w:tc>
        <w:tc>
          <w:tcPr>
            <w:tcW w:w="2980" w:type="dxa"/>
            <w:vAlign w:val="bottom"/>
            <w:tcBorders>
              <w:bottom w:val="single" w:sz="8" w:color="auto"/>
            </w:tcBorders>
          </w:tcPr>
          <w:p>
            <w:pPr>
              <w:jc w:val="center"/>
              <w:ind w:right="799"/>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ARGARET</w:t>
            </w:r>
            <w:r>
              <w:rPr>
                <w:rFonts w:ascii="Arial" w:cs="Arial" w:eastAsia="Arial" w:hAnsi="Arial"/>
                <w:sz w:val="18"/>
                <w:szCs w:val="18"/>
                <w:color w:val="auto"/>
              </w:rPr>
              <w:t xml:space="preserve"> M.V. P</w:t>
            </w:r>
            <w:r>
              <w:rPr>
                <w:rFonts w:ascii="Arial" w:cs="Arial" w:eastAsia="Arial" w:hAnsi="Arial"/>
                <w:sz w:val="14"/>
                <w:szCs w:val="14"/>
                <w:color w:val="auto"/>
              </w:rPr>
              <w:t>RESTON</w:t>
            </w:r>
          </w:p>
        </w:tc>
        <w:tc>
          <w:tcPr>
            <w:tcW w:w="440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rPr>
              <w:t>January 22, 2026</w:t>
            </w:r>
          </w:p>
        </w:tc>
      </w:tr>
      <w:tr>
        <w:trPr>
          <w:trHeight w:val="337"/>
        </w:trPr>
        <w:tc>
          <w:tcPr>
            <w:tcW w:w="1500" w:type="dxa"/>
            <w:vAlign w:val="bottom"/>
          </w:tcPr>
          <w:p>
            <w:pPr>
              <w:spacing w:after="0"/>
              <w:rPr>
                <w:sz w:val="24"/>
                <w:szCs w:val="24"/>
                <w:color w:val="auto"/>
              </w:rPr>
            </w:pPr>
          </w:p>
        </w:tc>
        <w:tc>
          <w:tcPr>
            <w:tcW w:w="2980" w:type="dxa"/>
            <w:vAlign w:val="bottom"/>
          </w:tcPr>
          <w:p>
            <w:pPr>
              <w:jc w:val="center"/>
              <w:ind w:right="1399"/>
              <w:spacing w:after="0"/>
              <w:rPr>
                <w:sz w:val="20"/>
                <w:szCs w:val="20"/>
                <w:color w:val="auto"/>
              </w:rPr>
            </w:pPr>
            <w:r>
              <w:rPr>
                <w:rFonts w:ascii="Arial" w:cs="Arial" w:eastAsia="Arial" w:hAnsi="Arial"/>
                <w:sz w:val="14"/>
                <w:szCs w:val="14"/>
                <w:color w:val="auto"/>
              </w:rPr>
              <w:t>Margaret M.V. Preston</w:t>
            </w:r>
          </w:p>
        </w:tc>
        <w:tc>
          <w:tcPr>
            <w:tcW w:w="44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78"/>
        </w:trPr>
        <w:tc>
          <w:tcPr>
            <w:tcW w:w="1500" w:type="dxa"/>
            <w:vAlign w:val="bottom"/>
            <w:tcBorders>
              <w:bottom w:val="single" w:sz="8" w:color="auto"/>
            </w:tcBorders>
          </w:tcPr>
          <w:p>
            <w:pPr>
              <w:ind w:left="1300"/>
              <w:spacing w:after="0"/>
              <w:rPr>
                <w:sz w:val="20"/>
                <w:szCs w:val="20"/>
                <w:color w:val="auto"/>
              </w:rPr>
            </w:pPr>
            <w:r>
              <w:rPr>
                <w:rFonts w:ascii="Arial" w:cs="Arial" w:eastAsia="Arial" w:hAnsi="Arial"/>
                <w:sz w:val="18"/>
                <w:szCs w:val="18"/>
                <w:color w:val="auto"/>
                <w:w w:val="94"/>
              </w:rPr>
              <w:t>/s/</w:t>
            </w:r>
          </w:p>
        </w:tc>
        <w:tc>
          <w:tcPr>
            <w:tcW w:w="2980" w:type="dxa"/>
            <w:vAlign w:val="bottom"/>
            <w:tcBorders>
              <w:bottom w:val="single" w:sz="8" w:color="auto"/>
            </w:tcBorders>
          </w:tcPr>
          <w:p>
            <w:pPr>
              <w:jc w:val="center"/>
              <w:ind w:right="819"/>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ARY</w:t>
            </w:r>
            <w:r>
              <w:rPr>
                <w:rFonts w:ascii="Arial" w:cs="Arial" w:eastAsia="Arial" w:hAnsi="Arial"/>
                <w:sz w:val="18"/>
                <w:szCs w:val="18"/>
                <w:color w:val="auto"/>
              </w:rPr>
              <w:t xml:space="preserve"> M. R</w:t>
            </w:r>
            <w:r>
              <w:rPr>
                <w:rFonts w:ascii="Arial" w:cs="Arial" w:eastAsia="Arial" w:hAnsi="Arial"/>
                <w:sz w:val="14"/>
                <w:szCs w:val="14"/>
                <w:color w:val="auto"/>
              </w:rPr>
              <w:t>ODKIN</w:t>
            </w:r>
          </w:p>
        </w:tc>
        <w:tc>
          <w:tcPr>
            <w:tcW w:w="440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rPr>
              <w:t>January 22, 2026</w:t>
            </w:r>
          </w:p>
        </w:tc>
      </w:tr>
      <w:tr>
        <w:trPr>
          <w:trHeight w:val="188"/>
        </w:trPr>
        <w:tc>
          <w:tcPr>
            <w:tcW w:w="1500" w:type="dxa"/>
            <w:vAlign w:val="bottom"/>
          </w:tcPr>
          <w:p>
            <w:pPr>
              <w:spacing w:after="0"/>
              <w:rPr>
                <w:sz w:val="16"/>
                <w:szCs w:val="16"/>
                <w:color w:val="auto"/>
              </w:rPr>
            </w:pPr>
          </w:p>
        </w:tc>
        <w:tc>
          <w:tcPr>
            <w:tcW w:w="2980" w:type="dxa"/>
            <w:vAlign w:val="bottom"/>
          </w:tcPr>
          <w:p>
            <w:pPr>
              <w:jc w:val="center"/>
              <w:ind w:right="1419"/>
              <w:spacing w:after="0"/>
              <w:rPr>
                <w:sz w:val="20"/>
                <w:szCs w:val="20"/>
                <w:color w:val="auto"/>
              </w:rPr>
            </w:pPr>
            <w:r>
              <w:rPr>
                <w:rFonts w:ascii="Arial" w:cs="Arial" w:eastAsia="Arial" w:hAnsi="Arial"/>
                <w:sz w:val="14"/>
                <w:szCs w:val="14"/>
                <w:color w:val="auto"/>
              </w:rPr>
              <w:t>Gary M. Rodkin</w:t>
            </w:r>
          </w:p>
        </w:tc>
        <w:tc>
          <w:tcPr>
            <w:tcW w:w="440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292"/>
        </w:trPr>
        <w:tc>
          <w:tcPr>
            <w:tcW w:w="150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rPr>
              <w:t>/s/</w:t>
            </w:r>
          </w:p>
        </w:tc>
        <w:tc>
          <w:tcPr>
            <w:tcW w:w="2980" w:type="dxa"/>
            <w:vAlign w:val="bottom"/>
            <w:tcBorders>
              <w:bottom w:val="single" w:sz="8" w:color="auto"/>
            </w:tcBorders>
          </w:tcPr>
          <w:p>
            <w:pPr>
              <w:jc w:val="center"/>
              <w:ind w:right="819"/>
              <w:spacing w:after="0"/>
              <w:rPr>
                <w:sz w:val="20"/>
                <w:szCs w:val="20"/>
                <w:color w:val="auto"/>
              </w:rPr>
            </w:pPr>
            <w:r>
              <w:rPr>
                <w:rFonts w:ascii="Arial" w:cs="Arial" w:eastAsia="Arial" w:hAnsi="Arial"/>
                <w:sz w:val="18"/>
                <w:szCs w:val="18"/>
                <w:color w:val="auto"/>
              </w:rPr>
              <w:t>V</w:t>
            </w:r>
            <w:r>
              <w:rPr>
                <w:rFonts w:ascii="Arial" w:cs="Arial" w:eastAsia="Arial" w:hAnsi="Arial"/>
                <w:sz w:val="14"/>
                <w:szCs w:val="14"/>
                <w:color w:val="auto"/>
              </w:rPr>
              <w:t>ALARIE</w:t>
            </w:r>
            <w:r>
              <w:rPr>
                <w:rFonts w:ascii="Arial" w:cs="Arial" w:eastAsia="Arial" w:hAnsi="Arial"/>
                <w:sz w:val="18"/>
                <w:szCs w:val="18"/>
                <w:color w:val="auto"/>
              </w:rPr>
              <w:t xml:space="preserve"> S</w:t>
            </w:r>
            <w:r>
              <w:rPr>
                <w:rFonts w:ascii="Arial" w:cs="Arial" w:eastAsia="Arial" w:hAnsi="Arial"/>
                <w:sz w:val="14"/>
                <w:szCs w:val="14"/>
                <w:color w:val="auto"/>
              </w:rPr>
              <w:t>HEPPARD</w:t>
            </w:r>
          </w:p>
        </w:tc>
        <w:tc>
          <w:tcPr>
            <w:tcW w:w="440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rPr>
              <w:t>January 22, 2026</w:t>
            </w:r>
          </w:p>
        </w:tc>
      </w:tr>
      <w:tr>
        <w:trPr>
          <w:trHeight w:val="188"/>
        </w:trPr>
        <w:tc>
          <w:tcPr>
            <w:tcW w:w="1500" w:type="dxa"/>
            <w:vAlign w:val="bottom"/>
          </w:tcPr>
          <w:p>
            <w:pPr>
              <w:spacing w:after="0"/>
              <w:rPr>
                <w:sz w:val="16"/>
                <w:szCs w:val="16"/>
                <w:color w:val="auto"/>
              </w:rPr>
            </w:pPr>
          </w:p>
        </w:tc>
        <w:tc>
          <w:tcPr>
            <w:tcW w:w="2980" w:type="dxa"/>
            <w:vAlign w:val="bottom"/>
          </w:tcPr>
          <w:p>
            <w:pPr>
              <w:jc w:val="center"/>
              <w:ind w:right="1399"/>
              <w:spacing w:after="0"/>
              <w:rPr>
                <w:sz w:val="20"/>
                <w:szCs w:val="20"/>
                <w:color w:val="auto"/>
              </w:rPr>
            </w:pPr>
            <w:r>
              <w:rPr>
                <w:rFonts w:ascii="Arial" w:cs="Arial" w:eastAsia="Arial" w:hAnsi="Arial"/>
                <w:sz w:val="14"/>
                <w:szCs w:val="14"/>
                <w:color w:val="auto"/>
              </w:rPr>
              <w:t>Valarie Sheppard</w:t>
            </w:r>
          </w:p>
        </w:tc>
        <w:tc>
          <w:tcPr>
            <w:tcW w:w="440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292"/>
        </w:trPr>
        <w:tc>
          <w:tcPr>
            <w:tcW w:w="1500" w:type="dxa"/>
            <w:vAlign w:val="bottom"/>
            <w:tcBorders>
              <w:bottom w:val="single" w:sz="8" w:color="auto"/>
            </w:tcBorders>
          </w:tcPr>
          <w:p>
            <w:pPr>
              <w:ind w:left="1260"/>
              <w:spacing w:after="0"/>
              <w:rPr>
                <w:sz w:val="20"/>
                <w:szCs w:val="20"/>
                <w:color w:val="auto"/>
              </w:rPr>
            </w:pPr>
            <w:r>
              <w:rPr>
                <w:rFonts w:ascii="Arial" w:cs="Arial" w:eastAsia="Arial" w:hAnsi="Arial"/>
                <w:sz w:val="18"/>
                <w:szCs w:val="18"/>
                <w:color w:val="auto"/>
              </w:rPr>
              <w:t>/s/</w:t>
            </w:r>
          </w:p>
        </w:tc>
        <w:tc>
          <w:tcPr>
            <w:tcW w:w="2980" w:type="dxa"/>
            <w:vAlign w:val="bottom"/>
            <w:tcBorders>
              <w:bottom w:val="single" w:sz="8" w:color="auto"/>
            </w:tcBorders>
          </w:tcPr>
          <w:p>
            <w:pPr>
              <w:jc w:val="center"/>
              <w:ind w:right="819"/>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ACQUES</w:t>
            </w:r>
            <w:r>
              <w:rPr>
                <w:rFonts w:ascii="Arial" w:cs="Arial" w:eastAsia="Arial" w:hAnsi="Arial"/>
                <w:sz w:val="18"/>
                <w:szCs w:val="18"/>
                <w:color w:val="auto"/>
              </w:rPr>
              <w:t xml:space="preserve"> T</w:t>
            </w:r>
            <w:r>
              <w:rPr>
                <w:rFonts w:ascii="Arial" w:cs="Arial" w:eastAsia="Arial" w:hAnsi="Arial"/>
                <w:sz w:val="14"/>
                <w:szCs w:val="14"/>
                <w:color w:val="auto"/>
              </w:rPr>
              <w:t>APIERO</w:t>
            </w:r>
          </w:p>
        </w:tc>
        <w:tc>
          <w:tcPr>
            <w:tcW w:w="440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rPr>
              <w:t>January 22, 2026</w:t>
            </w:r>
          </w:p>
        </w:tc>
      </w:tr>
      <w:tr>
        <w:trPr>
          <w:trHeight w:val="336"/>
        </w:trPr>
        <w:tc>
          <w:tcPr>
            <w:tcW w:w="1500" w:type="dxa"/>
            <w:vAlign w:val="bottom"/>
          </w:tcPr>
          <w:p>
            <w:pPr>
              <w:spacing w:after="0"/>
              <w:rPr>
                <w:sz w:val="24"/>
                <w:szCs w:val="24"/>
                <w:color w:val="auto"/>
              </w:rPr>
            </w:pPr>
          </w:p>
        </w:tc>
        <w:tc>
          <w:tcPr>
            <w:tcW w:w="2980" w:type="dxa"/>
            <w:vAlign w:val="bottom"/>
          </w:tcPr>
          <w:p>
            <w:pPr>
              <w:jc w:val="center"/>
              <w:ind w:right="1399"/>
              <w:spacing w:after="0"/>
              <w:rPr>
                <w:sz w:val="20"/>
                <w:szCs w:val="20"/>
                <w:color w:val="auto"/>
              </w:rPr>
            </w:pPr>
            <w:r>
              <w:rPr>
                <w:rFonts w:ascii="Arial" w:cs="Arial" w:eastAsia="Arial" w:hAnsi="Arial"/>
                <w:sz w:val="14"/>
                <w:szCs w:val="14"/>
                <w:color w:val="auto"/>
              </w:rPr>
              <w:t>Jacques Tapiero</w:t>
            </w:r>
          </w:p>
        </w:tc>
        <w:tc>
          <w:tcPr>
            <w:tcW w:w="44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78"/>
        </w:trPr>
        <w:tc>
          <w:tcPr>
            <w:tcW w:w="1500" w:type="dxa"/>
            <w:vAlign w:val="bottom"/>
            <w:tcBorders>
              <w:bottom w:val="single" w:sz="8" w:color="auto"/>
            </w:tcBorders>
          </w:tcPr>
          <w:p>
            <w:pPr>
              <w:ind w:left="1240"/>
              <w:spacing w:after="0"/>
              <w:rPr>
                <w:sz w:val="20"/>
                <w:szCs w:val="20"/>
                <w:color w:val="auto"/>
              </w:rPr>
            </w:pPr>
            <w:r>
              <w:rPr>
                <w:rFonts w:ascii="Arial" w:cs="Arial" w:eastAsia="Arial" w:hAnsi="Arial"/>
                <w:sz w:val="18"/>
                <w:szCs w:val="18"/>
                <w:color w:val="auto"/>
              </w:rPr>
              <w:t>/s/</w:t>
            </w:r>
          </w:p>
        </w:tc>
        <w:tc>
          <w:tcPr>
            <w:tcW w:w="2980" w:type="dxa"/>
            <w:vAlign w:val="bottom"/>
            <w:tcBorders>
              <w:bottom w:val="single" w:sz="8" w:color="auto"/>
            </w:tcBorders>
          </w:tcPr>
          <w:p>
            <w:pPr>
              <w:jc w:val="center"/>
              <w:ind w:right="819"/>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ERRY</w:t>
            </w:r>
            <w:r>
              <w:rPr>
                <w:rFonts w:ascii="Arial" w:cs="Arial" w:eastAsia="Arial" w:hAnsi="Arial"/>
                <w:sz w:val="18"/>
                <w:szCs w:val="18"/>
                <w:color w:val="auto"/>
              </w:rPr>
              <w:t xml:space="preserve"> S. T</w:t>
            </w:r>
            <w:r>
              <w:rPr>
                <w:rFonts w:ascii="Arial" w:cs="Arial" w:eastAsia="Arial" w:hAnsi="Arial"/>
                <w:sz w:val="14"/>
                <w:szCs w:val="14"/>
                <w:color w:val="auto"/>
              </w:rPr>
              <w:t>HOMAS</w:t>
            </w:r>
          </w:p>
        </w:tc>
        <w:tc>
          <w:tcPr>
            <w:tcW w:w="440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rPr>
              <w:t>January 22, 2026</w:t>
            </w:r>
          </w:p>
        </w:tc>
      </w:tr>
      <w:tr>
        <w:trPr>
          <w:trHeight w:val="188"/>
        </w:trPr>
        <w:tc>
          <w:tcPr>
            <w:tcW w:w="1500" w:type="dxa"/>
            <w:vAlign w:val="bottom"/>
          </w:tcPr>
          <w:p>
            <w:pPr>
              <w:spacing w:after="0"/>
              <w:rPr>
                <w:sz w:val="16"/>
                <w:szCs w:val="16"/>
                <w:color w:val="auto"/>
              </w:rPr>
            </w:pPr>
          </w:p>
        </w:tc>
        <w:tc>
          <w:tcPr>
            <w:tcW w:w="2980" w:type="dxa"/>
            <w:vAlign w:val="bottom"/>
          </w:tcPr>
          <w:p>
            <w:pPr>
              <w:jc w:val="center"/>
              <w:ind w:right="1399"/>
              <w:spacing w:after="0"/>
              <w:rPr>
                <w:sz w:val="20"/>
                <w:szCs w:val="20"/>
                <w:color w:val="auto"/>
              </w:rPr>
            </w:pPr>
            <w:r>
              <w:rPr>
                <w:rFonts w:ascii="Arial" w:cs="Arial" w:eastAsia="Arial" w:hAnsi="Arial"/>
                <w:sz w:val="14"/>
                <w:szCs w:val="14"/>
                <w:color w:val="auto"/>
              </w:rPr>
              <w:t>Terry S. Thomas</w:t>
            </w:r>
          </w:p>
        </w:tc>
        <w:tc>
          <w:tcPr>
            <w:tcW w:w="440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292"/>
        </w:trPr>
        <w:tc>
          <w:tcPr>
            <w:tcW w:w="150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/s/</w:t>
            </w:r>
          </w:p>
        </w:tc>
        <w:tc>
          <w:tcPr>
            <w:tcW w:w="2980" w:type="dxa"/>
            <w:vAlign w:val="bottom"/>
            <w:tcBorders>
              <w:bottom w:val="single" w:sz="8" w:color="auto"/>
            </w:tcBorders>
          </w:tcPr>
          <w:p>
            <w:pPr>
              <w:jc w:val="center"/>
              <w:ind w:right="819"/>
              <w:spacing w:after="0"/>
              <w:rPr>
                <w:sz w:val="20"/>
                <w:szCs w:val="20"/>
                <w:color w:val="auto"/>
              </w:rPr>
            </w:pPr>
            <w:r>
              <w:rPr>
                <w:rFonts w:ascii="Arial" w:cs="Arial" w:eastAsia="Arial" w:hAnsi="Arial"/>
                <w:sz w:val="18"/>
                <w:szCs w:val="18"/>
                <w:color w:val="auto"/>
              </w:rPr>
              <w:t>W. A</w:t>
            </w:r>
            <w:r>
              <w:rPr>
                <w:rFonts w:ascii="Arial" w:cs="Arial" w:eastAsia="Arial" w:hAnsi="Arial"/>
                <w:sz w:val="14"/>
                <w:szCs w:val="14"/>
                <w:color w:val="auto"/>
              </w:rPr>
              <w:t>NTHONY</w:t>
            </w:r>
            <w:r>
              <w:rPr>
                <w:rFonts w:ascii="Arial" w:cs="Arial" w:eastAsia="Arial" w:hAnsi="Arial"/>
                <w:sz w:val="18"/>
                <w:szCs w:val="18"/>
                <w:color w:val="auto"/>
              </w:rPr>
              <w:t xml:space="preserve"> V</w:t>
            </w:r>
            <w:r>
              <w:rPr>
                <w:rFonts w:ascii="Arial" w:cs="Arial" w:eastAsia="Arial" w:hAnsi="Arial"/>
                <w:sz w:val="14"/>
                <w:szCs w:val="14"/>
                <w:color w:val="auto"/>
              </w:rPr>
              <w:t>ERNON</w:t>
            </w:r>
          </w:p>
        </w:tc>
        <w:tc>
          <w:tcPr>
            <w:tcW w:w="440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rPr>
              <w:t>January 22, 2026</w:t>
            </w:r>
          </w:p>
        </w:tc>
      </w:tr>
      <w:tr>
        <w:trPr>
          <w:trHeight w:val="188"/>
        </w:trPr>
        <w:tc>
          <w:tcPr>
            <w:tcW w:w="1500" w:type="dxa"/>
            <w:vAlign w:val="bottom"/>
          </w:tcPr>
          <w:p>
            <w:pPr>
              <w:spacing w:after="0"/>
              <w:rPr>
                <w:sz w:val="16"/>
                <w:szCs w:val="16"/>
                <w:color w:val="auto"/>
              </w:rPr>
            </w:pPr>
          </w:p>
        </w:tc>
        <w:tc>
          <w:tcPr>
            <w:tcW w:w="2980" w:type="dxa"/>
            <w:vAlign w:val="bottom"/>
          </w:tcPr>
          <w:p>
            <w:pPr>
              <w:jc w:val="center"/>
              <w:ind w:right="1399"/>
              <w:spacing w:after="0"/>
              <w:rPr>
                <w:sz w:val="20"/>
                <w:szCs w:val="20"/>
                <w:color w:val="auto"/>
              </w:rPr>
            </w:pPr>
            <w:r>
              <w:rPr>
                <w:rFonts w:ascii="Arial" w:cs="Arial" w:eastAsia="Arial" w:hAnsi="Arial"/>
                <w:sz w:val="14"/>
                <w:szCs w:val="14"/>
                <w:color w:val="auto"/>
              </w:rPr>
              <w:t>W. Anthony Vernon</w:t>
            </w:r>
          </w:p>
        </w:tc>
        <w:tc>
          <w:tcPr>
            <w:tcW w:w="4400" w:type="dxa"/>
            <w:vAlign w:val="bottom"/>
          </w:tcPr>
          <w:p>
            <w:pPr>
              <w:spacing w:after="0"/>
              <w:rPr>
                <w:sz w:val="16"/>
                <w:szCs w:val="16"/>
                <w:color w:val="auto"/>
              </w:rPr>
            </w:pPr>
          </w:p>
        </w:tc>
        <w:tc>
          <w:tcPr>
            <w:tcW w:w="184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440" w:right="6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color w:val="auto"/>
        </w:rPr>
        <w:t>Supplemental Financial Schedule II Consolidated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McCORMICK &amp; COMPANY,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400" w:type="dxa"/>
            <w:vAlign w:val="bottom"/>
            <w:tcBorders>
              <w:bottom w:val="single" w:sz="8" w:color="00539B"/>
            </w:tcBorders>
          </w:tcPr>
          <w:p>
            <w:pPr>
              <w:ind w:left="20"/>
              <w:spacing w:after="0"/>
              <w:rPr>
                <w:sz w:val="20"/>
                <w:szCs w:val="20"/>
                <w:color w:val="auto"/>
              </w:rPr>
            </w:pPr>
            <w:r>
              <w:rPr>
                <w:rFonts w:ascii="Arial" w:cs="Arial" w:eastAsia="Arial" w:hAnsi="Arial"/>
                <w:sz w:val="14"/>
                <w:szCs w:val="14"/>
                <w:color w:val="auto"/>
              </w:rPr>
              <w:t>Column A</w:t>
            </w:r>
          </w:p>
        </w:tc>
        <w:tc>
          <w:tcPr>
            <w:tcW w:w="180" w:type="dxa"/>
            <w:vAlign w:val="bottom"/>
            <w:tcBorders>
              <w:bottom w:val="single" w:sz="8" w:color="00539B"/>
            </w:tcBorders>
          </w:tcPr>
          <w:p>
            <w:pPr>
              <w:spacing w:after="0"/>
              <w:rPr>
                <w:sz w:val="16"/>
                <w:szCs w:val="16"/>
                <w:color w:val="auto"/>
              </w:rPr>
            </w:pPr>
          </w:p>
        </w:tc>
        <w:tc>
          <w:tcPr>
            <w:tcW w:w="1160" w:type="dxa"/>
            <w:vAlign w:val="bottom"/>
            <w:tcBorders>
              <w:bottom w:val="single" w:sz="8" w:color="00539B"/>
            </w:tcBorders>
          </w:tcPr>
          <w:p>
            <w:pPr>
              <w:jc w:val="center"/>
              <w:ind w:right="88"/>
              <w:spacing w:after="0"/>
              <w:rPr>
                <w:sz w:val="20"/>
                <w:szCs w:val="20"/>
                <w:color w:val="auto"/>
              </w:rPr>
            </w:pPr>
            <w:r>
              <w:rPr>
                <w:rFonts w:ascii="Arial" w:cs="Arial" w:eastAsia="Arial" w:hAnsi="Arial"/>
                <w:sz w:val="14"/>
                <w:szCs w:val="14"/>
                <w:color w:val="auto"/>
              </w:rPr>
              <w:t>Column B</w:t>
            </w:r>
          </w:p>
        </w:tc>
        <w:tc>
          <w:tcPr>
            <w:tcW w:w="240" w:type="dxa"/>
            <w:vAlign w:val="bottom"/>
            <w:tcBorders>
              <w:bottom w:val="single" w:sz="8" w:color="00539B"/>
            </w:tcBorders>
          </w:tcPr>
          <w:p>
            <w:pPr>
              <w:spacing w:after="0"/>
              <w:rPr>
                <w:sz w:val="16"/>
                <w:szCs w:val="16"/>
                <w:color w:val="auto"/>
              </w:rPr>
            </w:pPr>
          </w:p>
        </w:tc>
        <w:tc>
          <w:tcPr>
            <w:tcW w:w="2180" w:type="dxa"/>
            <w:vAlign w:val="bottom"/>
            <w:tcBorders>
              <w:bottom w:val="single" w:sz="8" w:color="00539B"/>
            </w:tcBorders>
            <w:gridSpan w:val="2"/>
          </w:tcPr>
          <w:p>
            <w:pPr>
              <w:jc w:val="right"/>
              <w:ind w:right="328"/>
              <w:spacing w:after="0"/>
              <w:rPr>
                <w:sz w:val="20"/>
                <w:szCs w:val="20"/>
                <w:color w:val="auto"/>
              </w:rPr>
            </w:pPr>
            <w:r>
              <w:rPr>
                <w:rFonts w:ascii="Arial" w:cs="Arial" w:eastAsia="Arial" w:hAnsi="Arial"/>
                <w:sz w:val="14"/>
                <w:szCs w:val="14"/>
                <w:color w:val="auto"/>
              </w:rPr>
              <w:t>Column C Additions</w:t>
            </w:r>
          </w:p>
        </w:tc>
        <w:tc>
          <w:tcPr>
            <w:tcW w:w="320" w:type="dxa"/>
            <w:vAlign w:val="bottom"/>
            <w:tcBorders>
              <w:bottom w:val="single" w:sz="8" w:color="00539B"/>
            </w:tcBorders>
          </w:tcPr>
          <w:p>
            <w:pPr>
              <w:spacing w:after="0"/>
              <w:rPr>
                <w:sz w:val="16"/>
                <w:szCs w:val="16"/>
                <w:color w:val="auto"/>
              </w:rPr>
            </w:pPr>
          </w:p>
        </w:tc>
        <w:tc>
          <w:tcPr>
            <w:tcW w:w="180" w:type="dxa"/>
            <w:vAlign w:val="bottom"/>
            <w:tcBorders>
              <w:bottom w:val="single" w:sz="8" w:color="00539B"/>
            </w:tcBorders>
          </w:tcPr>
          <w:p>
            <w:pPr>
              <w:spacing w:after="0"/>
              <w:rPr>
                <w:sz w:val="16"/>
                <w:szCs w:val="16"/>
                <w:color w:val="auto"/>
              </w:rPr>
            </w:pPr>
          </w:p>
        </w:tc>
        <w:tc>
          <w:tcPr>
            <w:tcW w:w="1180" w:type="dxa"/>
            <w:vAlign w:val="bottom"/>
            <w:tcBorders>
              <w:bottom w:val="single" w:sz="8" w:color="00539B"/>
            </w:tcBorders>
          </w:tcPr>
          <w:p>
            <w:pPr>
              <w:jc w:val="center"/>
              <w:ind w:right="108"/>
              <w:spacing w:after="0"/>
              <w:rPr>
                <w:sz w:val="20"/>
                <w:szCs w:val="20"/>
                <w:color w:val="auto"/>
              </w:rPr>
            </w:pPr>
            <w:r>
              <w:rPr>
                <w:rFonts w:ascii="Arial" w:cs="Arial" w:eastAsia="Arial" w:hAnsi="Arial"/>
                <w:sz w:val="14"/>
                <w:szCs w:val="14"/>
                <w:color w:val="auto"/>
              </w:rPr>
              <w:t>Column D</w:t>
            </w:r>
          </w:p>
        </w:tc>
        <w:tc>
          <w:tcPr>
            <w:tcW w:w="200" w:type="dxa"/>
            <w:vAlign w:val="bottom"/>
            <w:tcBorders>
              <w:bottom w:val="single" w:sz="8" w:color="00539B"/>
            </w:tcBorders>
          </w:tcPr>
          <w:p>
            <w:pPr>
              <w:spacing w:after="0"/>
              <w:rPr>
                <w:sz w:val="16"/>
                <w:szCs w:val="16"/>
                <w:color w:val="auto"/>
              </w:rPr>
            </w:pPr>
          </w:p>
        </w:tc>
        <w:tc>
          <w:tcPr>
            <w:tcW w:w="1200" w:type="dxa"/>
            <w:vAlign w:val="bottom"/>
            <w:tcBorders>
              <w:bottom w:val="single" w:sz="8" w:color="00539B"/>
            </w:tcBorders>
          </w:tcPr>
          <w:p>
            <w:pPr>
              <w:jc w:val="center"/>
              <w:ind w:right="128"/>
              <w:spacing w:after="0"/>
              <w:rPr>
                <w:sz w:val="20"/>
                <w:szCs w:val="20"/>
                <w:color w:val="auto"/>
              </w:rPr>
            </w:pPr>
            <w:r>
              <w:rPr>
                <w:rFonts w:ascii="Arial" w:cs="Arial" w:eastAsia="Arial" w:hAnsi="Arial"/>
                <w:sz w:val="14"/>
                <w:szCs w:val="14"/>
                <w:color w:val="auto"/>
              </w:rPr>
              <w:t>Column E</w:t>
            </w:r>
          </w:p>
        </w:tc>
        <w:tc>
          <w:tcPr>
            <w:tcW w:w="0" w:type="dxa"/>
            <w:vAlign w:val="bottom"/>
          </w:tcPr>
          <w:p>
            <w:pPr>
              <w:spacing w:after="0"/>
              <w:rPr>
                <w:sz w:val="1"/>
                <w:szCs w:val="1"/>
                <w:color w:val="auto"/>
              </w:rPr>
            </w:pPr>
          </w:p>
        </w:tc>
      </w:tr>
      <w:tr>
        <w:trPr>
          <w:trHeight w:val="150"/>
        </w:trPr>
        <w:tc>
          <w:tcPr>
            <w:tcW w:w="4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jc w:val="center"/>
              <w:ind w:right="88"/>
              <w:spacing w:after="0" w:line="151" w:lineRule="exact"/>
              <w:rPr>
                <w:sz w:val="20"/>
                <w:szCs w:val="20"/>
                <w:color w:val="auto"/>
              </w:rPr>
            </w:pPr>
            <w:r>
              <w:rPr>
                <w:rFonts w:ascii="Arial" w:cs="Arial" w:eastAsia="Arial" w:hAnsi="Arial"/>
                <w:sz w:val="14"/>
                <w:szCs w:val="14"/>
                <w:color w:val="auto"/>
              </w:rPr>
              <w:t>Balance at</w:t>
            </w:r>
          </w:p>
        </w:tc>
        <w:tc>
          <w:tcPr>
            <w:tcW w:w="240" w:type="dxa"/>
            <w:vAlign w:val="bottom"/>
          </w:tcPr>
          <w:p>
            <w:pPr>
              <w:spacing w:after="0"/>
              <w:rPr>
                <w:sz w:val="13"/>
                <w:szCs w:val="13"/>
                <w:color w:val="auto"/>
              </w:rPr>
            </w:pPr>
          </w:p>
        </w:tc>
        <w:tc>
          <w:tcPr>
            <w:tcW w:w="1140" w:type="dxa"/>
            <w:vAlign w:val="bottom"/>
          </w:tcPr>
          <w:p>
            <w:pPr>
              <w:jc w:val="center"/>
              <w:ind w:right="148"/>
              <w:spacing w:after="0" w:line="151" w:lineRule="exact"/>
              <w:rPr>
                <w:sz w:val="20"/>
                <w:szCs w:val="20"/>
                <w:color w:val="auto"/>
              </w:rPr>
            </w:pPr>
            <w:r>
              <w:rPr>
                <w:rFonts w:ascii="Arial" w:cs="Arial" w:eastAsia="Arial" w:hAnsi="Arial"/>
                <w:sz w:val="14"/>
                <w:szCs w:val="14"/>
                <w:color w:val="auto"/>
              </w:rPr>
              <w:t>Charged to</w:t>
            </w:r>
          </w:p>
        </w:tc>
        <w:tc>
          <w:tcPr>
            <w:tcW w:w="1040" w:type="dxa"/>
            <w:vAlign w:val="bottom"/>
          </w:tcPr>
          <w:p>
            <w:pPr>
              <w:jc w:val="center"/>
              <w:ind w:left="248"/>
              <w:spacing w:after="0" w:line="151" w:lineRule="exact"/>
              <w:rPr>
                <w:sz w:val="20"/>
                <w:szCs w:val="20"/>
                <w:color w:val="auto"/>
              </w:rPr>
            </w:pPr>
            <w:r>
              <w:rPr>
                <w:rFonts w:ascii="Arial" w:cs="Arial" w:eastAsia="Arial" w:hAnsi="Arial"/>
                <w:sz w:val="14"/>
                <w:szCs w:val="14"/>
                <w:color w:val="auto"/>
              </w:rPr>
              <w:t>Charged to</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vMerge w:val="restart"/>
          </w:tcPr>
          <w:p>
            <w:pPr>
              <w:jc w:val="center"/>
              <w:ind w:right="128"/>
              <w:spacing w:after="0"/>
              <w:rPr>
                <w:sz w:val="20"/>
                <w:szCs w:val="20"/>
                <w:color w:val="auto"/>
              </w:rPr>
            </w:pPr>
            <w:r>
              <w:rPr>
                <w:rFonts w:ascii="Arial" w:cs="Arial" w:eastAsia="Arial" w:hAnsi="Arial"/>
                <w:sz w:val="14"/>
                <w:szCs w:val="14"/>
                <w:color w:val="auto"/>
              </w:rPr>
              <w:t>Balance at</w:t>
            </w:r>
          </w:p>
        </w:tc>
        <w:tc>
          <w:tcPr>
            <w:tcW w:w="0" w:type="dxa"/>
            <w:vAlign w:val="bottom"/>
          </w:tcPr>
          <w:p>
            <w:pPr>
              <w:spacing w:after="0"/>
              <w:rPr>
                <w:sz w:val="1"/>
                <w:szCs w:val="1"/>
                <w:color w:val="auto"/>
              </w:rPr>
            </w:pPr>
          </w:p>
        </w:tc>
      </w:tr>
      <w:tr>
        <w:trPr>
          <w:trHeight w:val="144"/>
        </w:trPr>
        <w:tc>
          <w:tcPr>
            <w:tcW w:w="4400" w:type="dxa"/>
            <w:vAlign w:val="bottom"/>
            <w:vMerge w:val="restart"/>
          </w:tcPr>
          <w:p>
            <w:pPr>
              <w:ind w:left="20"/>
              <w:spacing w:after="0"/>
              <w:rPr>
                <w:sz w:val="20"/>
                <w:szCs w:val="20"/>
                <w:color w:val="auto"/>
              </w:rPr>
            </w:pPr>
            <w:r>
              <w:rPr>
                <w:rFonts w:ascii="Arial" w:cs="Arial" w:eastAsia="Arial" w:hAnsi="Arial"/>
                <w:sz w:val="14"/>
                <w:szCs w:val="14"/>
                <w:color w:val="auto"/>
              </w:rPr>
              <w:t>Description</w:t>
            </w:r>
          </w:p>
        </w:tc>
        <w:tc>
          <w:tcPr>
            <w:tcW w:w="180" w:type="dxa"/>
            <w:vAlign w:val="bottom"/>
          </w:tcPr>
          <w:p>
            <w:pPr>
              <w:spacing w:after="0"/>
              <w:rPr>
                <w:sz w:val="12"/>
                <w:szCs w:val="12"/>
                <w:color w:val="auto"/>
              </w:rPr>
            </w:pPr>
          </w:p>
        </w:tc>
        <w:tc>
          <w:tcPr>
            <w:tcW w:w="1160" w:type="dxa"/>
            <w:vAlign w:val="bottom"/>
          </w:tcPr>
          <w:p>
            <w:pPr>
              <w:jc w:val="center"/>
              <w:ind w:right="108"/>
              <w:spacing w:after="0" w:line="145" w:lineRule="exact"/>
              <w:rPr>
                <w:sz w:val="20"/>
                <w:szCs w:val="20"/>
                <w:color w:val="auto"/>
              </w:rPr>
            </w:pPr>
            <w:r>
              <w:rPr>
                <w:rFonts w:ascii="Arial" w:cs="Arial" w:eastAsia="Arial" w:hAnsi="Arial"/>
                <w:sz w:val="14"/>
                <w:szCs w:val="14"/>
                <w:color w:val="auto"/>
              </w:rPr>
              <w:t>beginning of</w:t>
            </w:r>
          </w:p>
        </w:tc>
        <w:tc>
          <w:tcPr>
            <w:tcW w:w="240" w:type="dxa"/>
            <w:vAlign w:val="bottom"/>
          </w:tcPr>
          <w:p>
            <w:pPr>
              <w:spacing w:after="0"/>
              <w:rPr>
                <w:sz w:val="12"/>
                <w:szCs w:val="12"/>
                <w:color w:val="auto"/>
              </w:rPr>
            </w:pPr>
          </w:p>
        </w:tc>
        <w:tc>
          <w:tcPr>
            <w:tcW w:w="1140" w:type="dxa"/>
            <w:vAlign w:val="bottom"/>
          </w:tcPr>
          <w:p>
            <w:pPr>
              <w:jc w:val="center"/>
              <w:ind w:right="148"/>
              <w:spacing w:after="0" w:line="145" w:lineRule="exact"/>
              <w:rPr>
                <w:sz w:val="20"/>
                <w:szCs w:val="20"/>
                <w:color w:val="auto"/>
              </w:rPr>
            </w:pPr>
            <w:r>
              <w:rPr>
                <w:rFonts w:ascii="Arial" w:cs="Arial" w:eastAsia="Arial" w:hAnsi="Arial"/>
                <w:sz w:val="14"/>
                <w:szCs w:val="14"/>
                <w:color w:val="auto"/>
              </w:rPr>
              <w:t>costs and</w:t>
            </w:r>
          </w:p>
        </w:tc>
        <w:tc>
          <w:tcPr>
            <w:tcW w:w="1040" w:type="dxa"/>
            <w:vAlign w:val="bottom"/>
          </w:tcPr>
          <w:p>
            <w:pPr>
              <w:jc w:val="center"/>
              <w:ind w:left="248"/>
              <w:spacing w:after="0" w:line="145" w:lineRule="exact"/>
              <w:rPr>
                <w:sz w:val="20"/>
                <w:szCs w:val="20"/>
                <w:color w:val="auto"/>
              </w:rPr>
            </w:pPr>
            <w:r>
              <w:rPr>
                <w:rFonts w:ascii="Arial" w:cs="Arial" w:eastAsia="Arial" w:hAnsi="Arial"/>
                <w:sz w:val="14"/>
                <w:szCs w:val="14"/>
                <w:color w:val="auto"/>
              </w:rPr>
              <w:t>other</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restart"/>
          </w:tcPr>
          <w:p>
            <w:pPr>
              <w:jc w:val="center"/>
              <w:ind w:right="88"/>
              <w:spacing w:after="0"/>
              <w:rPr>
                <w:sz w:val="20"/>
                <w:szCs w:val="20"/>
                <w:color w:val="auto"/>
              </w:rPr>
            </w:pPr>
            <w:r>
              <w:rPr>
                <w:rFonts w:ascii="Arial" w:cs="Arial" w:eastAsia="Arial" w:hAnsi="Arial"/>
                <w:sz w:val="14"/>
                <w:szCs w:val="14"/>
                <w:color w:val="auto"/>
              </w:rPr>
              <w:t xml:space="preserve">Deductions </w:t>
            </w:r>
            <w:r>
              <w:rPr>
                <w:rFonts w:ascii="Arial" w:cs="Arial" w:eastAsia="Arial" w:hAnsi="Arial"/>
                <w:sz w:val="8"/>
                <w:szCs w:val="8"/>
                <w:color w:val="auto"/>
              </w:rPr>
              <w:t>(1)</w:t>
            </w:r>
          </w:p>
        </w:tc>
        <w:tc>
          <w:tcPr>
            <w:tcW w:w="2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400" w:type="dxa"/>
            <w:vAlign w:val="bottom"/>
            <w:tcBorders>
              <w:bottom w:val="single" w:sz="8" w:color="00539B"/>
            </w:tcBorders>
            <w:vMerge w:val="continue"/>
          </w:tcPr>
          <w:p>
            <w:pPr>
              <w:spacing w:after="0"/>
              <w:rPr>
                <w:sz w:val="16"/>
                <w:szCs w:val="16"/>
                <w:color w:val="auto"/>
              </w:rPr>
            </w:pPr>
          </w:p>
        </w:tc>
        <w:tc>
          <w:tcPr>
            <w:tcW w:w="180" w:type="dxa"/>
            <w:vAlign w:val="bottom"/>
            <w:tcBorders>
              <w:bottom w:val="single" w:sz="8" w:color="00539B"/>
            </w:tcBorders>
          </w:tcPr>
          <w:p>
            <w:pPr>
              <w:spacing w:after="0"/>
              <w:rPr>
                <w:sz w:val="16"/>
                <w:szCs w:val="16"/>
                <w:color w:val="auto"/>
              </w:rPr>
            </w:pPr>
          </w:p>
        </w:tc>
        <w:tc>
          <w:tcPr>
            <w:tcW w:w="1160" w:type="dxa"/>
            <w:vAlign w:val="bottom"/>
            <w:tcBorders>
              <w:bottom w:val="single" w:sz="8" w:color="00539B"/>
            </w:tcBorders>
          </w:tcPr>
          <w:p>
            <w:pPr>
              <w:jc w:val="center"/>
              <w:ind w:right="88"/>
              <w:spacing w:after="0"/>
              <w:rPr>
                <w:sz w:val="20"/>
                <w:szCs w:val="20"/>
                <w:color w:val="auto"/>
              </w:rPr>
            </w:pPr>
            <w:r>
              <w:rPr>
                <w:rFonts w:ascii="Arial" w:cs="Arial" w:eastAsia="Arial" w:hAnsi="Arial"/>
                <w:sz w:val="14"/>
                <w:szCs w:val="14"/>
                <w:color w:val="auto"/>
              </w:rPr>
              <w:t>period</w:t>
            </w:r>
          </w:p>
        </w:tc>
        <w:tc>
          <w:tcPr>
            <w:tcW w:w="240" w:type="dxa"/>
            <w:vAlign w:val="bottom"/>
            <w:tcBorders>
              <w:bottom w:val="single" w:sz="8" w:color="00539B"/>
            </w:tcBorders>
          </w:tcPr>
          <w:p>
            <w:pPr>
              <w:spacing w:after="0"/>
              <w:rPr>
                <w:sz w:val="16"/>
                <w:szCs w:val="16"/>
                <w:color w:val="auto"/>
              </w:rPr>
            </w:pPr>
          </w:p>
        </w:tc>
        <w:tc>
          <w:tcPr>
            <w:tcW w:w="1140" w:type="dxa"/>
            <w:vAlign w:val="bottom"/>
            <w:tcBorders>
              <w:bottom w:val="single" w:sz="8" w:color="00539B"/>
            </w:tcBorders>
          </w:tcPr>
          <w:p>
            <w:pPr>
              <w:jc w:val="center"/>
              <w:ind w:right="148"/>
              <w:spacing w:after="0"/>
              <w:rPr>
                <w:sz w:val="20"/>
                <w:szCs w:val="20"/>
                <w:color w:val="auto"/>
              </w:rPr>
            </w:pPr>
            <w:r>
              <w:rPr>
                <w:rFonts w:ascii="Arial" w:cs="Arial" w:eastAsia="Arial" w:hAnsi="Arial"/>
                <w:sz w:val="14"/>
                <w:szCs w:val="14"/>
                <w:color w:val="auto"/>
              </w:rPr>
              <w:t>expenses</w:t>
            </w:r>
          </w:p>
        </w:tc>
        <w:tc>
          <w:tcPr>
            <w:tcW w:w="1040" w:type="dxa"/>
            <w:vAlign w:val="bottom"/>
            <w:tcBorders>
              <w:bottom w:val="single" w:sz="8" w:color="00539B"/>
            </w:tcBorders>
          </w:tcPr>
          <w:p>
            <w:pPr>
              <w:jc w:val="center"/>
              <w:ind w:left="268"/>
              <w:spacing w:after="0"/>
              <w:rPr>
                <w:sz w:val="20"/>
                <w:szCs w:val="20"/>
                <w:color w:val="auto"/>
              </w:rPr>
            </w:pPr>
            <w:r>
              <w:rPr>
                <w:rFonts w:ascii="Arial" w:cs="Arial" w:eastAsia="Arial" w:hAnsi="Arial"/>
                <w:sz w:val="14"/>
                <w:szCs w:val="14"/>
                <w:color w:val="auto"/>
              </w:rPr>
              <w:t>accounts</w:t>
            </w:r>
          </w:p>
        </w:tc>
        <w:tc>
          <w:tcPr>
            <w:tcW w:w="320" w:type="dxa"/>
            <w:vAlign w:val="bottom"/>
            <w:tcBorders>
              <w:bottom w:val="single" w:sz="8" w:color="00539B"/>
            </w:tcBorders>
          </w:tcPr>
          <w:p>
            <w:pPr>
              <w:spacing w:after="0"/>
              <w:rPr>
                <w:sz w:val="16"/>
                <w:szCs w:val="16"/>
                <w:color w:val="auto"/>
              </w:rPr>
            </w:pPr>
          </w:p>
        </w:tc>
        <w:tc>
          <w:tcPr>
            <w:tcW w:w="180" w:type="dxa"/>
            <w:vAlign w:val="bottom"/>
            <w:tcBorders>
              <w:bottom w:val="single" w:sz="8" w:color="00539B"/>
            </w:tcBorders>
          </w:tcPr>
          <w:p>
            <w:pPr>
              <w:spacing w:after="0"/>
              <w:rPr>
                <w:sz w:val="16"/>
                <w:szCs w:val="16"/>
                <w:color w:val="auto"/>
              </w:rPr>
            </w:pPr>
          </w:p>
        </w:tc>
        <w:tc>
          <w:tcPr>
            <w:tcW w:w="1180" w:type="dxa"/>
            <w:vAlign w:val="bottom"/>
            <w:tcBorders>
              <w:bottom w:val="single" w:sz="8" w:color="00539B"/>
            </w:tcBorders>
            <w:vMerge w:val="continue"/>
          </w:tcPr>
          <w:p>
            <w:pPr>
              <w:spacing w:after="0"/>
              <w:rPr>
                <w:sz w:val="16"/>
                <w:szCs w:val="16"/>
                <w:color w:val="auto"/>
              </w:rPr>
            </w:pPr>
          </w:p>
        </w:tc>
        <w:tc>
          <w:tcPr>
            <w:tcW w:w="200" w:type="dxa"/>
            <w:vAlign w:val="bottom"/>
            <w:tcBorders>
              <w:bottom w:val="single" w:sz="8" w:color="00539B"/>
            </w:tcBorders>
          </w:tcPr>
          <w:p>
            <w:pPr>
              <w:spacing w:after="0"/>
              <w:rPr>
                <w:sz w:val="16"/>
                <w:szCs w:val="16"/>
                <w:color w:val="auto"/>
              </w:rPr>
            </w:pPr>
          </w:p>
        </w:tc>
        <w:tc>
          <w:tcPr>
            <w:tcW w:w="1200" w:type="dxa"/>
            <w:vAlign w:val="bottom"/>
            <w:tcBorders>
              <w:bottom w:val="single" w:sz="8" w:color="00539B"/>
            </w:tcBorders>
          </w:tcPr>
          <w:p>
            <w:pPr>
              <w:jc w:val="center"/>
              <w:ind w:right="128"/>
              <w:spacing w:after="0"/>
              <w:rPr>
                <w:sz w:val="20"/>
                <w:szCs w:val="20"/>
                <w:color w:val="auto"/>
              </w:rPr>
            </w:pPr>
            <w:r>
              <w:rPr>
                <w:rFonts w:ascii="Arial" w:cs="Arial" w:eastAsia="Arial" w:hAnsi="Arial"/>
                <w:sz w:val="14"/>
                <w:szCs w:val="14"/>
                <w:color w:val="auto"/>
              </w:rPr>
              <w:t>end of period</w:t>
            </w:r>
          </w:p>
        </w:tc>
        <w:tc>
          <w:tcPr>
            <w:tcW w:w="0" w:type="dxa"/>
            <w:vAlign w:val="bottom"/>
          </w:tcPr>
          <w:p>
            <w:pPr>
              <w:spacing w:after="0"/>
              <w:rPr>
                <w:sz w:val="1"/>
                <w:szCs w:val="1"/>
                <w:color w:val="auto"/>
              </w:rPr>
            </w:pPr>
          </w:p>
        </w:tc>
      </w:tr>
      <w:tr>
        <w:trPr>
          <w:trHeight w:val="188"/>
        </w:trPr>
        <w:tc>
          <w:tcPr>
            <w:tcW w:w="4400" w:type="dxa"/>
            <w:vAlign w:val="bottom"/>
            <w:shd w:val="clear" w:color="auto" w:fill="E0E3F1"/>
          </w:tcPr>
          <w:p>
            <w:pPr>
              <w:ind w:left="20"/>
              <w:spacing w:after="0"/>
              <w:rPr>
                <w:sz w:val="20"/>
                <w:szCs w:val="20"/>
                <w:color w:val="auto"/>
              </w:rPr>
            </w:pPr>
            <w:r>
              <w:rPr>
                <w:rFonts w:ascii="Arial" w:cs="Arial" w:eastAsia="Arial" w:hAnsi="Arial"/>
                <w:sz w:val="14"/>
                <w:szCs w:val="14"/>
                <w:color w:val="auto"/>
              </w:rPr>
              <w:t>Deducted from asset accounts:</w:t>
            </w:r>
          </w:p>
        </w:tc>
        <w:tc>
          <w:tcPr>
            <w:tcW w:w="180" w:type="dxa"/>
            <w:vAlign w:val="bottom"/>
            <w:shd w:val="clear" w:color="auto" w:fill="E0E3F1"/>
          </w:tcPr>
          <w:p>
            <w:pPr>
              <w:spacing w:after="0"/>
              <w:rPr>
                <w:sz w:val="16"/>
                <w:szCs w:val="16"/>
                <w:color w:val="auto"/>
              </w:rPr>
            </w:pPr>
          </w:p>
        </w:tc>
        <w:tc>
          <w:tcPr>
            <w:tcW w:w="1160" w:type="dxa"/>
            <w:vAlign w:val="bottom"/>
            <w:shd w:val="clear" w:color="auto" w:fill="E0E3F1"/>
          </w:tcPr>
          <w:p>
            <w:pPr>
              <w:spacing w:after="0"/>
              <w:rPr>
                <w:sz w:val="16"/>
                <w:szCs w:val="16"/>
                <w:color w:val="auto"/>
              </w:rPr>
            </w:pPr>
          </w:p>
        </w:tc>
        <w:tc>
          <w:tcPr>
            <w:tcW w:w="240" w:type="dxa"/>
            <w:vAlign w:val="bottom"/>
            <w:shd w:val="clear" w:color="auto" w:fill="E0E3F1"/>
          </w:tcPr>
          <w:p>
            <w:pPr>
              <w:spacing w:after="0"/>
              <w:rPr>
                <w:sz w:val="16"/>
                <w:szCs w:val="16"/>
                <w:color w:val="auto"/>
              </w:rPr>
            </w:pPr>
          </w:p>
        </w:tc>
        <w:tc>
          <w:tcPr>
            <w:tcW w:w="1140" w:type="dxa"/>
            <w:vAlign w:val="bottom"/>
            <w:shd w:val="clear" w:color="auto" w:fill="E0E3F1"/>
          </w:tcPr>
          <w:p>
            <w:pPr>
              <w:spacing w:after="0"/>
              <w:rPr>
                <w:sz w:val="16"/>
                <w:szCs w:val="16"/>
                <w:color w:val="auto"/>
              </w:rPr>
            </w:pPr>
          </w:p>
        </w:tc>
        <w:tc>
          <w:tcPr>
            <w:tcW w:w="1040" w:type="dxa"/>
            <w:vAlign w:val="bottom"/>
            <w:shd w:val="clear" w:color="auto" w:fill="E0E3F1"/>
          </w:tcPr>
          <w:p>
            <w:pPr>
              <w:spacing w:after="0"/>
              <w:rPr>
                <w:sz w:val="16"/>
                <w:szCs w:val="16"/>
                <w:color w:val="auto"/>
              </w:rPr>
            </w:pPr>
          </w:p>
        </w:tc>
        <w:tc>
          <w:tcPr>
            <w:tcW w:w="320" w:type="dxa"/>
            <w:vAlign w:val="bottom"/>
            <w:shd w:val="clear" w:color="auto" w:fill="E0E3F1"/>
          </w:tcPr>
          <w:p>
            <w:pPr>
              <w:spacing w:after="0"/>
              <w:rPr>
                <w:sz w:val="16"/>
                <w:szCs w:val="16"/>
                <w:color w:val="auto"/>
              </w:rPr>
            </w:pPr>
          </w:p>
        </w:tc>
        <w:tc>
          <w:tcPr>
            <w:tcW w:w="180" w:type="dxa"/>
            <w:vAlign w:val="bottom"/>
            <w:shd w:val="clear" w:color="auto" w:fill="E0E3F1"/>
          </w:tcPr>
          <w:p>
            <w:pPr>
              <w:spacing w:after="0"/>
              <w:rPr>
                <w:sz w:val="16"/>
                <w:szCs w:val="16"/>
                <w:color w:val="auto"/>
              </w:rPr>
            </w:pPr>
          </w:p>
        </w:tc>
        <w:tc>
          <w:tcPr>
            <w:tcW w:w="1180" w:type="dxa"/>
            <w:vAlign w:val="bottom"/>
            <w:shd w:val="clear" w:color="auto" w:fill="E0E3F1"/>
          </w:tcPr>
          <w:p>
            <w:pPr>
              <w:spacing w:after="0"/>
              <w:rPr>
                <w:sz w:val="16"/>
                <w:szCs w:val="16"/>
                <w:color w:val="auto"/>
              </w:rPr>
            </w:pPr>
          </w:p>
        </w:tc>
        <w:tc>
          <w:tcPr>
            <w:tcW w:w="200" w:type="dxa"/>
            <w:vAlign w:val="bottom"/>
            <w:shd w:val="clear" w:color="auto" w:fill="E0E3F1"/>
          </w:tcPr>
          <w:p>
            <w:pPr>
              <w:spacing w:after="0"/>
              <w:rPr>
                <w:sz w:val="16"/>
                <w:szCs w:val="16"/>
                <w:color w:val="auto"/>
              </w:rPr>
            </w:pPr>
          </w:p>
        </w:tc>
        <w:tc>
          <w:tcPr>
            <w:tcW w:w="1200" w:type="dxa"/>
            <w:vAlign w:val="bottom"/>
            <w:shd w:val="clear" w:color="auto" w:fill="E0E3F1"/>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00" w:type="dxa"/>
            <w:vAlign w:val="bottom"/>
            <w:shd w:val="clear" w:color="auto" w:fill="E0E3F1"/>
          </w:tcPr>
          <w:p>
            <w:pPr>
              <w:ind w:left="140"/>
              <w:spacing w:after="0"/>
              <w:rPr>
                <w:sz w:val="20"/>
                <w:szCs w:val="20"/>
                <w:color w:val="auto"/>
              </w:rPr>
            </w:pPr>
            <w:r>
              <w:rPr>
                <w:rFonts w:ascii="Arial" w:cs="Arial" w:eastAsia="Arial" w:hAnsi="Arial"/>
                <w:sz w:val="14"/>
                <w:szCs w:val="14"/>
                <w:color w:val="auto"/>
              </w:rPr>
              <w:t>Year ended November 30, 2025:</w:t>
            </w:r>
          </w:p>
        </w:tc>
        <w:tc>
          <w:tcPr>
            <w:tcW w:w="180" w:type="dxa"/>
            <w:vAlign w:val="bottom"/>
            <w:shd w:val="clear" w:color="auto" w:fill="E0E3F1"/>
          </w:tcPr>
          <w:p>
            <w:pPr>
              <w:spacing w:after="0"/>
              <w:rPr>
                <w:sz w:val="17"/>
                <w:szCs w:val="17"/>
                <w:color w:val="auto"/>
              </w:rPr>
            </w:pPr>
          </w:p>
        </w:tc>
        <w:tc>
          <w:tcPr>
            <w:tcW w:w="1160" w:type="dxa"/>
            <w:vAlign w:val="bottom"/>
            <w:shd w:val="clear" w:color="auto" w:fill="E0E3F1"/>
          </w:tcPr>
          <w:p>
            <w:pPr>
              <w:spacing w:after="0"/>
              <w:rPr>
                <w:sz w:val="17"/>
                <w:szCs w:val="17"/>
                <w:color w:val="auto"/>
              </w:rPr>
            </w:pPr>
          </w:p>
        </w:tc>
        <w:tc>
          <w:tcPr>
            <w:tcW w:w="240" w:type="dxa"/>
            <w:vAlign w:val="bottom"/>
            <w:shd w:val="clear" w:color="auto" w:fill="E0E3F1"/>
          </w:tcPr>
          <w:p>
            <w:pPr>
              <w:spacing w:after="0"/>
              <w:rPr>
                <w:sz w:val="17"/>
                <w:szCs w:val="17"/>
                <w:color w:val="auto"/>
              </w:rPr>
            </w:pPr>
          </w:p>
        </w:tc>
        <w:tc>
          <w:tcPr>
            <w:tcW w:w="1140" w:type="dxa"/>
            <w:vAlign w:val="bottom"/>
            <w:shd w:val="clear" w:color="auto" w:fill="E0E3F1"/>
          </w:tcPr>
          <w:p>
            <w:pPr>
              <w:spacing w:after="0"/>
              <w:rPr>
                <w:sz w:val="17"/>
                <w:szCs w:val="17"/>
                <w:color w:val="auto"/>
              </w:rPr>
            </w:pPr>
          </w:p>
        </w:tc>
        <w:tc>
          <w:tcPr>
            <w:tcW w:w="1040" w:type="dxa"/>
            <w:vAlign w:val="bottom"/>
            <w:shd w:val="clear" w:color="auto" w:fill="E0E3F1"/>
          </w:tcPr>
          <w:p>
            <w:pPr>
              <w:spacing w:after="0"/>
              <w:rPr>
                <w:sz w:val="17"/>
                <w:szCs w:val="17"/>
                <w:color w:val="auto"/>
              </w:rPr>
            </w:pPr>
          </w:p>
        </w:tc>
        <w:tc>
          <w:tcPr>
            <w:tcW w:w="320" w:type="dxa"/>
            <w:vAlign w:val="bottom"/>
            <w:shd w:val="clear" w:color="auto" w:fill="E0E3F1"/>
          </w:tcPr>
          <w:p>
            <w:pPr>
              <w:spacing w:after="0"/>
              <w:rPr>
                <w:sz w:val="17"/>
                <w:szCs w:val="17"/>
                <w:color w:val="auto"/>
              </w:rPr>
            </w:pPr>
          </w:p>
        </w:tc>
        <w:tc>
          <w:tcPr>
            <w:tcW w:w="180" w:type="dxa"/>
            <w:vAlign w:val="bottom"/>
            <w:shd w:val="clear" w:color="auto" w:fill="E0E3F1"/>
          </w:tcPr>
          <w:p>
            <w:pPr>
              <w:spacing w:after="0"/>
              <w:rPr>
                <w:sz w:val="17"/>
                <w:szCs w:val="17"/>
                <w:color w:val="auto"/>
              </w:rPr>
            </w:pPr>
          </w:p>
        </w:tc>
        <w:tc>
          <w:tcPr>
            <w:tcW w:w="1180" w:type="dxa"/>
            <w:vAlign w:val="bottom"/>
            <w:shd w:val="clear" w:color="auto" w:fill="E0E3F1"/>
          </w:tcPr>
          <w:p>
            <w:pPr>
              <w:spacing w:after="0"/>
              <w:rPr>
                <w:sz w:val="17"/>
                <w:szCs w:val="17"/>
                <w:color w:val="auto"/>
              </w:rPr>
            </w:pPr>
          </w:p>
        </w:tc>
        <w:tc>
          <w:tcPr>
            <w:tcW w:w="200" w:type="dxa"/>
            <w:vAlign w:val="bottom"/>
            <w:shd w:val="clear" w:color="auto" w:fill="E0E3F1"/>
          </w:tcPr>
          <w:p>
            <w:pPr>
              <w:spacing w:after="0"/>
              <w:rPr>
                <w:sz w:val="17"/>
                <w:szCs w:val="17"/>
                <w:color w:val="auto"/>
              </w:rPr>
            </w:pPr>
          </w:p>
        </w:tc>
        <w:tc>
          <w:tcPr>
            <w:tcW w:w="1200" w:type="dxa"/>
            <w:vAlign w:val="bottom"/>
            <w:shd w:val="clear" w:color="auto" w:fill="E0E3F1"/>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shd w:val="clear" w:color="auto" w:fill="E0E3F1"/>
          </w:tcPr>
          <w:p>
            <w:pPr>
              <w:ind w:left="220"/>
              <w:spacing w:after="0"/>
              <w:rPr>
                <w:sz w:val="20"/>
                <w:szCs w:val="20"/>
                <w:color w:val="auto"/>
              </w:rPr>
            </w:pPr>
            <w:r>
              <w:rPr>
                <w:rFonts w:ascii="Arial" w:cs="Arial" w:eastAsia="Arial" w:hAnsi="Arial"/>
                <w:sz w:val="14"/>
                <w:szCs w:val="14"/>
                <w:color w:val="auto"/>
              </w:rPr>
              <w:t>Allowance for doubtful receivables</w:t>
            </w:r>
          </w:p>
        </w:tc>
        <w:tc>
          <w:tcPr>
            <w:tcW w:w="180" w:type="dxa"/>
            <w:vAlign w:val="bottom"/>
            <w:shd w:val="clear" w:color="auto" w:fill="E0E3F1"/>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shd w:val="clear" w:color="auto" w:fill="E0E3F1"/>
          </w:tcPr>
          <w:p>
            <w:pPr>
              <w:jc w:val="right"/>
              <w:spacing w:after="0"/>
              <w:rPr>
                <w:sz w:val="20"/>
                <w:szCs w:val="20"/>
                <w:color w:val="auto"/>
              </w:rPr>
            </w:pPr>
            <w:r>
              <w:rPr>
                <w:rFonts w:ascii="Arial" w:cs="Arial" w:eastAsia="Arial" w:hAnsi="Arial"/>
                <w:sz w:val="14"/>
                <w:szCs w:val="14"/>
                <w:color w:val="auto"/>
              </w:rPr>
              <w:t>4.7</w:t>
            </w:r>
          </w:p>
        </w:tc>
        <w:tc>
          <w:tcPr>
            <w:tcW w:w="240" w:type="dxa"/>
            <w:vAlign w:val="bottom"/>
            <w:shd w:val="clear" w:color="auto" w:fill="E0E3F1"/>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E0E3F1"/>
          </w:tcPr>
          <w:p>
            <w:pPr>
              <w:jc w:val="center"/>
              <w:ind w:left="728"/>
              <w:spacing w:after="0"/>
              <w:rPr>
                <w:sz w:val="20"/>
                <w:szCs w:val="20"/>
                <w:color w:val="auto"/>
              </w:rPr>
            </w:pPr>
            <w:r>
              <w:rPr>
                <w:rFonts w:ascii="Arial" w:cs="Arial" w:eastAsia="Arial" w:hAnsi="Arial"/>
                <w:sz w:val="14"/>
                <w:szCs w:val="14"/>
                <w:color w:val="auto"/>
              </w:rPr>
              <w:t>(0.2)</w:t>
            </w:r>
          </w:p>
        </w:tc>
        <w:tc>
          <w:tcPr>
            <w:tcW w:w="1040" w:type="dxa"/>
            <w:vAlign w:val="bottom"/>
            <w:shd w:val="clear" w:color="auto" w:fill="E0E3F1"/>
          </w:tcPr>
          <w:p>
            <w:pPr>
              <w:jc w:val="right"/>
              <w:ind w:right="868"/>
              <w:spacing w:after="0"/>
              <w:rPr>
                <w:sz w:val="20"/>
                <w:szCs w:val="20"/>
                <w:color w:val="auto"/>
              </w:rPr>
            </w:pPr>
            <w:r>
              <w:rPr>
                <w:rFonts w:ascii="Arial" w:cs="Arial" w:eastAsia="Arial" w:hAnsi="Arial"/>
                <w:sz w:val="14"/>
                <w:szCs w:val="14"/>
                <w:color w:val="auto"/>
              </w:rPr>
              <w:t>$</w:t>
            </w:r>
          </w:p>
        </w:tc>
        <w:tc>
          <w:tcPr>
            <w:tcW w:w="320" w:type="dxa"/>
            <w:vAlign w:val="bottom"/>
            <w:shd w:val="clear" w:color="auto" w:fill="E0E3F1"/>
          </w:tcPr>
          <w:p>
            <w:pPr>
              <w:jc w:val="right"/>
              <w:spacing w:after="0"/>
              <w:rPr>
                <w:sz w:val="20"/>
                <w:szCs w:val="20"/>
                <w:color w:val="auto"/>
              </w:rPr>
            </w:pPr>
            <w:r>
              <w:rPr>
                <w:rFonts w:ascii="Arial" w:cs="Arial" w:eastAsia="Arial" w:hAnsi="Arial"/>
                <w:sz w:val="14"/>
                <w:szCs w:val="14"/>
                <w:color w:val="auto"/>
                <w:w w:val="97"/>
              </w:rPr>
              <w:t>(0.1)</w:t>
            </w:r>
          </w:p>
        </w:tc>
        <w:tc>
          <w:tcPr>
            <w:tcW w:w="180" w:type="dxa"/>
            <w:vAlign w:val="bottom"/>
            <w:shd w:val="clear" w:color="auto" w:fill="E0E3F1"/>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shd w:val="clear" w:color="auto" w:fill="E0E3F1"/>
          </w:tcPr>
          <w:p>
            <w:pPr>
              <w:jc w:val="center"/>
              <w:ind w:left="768"/>
              <w:spacing w:after="0"/>
              <w:rPr>
                <w:sz w:val="20"/>
                <w:szCs w:val="20"/>
                <w:color w:val="auto"/>
              </w:rPr>
            </w:pPr>
            <w:r>
              <w:rPr>
                <w:rFonts w:ascii="Arial" w:cs="Arial" w:eastAsia="Arial" w:hAnsi="Arial"/>
                <w:sz w:val="14"/>
                <w:szCs w:val="14"/>
                <w:color w:val="auto"/>
              </w:rPr>
              <w:t>(0.3)</w:t>
            </w:r>
          </w:p>
        </w:tc>
        <w:tc>
          <w:tcPr>
            <w:tcW w:w="200" w:type="dxa"/>
            <w:vAlign w:val="bottom"/>
            <w:shd w:val="clear" w:color="auto" w:fill="E0E3F1"/>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E0E3F1"/>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07"/>
        </w:trPr>
        <w:tc>
          <w:tcPr>
            <w:tcW w:w="4400" w:type="dxa"/>
            <w:vAlign w:val="bottom"/>
            <w:tcBorders>
              <w:bottom w:val="single" w:sz="8" w:color="00539B"/>
            </w:tcBorders>
            <w:shd w:val="clear" w:color="auto" w:fill="E0E3F1"/>
          </w:tcPr>
          <w:p>
            <w:pPr>
              <w:ind w:left="220"/>
              <w:spacing w:after="0"/>
              <w:rPr>
                <w:sz w:val="20"/>
                <w:szCs w:val="20"/>
                <w:color w:val="auto"/>
              </w:rPr>
            </w:pPr>
            <w:r>
              <w:rPr>
                <w:rFonts w:ascii="Arial" w:cs="Arial" w:eastAsia="Arial" w:hAnsi="Arial"/>
                <w:sz w:val="14"/>
                <w:szCs w:val="14"/>
                <w:color w:val="auto"/>
              </w:rPr>
              <w:t>Valuation allowance on net deferred tax assets</w:t>
            </w:r>
          </w:p>
        </w:tc>
        <w:tc>
          <w:tcPr>
            <w:tcW w:w="180" w:type="dxa"/>
            <w:vAlign w:val="bottom"/>
            <w:tcBorders>
              <w:bottom w:val="single" w:sz="8" w:color="00539B"/>
            </w:tcBorders>
            <w:shd w:val="clear" w:color="auto" w:fill="E0E3F1"/>
          </w:tcPr>
          <w:p>
            <w:pPr>
              <w:spacing w:after="0"/>
              <w:rPr>
                <w:sz w:val="17"/>
                <w:szCs w:val="17"/>
                <w:color w:val="auto"/>
              </w:rPr>
            </w:pPr>
          </w:p>
        </w:tc>
        <w:tc>
          <w:tcPr>
            <w:tcW w:w="116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33.5</w:t>
            </w:r>
          </w:p>
        </w:tc>
        <w:tc>
          <w:tcPr>
            <w:tcW w:w="240" w:type="dxa"/>
            <w:vAlign w:val="bottom"/>
            <w:tcBorders>
              <w:bottom w:val="single" w:sz="8" w:color="00539B"/>
            </w:tcBorders>
            <w:shd w:val="clear" w:color="auto" w:fill="E0E3F1"/>
          </w:tcPr>
          <w:p>
            <w:pPr>
              <w:spacing w:after="0"/>
              <w:rPr>
                <w:sz w:val="17"/>
                <w:szCs w:val="17"/>
                <w:color w:val="auto"/>
              </w:rPr>
            </w:pPr>
          </w:p>
        </w:tc>
        <w:tc>
          <w:tcPr>
            <w:tcW w:w="1140" w:type="dxa"/>
            <w:vAlign w:val="bottom"/>
            <w:tcBorders>
              <w:bottom w:val="single" w:sz="8" w:color="00539B"/>
            </w:tcBorders>
            <w:shd w:val="clear" w:color="auto" w:fill="E0E3F1"/>
          </w:tcPr>
          <w:p>
            <w:pPr>
              <w:jc w:val="center"/>
              <w:ind w:left="748"/>
              <w:spacing w:after="0"/>
              <w:rPr>
                <w:sz w:val="20"/>
                <w:szCs w:val="20"/>
                <w:color w:val="auto"/>
              </w:rPr>
            </w:pPr>
            <w:r>
              <w:rPr>
                <w:rFonts w:ascii="Arial" w:cs="Arial" w:eastAsia="Arial" w:hAnsi="Arial"/>
                <w:sz w:val="14"/>
                <w:szCs w:val="14"/>
                <w:color w:val="auto"/>
              </w:rPr>
              <w:t>9.9</w:t>
            </w:r>
          </w:p>
        </w:tc>
        <w:tc>
          <w:tcPr>
            <w:tcW w:w="1040" w:type="dxa"/>
            <w:vAlign w:val="bottom"/>
            <w:tcBorders>
              <w:bottom w:val="single" w:sz="8" w:color="00539B"/>
            </w:tcBorders>
            <w:shd w:val="clear" w:color="auto" w:fill="E0E3F1"/>
          </w:tcPr>
          <w:p>
            <w:pPr>
              <w:spacing w:after="0"/>
              <w:rPr>
                <w:sz w:val="17"/>
                <w:szCs w:val="17"/>
                <w:color w:val="auto"/>
              </w:rPr>
            </w:pPr>
          </w:p>
        </w:tc>
        <w:tc>
          <w:tcPr>
            <w:tcW w:w="32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0.5</w:t>
            </w:r>
          </w:p>
        </w:tc>
        <w:tc>
          <w:tcPr>
            <w:tcW w:w="180" w:type="dxa"/>
            <w:vAlign w:val="bottom"/>
            <w:tcBorders>
              <w:bottom w:val="single" w:sz="8" w:color="00539B"/>
            </w:tcBorders>
            <w:shd w:val="clear" w:color="auto" w:fill="E0E3F1"/>
          </w:tcPr>
          <w:p>
            <w:pPr>
              <w:spacing w:after="0"/>
              <w:rPr>
                <w:sz w:val="17"/>
                <w:szCs w:val="17"/>
                <w:color w:val="auto"/>
              </w:rPr>
            </w:pPr>
          </w:p>
        </w:tc>
        <w:tc>
          <w:tcPr>
            <w:tcW w:w="1180" w:type="dxa"/>
            <w:vAlign w:val="bottom"/>
            <w:tcBorders>
              <w:bottom w:val="single" w:sz="8" w:color="00539B"/>
            </w:tcBorders>
            <w:shd w:val="clear" w:color="auto" w:fill="E0E3F1"/>
          </w:tcPr>
          <w:p>
            <w:pPr>
              <w:jc w:val="center"/>
              <w:ind w:left="768"/>
              <w:spacing w:after="0"/>
              <w:rPr>
                <w:sz w:val="20"/>
                <w:szCs w:val="20"/>
                <w:color w:val="auto"/>
              </w:rPr>
            </w:pPr>
            <w:r>
              <w:rPr>
                <w:rFonts w:ascii="Arial" w:cs="Arial" w:eastAsia="Arial" w:hAnsi="Arial"/>
                <w:sz w:val="14"/>
                <w:szCs w:val="14"/>
                <w:color w:val="auto"/>
              </w:rPr>
              <w:t>(2.8)</w:t>
            </w:r>
          </w:p>
        </w:tc>
        <w:tc>
          <w:tcPr>
            <w:tcW w:w="200" w:type="dxa"/>
            <w:vAlign w:val="bottom"/>
            <w:tcBorders>
              <w:bottom w:val="single" w:sz="8" w:color="00539B"/>
            </w:tcBorders>
            <w:shd w:val="clear" w:color="auto" w:fill="E0E3F1"/>
          </w:tcPr>
          <w:p>
            <w:pPr>
              <w:spacing w:after="0"/>
              <w:rPr>
                <w:sz w:val="17"/>
                <w:szCs w:val="17"/>
                <w:color w:val="auto"/>
              </w:rPr>
            </w:pPr>
          </w:p>
        </w:tc>
        <w:tc>
          <w:tcPr>
            <w:tcW w:w="1200" w:type="dxa"/>
            <w:vAlign w:val="bottom"/>
            <w:tcBorders>
              <w:bottom w:val="single" w:sz="8" w:color="00539B"/>
            </w:tcBorders>
            <w:shd w:val="clear" w:color="auto" w:fill="E0E3F1"/>
          </w:tcPr>
          <w:p>
            <w:pPr>
              <w:jc w:val="right"/>
              <w:spacing w:after="0"/>
              <w:rPr>
                <w:sz w:val="20"/>
                <w:szCs w:val="20"/>
                <w:color w:val="auto"/>
              </w:rPr>
            </w:pPr>
            <w:r>
              <w:rPr>
                <w:rFonts w:ascii="Arial" w:cs="Arial" w:eastAsia="Arial" w:hAnsi="Arial"/>
                <w:sz w:val="14"/>
                <w:szCs w:val="14"/>
                <w:color w:val="auto"/>
              </w:rPr>
              <w:t>41.1</w:t>
            </w:r>
          </w:p>
        </w:tc>
        <w:tc>
          <w:tcPr>
            <w:tcW w:w="0" w:type="dxa"/>
            <w:vAlign w:val="bottom"/>
          </w:tcPr>
          <w:p>
            <w:pPr>
              <w:spacing w:after="0"/>
              <w:rPr>
                <w:sz w:val="1"/>
                <w:szCs w:val="1"/>
                <w:color w:val="auto"/>
              </w:rPr>
            </w:pPr>
          </w:p>
        </w:tc>
      </w:tr>
      <w:tr>
        <w:trPr>
          <w:trHeight w:val="196"/>
        </w:trPr>
        <w:tc>
          <w:tcPr>
            <w:tcW w:w="4400" w:type="dxa"/>
            <w:vAlign w:val="bottom"/>
            <w:tcBorders>
              <w:bottom w:val="single" w:sz="8" w:color="00539B"/>
            </w:tcBorders>
          </w:tcPr>
          <w:p>
            <w:pPr>
              <w:spacing w:after="0"/>
              <w:rPr>
                <w:sz w:val="17"/>
                <w:szCs w:val="17"/>
                <w:color w:val="auto"/>
              </w:rPr>
            </w:pPr>
          </w:p>
        </w:tc>
        <w:tc>
          <w:tcPr>
            <w:tcW w:w="180" w:type="dxa"/>
            <w:vAlign w:val="bottom"/>
            <w:tcBorders>
              <w:bottom w:val="single" w:sz="8" w:color="00539B"/>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38.2</w:t>
            </w:r>
          </w:p>
        </w:tc>
        <w:tc>
          <w:tcPr>
            <w:tcW w:w="240" w:type="dxa"/>
            <w:vAlign w:val="bottom"/>
            <w:tcBorders>
              <w:bottom w:val="single" w:sz="8" w:color="00539B"/>
            </w:tcBorders>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00539B"/>
            </w:tcBorders>
          </w:tcPr>
          <w:p>
            <w:pPr>
              <w:jc w:val="center"/>
              <w:ind w:left="748"/>
              <w:spacing w:after="0"/>
              <w:rPr>
                <w:sz w:val="20"/>
                <w:szCs w:val="20"/>
                <w:color w:val="auto"/>
              </w:rPr>
            </w:pPr>
            <w:r>
              <w:rPr>
                <w:rFonts w:ascii="Arial" w:cs="Arial" w:eastAsia="Arial" w:hAnsi="Arial"/>
                <w:sz w:val="14"/>
                <w:szCs w:val="14"/>
                <w:color w:val="auto"/>
              </w:rPr>
              <w:t>9.7</w:t>
            </w:r>
          </w:p>
        </w:tc>
        <w:tc>
          <w:tcPr>
            <w:tcW w:w="1040" w:type="dxa"/>
            <w:vAlign w:val="bottom"/>
            <w:tcBorders>
              <w:bottom w:val="single" w:sz="8" w:color="00539B"/>
            </w:tcBorders>
          </w:tcPr>
          <w:p>
            <w:pPr>
              <w:jc w:val="right"/>
              <w:ind w:right="8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0.4</w:t>
            </w:r>
          </w:p>
        </w:tc>
        <w:tc>
          <w:tcPr>
            <w:tcW w:w="180" w:type="dxa"/>
            <w:vAlign w:val="bottom"/>
            <w:tcBorders>
              <w:bottom w:val="single" w:sz="8" w:color="00539B"/>
            </w:tcBorders>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00539B"/>
            </w:tcBorders>
          </w:tcPr>
          <w:p>
            <w:pPr>
              <w:jc w:val="center"/>
              <w:ind w:left="768"/>
              <w:spacing w:after="0"/>
              <w:rPr>
                <w:sz w:val="20"/>
                <w:szCs w:val="20"/>
                <w:color w:val="auto"/>
              </w:rPr>
            </w:pPr>
            <w:r>
              <w:rPr>
                <w:rFonts w:ascii="Arial" w:cs="Arial" w:eastAsia="Arial" w:hAnsi="Arial"/>
                <w:sz w:val="14"/>
                <w:szCs w:val="14"/>
                <w:color w:val="auto"/>
              </w:rPr>
              <w:t>(3.1)</w:t>
            </w:r>
          </w:p>
        </w:tc>
        <w:tc>
          <w:tcPr>
            <w:tcW w:w="200" w:type="dxa"/>
            <w:vAlign w:val="bottom"/>
            <w:tcBorders>
              <w:bottom w:val="single" w:sz="8" w:color="00539B"/>
            </w:tcBorders>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45.2</w:t>
            </w:r>
          </w:p>
        </w:tc>
        <w:tc>
          <w:tcPr>
            <w:tcW w:w="0" w:type="dxa"/>
            <w:vAlign w:val="bottom"/>
          </w:tcPr>
          <w:p>
            <w:pPr>
              <w:spacing w:after="0"/>
              <w:rPr>
                <w:sz w:val="1"/>
                <w:szCs w:val="1"/>
                <w:color w:val="auto"/>
              </w:rPr>
            </w:pPr>
          </w:p>
        </w:tc>
      </w:tr>
      <w:tr>
        <w:trPr>
          <w:trHeight w:val="192"/>
        </w:trPr>
        <w:tc>
          <w:tcPr>
            <w:tcW w:w="4400" w:type="dxa"/>
            <w:vAlign w:val="bottom"/>
          </w:tcPr>
          <w:p>
            <w:pPr>
              <w:ind w:left="20"/>
              <w:spacing w:after="0"/>
              <w:rPr>
                <w:sz w:val="20"/>
                <w:szCs w:val="20"/>
                <w:color w:val="auto"/>
              </w:rPr>
            </w:pPr>
            <w:r>
              <w:rPr>
                <w:rFonts w:ascii="Arial" w:cs="Arial" w:eastAsia="Arial" w:hAnsi="Arial"/>
                <w:sz w:val="14"/>
                <w:szCs w:val="14"/>
                <w:color w:val="auto"/>
              </w:rPr>
              <w:t>Deducted from asset accounts:</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00" w:type="dxa"/>
            <w:vAlign w:val="bottom"/>
          </w:tcPr>
          <w:p>
            <w:pPr>
              <w:ind w:left="140"/>
              <w:spacing w:after="0"/>
              <w:rPr>
                <w:sz w:val="20"/>
                <w:szCs w:val="20"/>
                <w:color w:val="auto"/>
              </w:rPr>
            </w:pPr>
            <w:r>
              <w:rPr>
                <w:rFonts w:ascii="Arial" w:cs="Arial" w:eastAsia="Arial" w:hAnsi="Arial"/>
                <w:sz w:val="14"/>
                <w:szCs w:val="14"/>
                <w:color w:val="auto"/>
              </w:rPr>
              <w:t>Year ended November 30, 2024:</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tcPr>
          <w:p>
            <w:pPr>
              <w:ind w:left="220"/>
              <w:spacing w:after="0"/>
              <w:rPr>
                <w:sz w:val="20"/>
                <w:szCs w:val="20"/>
                <w:color w:val="auto"/>
              </w:rPr>
            </w:pPr>
            <w:r>
              <w:rPr>
                <w:rFonts w:ascii="Arial" w:cs="Arial" w:eastAsia="Arial" w:hAnsi="Arial"/>
                <w:sz w:val="14"/>
                <w:szCs w:val="14"/>
                <w:color w:val="auto"/>
              </w:rPr>
              <w:t>Allowance for doubtful receivables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5.9</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center"/>
              <w:ind w:left="748"/>
              <w:spacing w:after="0"/>
              <w:rPr>
                <w:sz w:val="20"/>
                <w:szCs w:val="20"/>
                <w:color w:val="auto"/>
              </w:rPr>
            </w:pPr>
            <w:r>
              <w:rPr>
                <w:rFonts w:ascii="Arial" w:cs="Arial" w:eastAsia="Arial" w:hAnsi="Arial"/>
                <w:sz w:val="14"/>
                <w:szCs w:val="14"/>
                <w:color w:val="auto"/>
              </w:rPr>
              <w:t>0.3</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w w:val="97"/>
              </w:rPr>
              <w:t>(1.2)</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center"/>
              <w:ind w:left="768"/>
              <w:spacing w:after="0"/>
              <w:rPr>
                <w:sz w:val="20"/>
                <w:szCs w:val="20"/>
                <w:color w:val="auto"/>
              </w:rPr>
            </w:pPr>
            <w:r>
              <w:rPr>
                <w:rFonts w:ascii="Arial" w:cs="Arial" w:eastAsia="Arial" w:hAnsi="Arial"/>
                <w:sz w:val="14"/>
                <w:szCs w:val="14"/>
                <w:color w:val="auto"/>
              </w:rPr>
              <w:t>(0.3)</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07"/>
        </w:trPr>
        <w:tc>
          <w:tcPr>
            <w:tcW w:w="4400" w:type="dxa"/>
            <w:vAlign w:val="bottom"/>
            <w:tcBorders>
              <w:bottom w:val="single" w:sz="8" w:color="00539B"/>
            </w:tcBorders>
          </w:tcPr>
          <w:p>
            <w:pPr>
              <w:ind w:left="220"/>
              <w:spacing w:after="0"/>
              <w:rPr>
                <w:sz w:val="20"/>
                <w:szCs w:val="20"/>
                <w:color w:val="auto"/>
              </w:rPr>
            </w:pPr>
            <w:r>
              <w:rPr>
                <w:rFonts w:ascii="Arial" w:cs="Arial" w:eastAsia="Arial" w:hAnsi="Arial"/>
                <w:sz w:val="14"/>
                <w:szCs w:val="14"/>
                <w:color w:val="auto"/>
              </w:rPr>
              <w:t>Valuation allowance on net deferred tax assets</w:t>
            </w:r>
          </w:p>
        </w:tc>
        <w:tc>
          <w:tcPr>
            <w:tcW w:w="180" w:type="dxa"/>
            <w:vAlign w:val="bottom"/>
            <w:tcBorders>
              <w:bottom w:val="single" w:sz="8" w:color="00539B"/>
            </w:tcBorders>
          </w:tcPr>
          <w:p>
            <w:pPr>
              <w:spacing w:after="0"/>
              <w:rPr>
                <w:sz w:val="17"/>
                <w:szCs w:val="17"/>
                <w:color w:val="auto"/>
              </w:rPr>
            </w:pPr>
          </w:p>
        </w:tc>
        <w:tc>
          <w:tcPr>
            <w:tcW w:w="116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25.9</w:t>
            </w:r>
          </w:p>
        </w:tc>
        <w:tc>
          <w:tcPr>
            <w:tcW w:w="240" w:type="dxa"/>
            <w:vAlign w:val="bottom"/>
            <w:tcBorders>
              <w:bottom w:val="single" w:sz="8" w:color="00539B"/>
            </w:tcBorders>
          </w:tcPr>
          <w:p>
            <w:pPr>
              <w:spacing w:after="0"/>
              <w:rPr>
                <w:sz w:val="17"/>
                <w:szCs w:val="17"/>
                <w:color w:val="auto"/>
              </w:rPr>
            </w:pPr>
          </w:p>
        </w:tc>
        <w:tc>
          <w:tcPr>
            <w:tcW w:w="1140" w:type="dxa"/>
            <w:vAlign w:val="bottom"/>
            <w:tcBorders>
              <w:bottom w:val="single" w:sz="8" w:color="00539B"/>
            </w:tcBorders>
          </w:tcPr>
          <w:p>
            <w:pPr>
              <w:jc w:val="center"/>
              <w:ind w:left="748"/>
              <w:spacing w:after="0"/>
              <w:rPr>
                <w:sz w:val="20"/>
                <w:szCs w:val="20"/>
                <w:color w:val="auto"/>
              </w:rPr>
            </w:pPr>
            <w:r>
              <w:rPr>
                <w:rFonts w:ascii="Arial" w:cs="Arial" w:eastAsia="Arial" w:hAnsi="Arial"/>
                <w:sz w:val="14"/>
                <w:szCs w:val="14"/>
                <w:color w:val="auto"/>
              </w:rPr>
              <w:t>8.0</w:t>
            </w:r>
          </w:p>
        </w:tc>
        <w:tc>
          <w:tcPr>
            <w:tcW w:w="1040" w:type="dxa"/>
            <w:vAlign w:val="bottom"/>
            <w:tcBorders>
              <w:bottom w:val="single" w:sz="8" w:color="00539B"/>
            </w:tcBorders>
          </w:tcPr>
          <w:p>
            <w:pPr>
              <w:spacing w:after="0"/>
              <w:rPr>
                <w:sz w:val="17"/>
                <w:szCs w:val="17"/>
                <w:color w:val="auto"/>
              </w:rPr>
            </w:pPr>
          </w:p>
        </w:tc>
        <w:tc>
          <w:tcPr>
            <w:tcW w:w="32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0.1</w:t>
            </w:r>
          </w:p>
        </w:tc>
        <w:tc>
          <w:tcPr>
            <w:tcW w:w="180" w:type="dxa"/>
            <w:vAlign w:val="bottom"/>
            <w:tcBorders>
              <w:bottom w:val="single" w:sz="8" w:color="00539B"/>
            </w:tcBorders>
          </w:tcPr>
          <w:p>
            <w:pPr>
              <w:spacing w:after="0"/>
              <w:rPr>
                <w:sz w:val="17"/>
                <w:szCs w:val="17"/>
                <w:color w:val="auto"/>
              </w:rPr>
            </w:pPr>
          </w:p>
        </w:tc>
        <w:tc>
          <w:tcPr>
            <w:tcW w:w="1180" w:type="dxa"/>
            <w:vAlign w:val="bottom"/>
            <w:tcBorders>
              <w:bottom w:val="single" w:sz="8" w:color="00539B"/>
            </w:tcBorders>
          </w:tcPr>
          <w:p>
            <w:pPr>
              <w:jc w:val="center"/>
              <w:ind w:left="768"/>
              <w:spacing w:after="0"/>
              <w:rPr>
                <w:sz w:val="20"/>
                <w:szCs w:val="20"/>
                <w:color w:val="auto"/>
              </w:rPr>
            </w:pPr>
            <w:r>
              <w:rPr>
                <w:rFonts w:ascii="Arial" w:cs="Arial" w:eastAsia="Arial" w:hAnsi="Arial"/>
                <w:sz w:val="14"/>
                <w:szCs w:val="14"/>
                <w:color w:val="auto"/>
              </w:rPr>
              <w:t>(0.5)</w:t>
            </w:r>
          </w:p>
        </w:tc>
        <w:tc>
          <w:tcPr>
            <w:tcW w:w="200" w:type="dxa"/>
            <w:vAlign w:val="bottom"/>
            <w:tcBorders>
              <w:bottom w:val="single" w:sz="8" w:color="00539B"/>
            </w:tcBorders>
          </w:tcPr>
          <w:p>
            <w:pPr>
              <w:spacing w:after="0"/>
              <w:rPr>
                <w:sz w:val="17"/>
                <w:szCs w:val="17"/>
                <w:color w:val="auto"/>
              </w:rPr>
            </w:pPr>
          </w:p>
        </w:tc>
        <w:tc>
          <w:tcPr>
            <w:tcW w:w="120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33.5</w:t>
            </w:r>
          </w:p>
        </w:tc>
        <w:tc>
          <w:tcPr>
            <w:tcW w:w="0" w:type="dxa"/>
            <w:vAlign w:val="bottom"/>
          </w:tcPr>
          <w:p>
            <w:pPr>
              <w:spacing w:after="0"/>
              <w:rPr>
                <w:sz w:val="1"/>
                <w:szCs w:val="1"/>
                <w:color w:val="auto"/>
              </w:rPr>
            </w:pPr>
          </w:p>
        </w:tc>
      </w:tr>
      <w:tr>
        <w:trPr>
          <w:trHeight w:val="207"/>
        </w:trPr>
        <w:tc>
          <w:tcPr>
            <w:tcW w:w="4400" w:type="dxa"/>
            <w:vAlign w:val="bottom"/>
            <w:tcBorders>
              <w:bottom w:val="single" w:sz="8" w:color="00539B"/>
            </w:tcBorders>
          </w:tcPr>
          <w:p>
            <w:pPr>
              <w:spacing w:after="0"/>
              <w:rPr>
                <w:sz w:val="18"/>
                <w:szCs w:val="18"/>
                <w:color w:val="auto"/>
              </w:rPr>
            </w:pPr>
          </w:p>
        </w:tc>
        <w:tc>
          <w:tcPr>
            <w:tcW w:w="180" w:type="dxa"/>
            <w:vAlign w:val="bottom"/>
            <w:tcBorders>
              <w:bottom w:val="single" w:sz="8" w:color="00539B"/>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31.8</w:t>
            </w:r>
          </w:p>
        </w:tc>
        <w:tc>
          <w:tcPr>
            <w:tcW w:w="240" w:type="dxa"/>
            <w:vAlign w:val="bottom"/>
            <w:tcBorders>
              <w:bottom w:val="single" w:sz="8" w:color="00539B"/>
            </w:tcBorders>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00539B"/>
            </w:tcBorders>
          </w:tcPr>
          <w:p>
            <w:pPr>
              <w:jc w:val="center"/>
              <w:ind w:left="748"/>
              <w:spacing w:after="0"/>
              <w:rPr>
                <w:sz w:val="20"/>
                <w:szCs w:val="20"/>
                <w:color w:val="auto"/>
              </w:rPr>
            </w:pPr>
            <w:r>
              <w:rPr>
                <w:rFonts w:ascii="Arial" w:cs="Arial" w:eastAsia="Arial" w:hAnsi="Arial"/>
                <w:sz w:val="14"/>
                <w:szCs w:val="14"/>
                <w:color w:val="auto"/>
              </w:rPr>
              <w:t>8.3</w:t>
            </w:r>
          </w:p>
        </w:tc>
        <w:tc>
          <w:tcPr>
            <w:tcW w:w="1040" w:type="dxa"/>
            <w:vAlign w:val="bottom"/>
            <w:tcBorders>
              <w:bottom w:val="single" w:sz="8" w:color="00539B"/>
            </w:tcBorders>
          </w:tcPr>
          <w:p>
            <w:pPr>
              <w:jc w:val="right"/>
              <w:ind w:right="8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w w:val="97"/>
              </w:rPr>
              <w:t>(1.1)</w:t>
            </w:r>
          </w:p>
        </w:tc>
        <w:tc>
          <w:tcPr>
            <w:tcW w:w="180" w:type="dxa"/>
            <w:vAlign w:val="bottom"/>
            <w:tcBorders>
              <w:bottom w:val="single" w:sz="8" w:color="00539B"/>
            </w:tcBorders>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00539B"/>
            </w:tcBorders>
          </w:tcPr>
          <w:p>
            <w:pPr>
              <w:jc w:val="center"/>
              <w:ind w:left="768"/>
              <w:spacing w:after="0"/>
              <w:rPr>
                <w:sz w:val="20"/>
                <w:szCs w:val="20"/>
                <w:color w:val="auto"/>
              </w:rPr>
            </w:pPr>
            <w:r>
              <w:rPr>
                <w:rFonts w:ascii="Arial" w:cs="Arial" w:eastAsia="Arial" w:hAnsi="Arial"/>
                <w:sz w:val="14"/>
                <w:szCs w:val="14"/>
                <w:color w:val="auto"/>
              </w:rPr>
              <w:t>(0.8)</w:t>
            </w:r>
          </w:p>
        </w:tc>
        <w:tc>
          <w:tcPr>
            <w:tcW w:w="200" w:type="dxa"/>
            <w:vAlign w:val="bottom"/>
            <w:tcBorders>
              <w:bottom w:val="single" w:sz="8" w:color="00539B"/>
            </w:tcBorders>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38.2</w:t>
            </w:r>
          </w:p>
        </w:tc>
        <w:tc>
          <w:tcPr>
            <w:tcW w:w="0" w:type="dxa"/>
            <w:vAlign w:val="bottom"/>
          </w:tcPr>
          <w:p>
            <w:pPr>
              <w:spacing w:after="0"/>
              <w:rPr>
                <w:sz w:val="1"/>
                <w:szCs w:val="1"/>
                <w:color w:val="auto"/>
              </w:rPr>
            </w:pPr>
          </w:p>
        </w:tc>
      </w:tr>
      <w:tr>
        <w:trPr>
          <w:trHeight w:val="195"/>
        </w:trPr>
        <w:tc>
          <w:tcPr>
            <w:tcW w:w="4400" w:type="dxa"/>
            <w:vAlign w:val="bottom"/>
          </w:tcPr>
          <w:p>
            <w:pPr>
              <w:ind w:left="20"/>
              <w:spacing w:after="0"/>
              <w:rPr>
                <w:sz w:val="20"/>
                <w:szCs w:val="20"/>
                <w:color w:val="auto"/>
              </w:rPr>
            </w:pPr>
            <w:r>
              <w:rPr>
                <w:rFonts w:ascii="Arial" w:cs="Arial" w:eastAsia="Arial" w:hAnsi="Arial"/>
                <w:sz w:val="14"/>
                <w:szCs w:val="14"/>
                <w:color w:val="auto"/>
              </w:rPr>
              <w:t>Deducted from asset accounts:</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00" w:type="dxa"/>
            <w:vAlign w:val="bottom"/>
          </w:tcPr>
          <w:p>
            <w:pPr>
              <w:ind w:left="140"/>
              <w:spacing w:after="0"/>
              <w:rPr>
                <w:sz w:val="20"/>
                <w:szCs w:val="20"/>
                <w:color w:val="auto"/>
              </w:rPr>
            </w:pPr>
            <w:r>
              <w:rPr>
                <w:rFonts w:ascii="Arial" w:cs="Arial" w:eastAsia="Arial" w:hAnsi="Arial"/>
                <w:sz w:val="14"/>
                <w:szCs w:val="14"/>
                <w:color w:val="auto"/>
              </w:rPr>
              <w:t>Year ended November 30, 2023:</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tcPr>
          <w:p>
            <w:pPr>
              <w:ind w:left="220"/>
              <w:spacing w:after="0"/>
              <w:rPr>
                <w:sz w:val="20"/>
                <w:szCs w:val="20"/>
                <w:color w:val="auto"/>
              </w:rPr>
            </w:pPr>
            <w:r>
              <w:rPr>
                <w:rFonts w:ascii="Arial" w:cs="Arial" w:eastAsia="Arial" w:hAnsi="Arial"/>
                <w:sz w:val="14"/>
                <w:szCs w:val="14"/>
                <w:color w:val="auto"/>
              </w:rPr>
              <w:t>Allowance for doubtful receivables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7.3</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center"/>
              <w:ind w:left="728"/>
              <w:spacing w:after="0"/>
              <w:rPr>
                <w:sz w:val="20"/>
                <w:szCs w:val="20"/>
                <w:color w:val="auto"/>
              </w:rPr>
            </w:pPr>
            <w:r>
              <w:rPr>
                <w:rFonts w:ascii="Arial" w:cs="Arial" w:eastAsia="Arial" w:hAnsi="Arial"/>
                <w:sz w:val="14"/>
                <w:szCs w:val="14"/>
                <w:color w:val="auto"/>
              </w:rPr>
              <w:t>(0.7)</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w w:val="97"/>
              </w:rPr>
              <w:t>(1.2)</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center"/>
              <w:ind w:left="788"/>
              <w:spacing w:after="0"/>
              <w:rPr>
                <w:sz w:val="20"/>
                <w:szCs w:val="20"/>
                <w:color w:val="auto"/>
              </w:rPr>
            </w:pPr>
            <w:r>
              <w:rPr>
                <w:rFonts w:ascii="Arial" w:cs="Arial" w:eastAsia="Arial" w:hAnsi="Arial"/>
                <w:sz w:val="14"/>
                <w:szCs w:val="14"/>
                <w:color w:val="auto"/>
              </w:rPr>
              <w:t>0.5</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06"/>
        </w:trPr>
        <w:tc>
          <w:tcPr>
            <w:tcW w:w="4400" w:type="dxa"/>
            <w:vAlign w:val="bottom"/>
            <w:tcBorders>
              <w:bottom w:val="single" w:sz="8" w:color="00539B"/>
            </w:tcBorders>
          </w:tcPr>
          <w:p>
            <w:pPr>
              <w:ind w:left="220"/>
              <w:spacing w:after="0"/>
              <w:rPr>
                <w:sz w:val="20"/>
                <w:szCs w:val="20"/>
                <w:color w:val="auto"/>
              </w:rPr>
            </w:pPr>
            <w:r>
              <w:rPr>
                <w:rFonts w:ascii="Arial" w:cs="Arial" w:eastAsia="Arial" w:hAnsi="Arial"/>
                <w:sz w:val="14"/>
                <w:szCs w:val="14"/>
                <w:color w:val="auto"/>
              </w:rPr>
              <w:t>Valuation allowance on net deferred tax assets</w:t>
            </w:r>
          </w:p>
        </w:tc>
        <w:tc>
          <w:tcPr>
            <w:tcW w:w="180" w:type="dxa"/>
            <w:vAlign w:val="bottom"/>
            <w:tcBorders>
              <w:bottom w:val="single" w:sz="8" w:color="00539B"/>
            </w:tcBorders>
          </w:tcPr>
          <w:p>
            <w:pPr>
              <w:spacing w:after="0"/>
              <w:rPr>
                <w:sz w:val="17"/>
                <w:szCs w:val="17"/>
                <w:color w:val="auto"/>
              </w:rPr>
            </w:pPr>
          </w:p>
        </w:tc>
        <w:tc>
          <w:tcPr>
            <w:tcW w:w="116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26.4</w:t>
            </w:r>
          </w:p>
        </w:tc>
        <w:tc>
          <w:tcPr>
            <w:tcW w:w="240" w:type="dxa"/>
            <w:vAlign w:val="bottom"/>
            <w:tcBorders>
              <w:bottom w:val="single" w:sz="8" w:color="00539B"/>
            </w:tcBorders>
          </w:tcPr>
          <w:p>
            <w:pPr>
              <w:spacing w:after="0"/>
              <w:rPr>
                <w:sz w:val="17"/>
                <w:szCs w:val="17"/>
                <w:color w:val="auto"/>
              </w:rPr>
            </w:pPr>
          </w:p>
        </w:tc>
        <w:tc>
          <w:tcPr>
            <w:tcW w:w="1140" w:type="dxa"/>
            <w:vAlign w:val="bottom"/>
            <w:tcBorders>
              <w:bottom w:val="single" w:sz="8" w:color="00539B"/>
            </w:tcBorders>
          </w:tcPr>
          <w:p>
            <w:pPr>
              <w:jc w:val="center"/>
              <w:ind w:left="748"/>
              <w:spacing w:after="0"/>
              <w:rPr>
                <w:sz w:val="20"/>
                <w:szCs w:val="20"/>
                <w:color w:val="auto"/>
              </w:rPr>
            </w:pPr>
            <w:r>
              <w:rPr>
                <w:rFonts w:ascii="Arial" w:cs="Arial" w:eastAsia="Arial" w:hAnsi="Arial"/>
                <w:sz w:val="14"/>
                <w:szCs w:val="14"/>
                <w:color w:val="auto"/>
              </w:rPr>
              <w:t>3.7</w:t>
            </w:r>
          </w:p>
        </w:tc>
        <w:tc>
          <w:tcPr>
            <w:tcW w:w="1040" w:type="dxa"/>
            <w:vAlign w:val="bottom"/>
            <w:tcBorders>
              <w:bottom w:val="single" w:sz="8" w:color="00539B"/>
            </w:tcBorders>
          </w:tcPr>
          <w:p>
            <w:pPr>
              <w:spacing w:after="0"/>
              <w:rPr>
                <w:sz w:val="17"/>
                <w:szCs w:val="17"/>
                <w:color w:val="auto"/>
              </w:rPr>
            </w:pPr>
          </w:p>
        </w:tc>
        <w:tc>
          <w:tcPr>
            <w:tcW w:w="32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00539B"/>
            </w:tcBorders>
          </w:tcPr>
          <w:p>
            <w:pPr>
              <w:spacing w:after="0"/>
              <w:rPr>
                <w:sz w:val="17"/>
                <w:szCs w:val="17"/>
                <w:color w:val="auto"/>
              </w:rPr>
            </w:pPr>
          </w:p>
        </w:tc>
        <w:tc>
          <w:tcPr>
            <w:tcW w:w="1180" w:type="dxa"/>
            <w:vAlign w:val="bottom"/>
            <w:tcBorders>
              <w:bottom w:val="single" w:sz="8" w:color="00539B"/>
            </w:tcBorders>
          </w:tcPr>
          <w:p>
            <w:pPr>
              <w:jc w:val="center"/>
              <w:ind w:left="768"/>
              <w:spacing w:after="0"/>
              <w:rPr>
                <w:sz w:val="20"/>
                <w:szCs w:val="20"/>
                <w:color w:val="auto"/>
              </w:rPr>
            </w:pPr>
            <w:r>
              <w:rPr>
                <w:rFonts w:ascii="Arial" w:cs="Arial" w:eastAsia="Arial" w:hAnsi="Arial"/>
                <w:sz w:val="14"/>
                <w:szCs w:val="14"/>
                <w:color w:val="auto"/>
              </w:rPr>
              <w:t>(4.2)</w:t>
            </w:r>
          </w:p>
        </w:tc>
        <w:tc>
          <w:tcPr>
            <w:tcW w:w="200" w:type="dxa"/>
            <w:vAlign w:val="bottom"/>
            <w:tcBorders>
              <w:bottom w:val="single" w:sz="8" w:color="00539B"/>
            </w:tcBorders>
          </w:tcPr>
          <w:p>
            <w:pPr>
              <w:spacing w:after="0"/>
              <w:rPr>
                <w:sz w:val="17"/>
                <w:szCs w:val="17"/>
                <w:color w:val="auto"/>
              </w:rPr>
            </w:pPr>
          </w:p>
        </w:tc>
        <w:tc>
          <w:tcPr>
            <w:tcW w:w="120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25.9</w:t>
            </w:r>
          </w:p>
        </w:tc>
        <w:tc>
          <w:tcPr>
            <w:tcW w:w="0" w:type="dxa"/>
            <w:vAlign w:val="bottom"/>
          </w:tcPr>
          <w:p>
            <w:pPr>
              <w:spacing w:after="0"/>
              <w:rPr>
                <w:sz w:val="1"/>
                <w:szCs w:val="1"/>
                <w:color w:val="auto"/>
              </w:rPr>
            </w:pPr>
          </w:p>
        </w:tc>
      </w:tr>
      <w:tr>
        <w:trPr>
          <w:trHeight w:val="207"/>
        </w:trPr>
        <w:tc>
          <w:tcPr>
            <w:tcW w:w="4400" w:type="dxa"/>
            <w:vAlign w:val="bottom"/>
            <w:tcBorders>
              <w:bottom w:val="single" w:sz="8" w:color="00539B"/>
            </w:tcBorders>
          </w:tcPr>
          <w:p>
            <w:pPr>
              <w:spacing w:after="0"/>
              <w:rPr>
                <w:sz w:val="18"/>
                <w:szCs w:val="18"/>
                <w:color w:val="auto"/>
              </w:rPr>
            </w:pPr>
          </w:p>
        </w:tc>
        <w:tc>
          <w:tcPr>
            <w:tcW w:w="180" w:type="dxa"/>
            <w:vAlign w:val="bottom"/>
            <w:tcBorders>
              <w:bottom w:val="single" w:sz="8" w:color="00539B"/>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33.7</w:t>
            </w:r>
          </w:p>
        </w:tc>
        <w:tc>
          <w:tcPr>
            <w:tcW w:w="240" w:type="dxa"/>
            <w:vAlign w:val="bottom"/>
            <w:tcBorders>
              <w:bottom w:val="single" w:sz="8" w:color="00539B"/>
            </w:tcBorders>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00539B"/>
            </w:tcBorders>
          </w:tcPr>
          <w:p>
            <w:pPr>
              <w:jc w:val="center"/>
              <w:ind w:left="748"/>
              <w:spacing w:after="0"/>
              <w:rPr>
                <w:sz w:val="20"/>
                <w:szCs w:val="20"/>
                <w:color w:val="auto"/>
              </w:rPr>
            </w:pPr>
            <w:r>
              <w:rPr>
                <w:rFonts w:ascii="Arial" w:cs="Arial" w:eastAsia="Arial" w:hAnsi="Arial"/>
                <w:sz w:val="14"/>
                <w:szCs w:val="14"/>
                <w:color w:val="auto"/>
              </w:rPr>
              <w:t>3.0</w:t>
            </w:r>
          </w:p>
        </w:tc>
        <w:tc>
          <w:tcPr>
            <w:tcW w:w="1040" w:type="dxa"/>
            <w:vAlign w:val="bottom"/>
            <w:tcBorders>
              <w:bottom w:val="single" w:sz="8" w:color="00539B"/>
            </w:tcBorders>
          </w:tcPr>
          <w:p>
            <w:pPr>
              <w:jc w:val="right"/>
              <w:ind w:right="8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w w:val="97"/>
              </w:rPr>
              <w:t>(1.2)</w:t>
            </w:r>
          </w:p>
        </w:tc>
        <w:tc>
          <w:tcPr>
            <w:tcW w:w="180" w:type="dxa"/>
            <w:vAlign w:val="bottom"/>
            <w:tcBorders>
              <w:bottom w:val="single" w:sz="8" w:color="00539B"/>
            </w:tcBorders>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00539B"/>
            </w:tcBorders>
          </w:tcPr>
          <w:p>
            <w:pPr>
              <w:jc w:val="center"/>
              <w:ind w:left="768"/>
              <w:spacing w:after="0"/>
              <w:rPr>
                <w:sz w:val="20"/>
                <w:szCs w:val="20"/>
                <w:color w:val="auto"/>
              </w:rPr>
            </w:pPr>
            <w:r>
              <w:rPr>
                <w:rFonts w:ascii="Arial" w:cs="Arial" w:eastAsia="Arial" w:hAnsi="Arial"/>
                <w:sz w:val="14"/>
                <w:szCs w:val="14"/>
                <w:color w:val="auto"/>
              </w:rPr>
              <w:t>(3.7)</w:t>
            </w:r>
          </w:p>
        </w:tc>
        <w:tc>
          <w:tcPr>
            <w:tcW w:w="200" w:type="dxa"/>
            <w:vAlign w:val="bottom"/>
            <w:tcBorders>
              <w:bottom w:val="single" w:sz="8" w:color="00539B"/>
            </w:tcBorders>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00539B"/>
            </w:tcBorders>
          </w:tcPr>
          <w:p>
            <w:pPr>
              <w:jc w:val="right"/>
              <w:spacing w:after="0"/>
              <w:rPr>
                <w:sz w:val="20"/>
                <w:szCs w:val="20"/>
                <w:color w:val="auto"/>
              </w:rPr>
            </w:pPr>
            <w:r>
              <w:rPr>
                <w:rFonts w:ascii="Arial" w:cs="Arial" w:eastAsia="Arial" w:hAnsi="Arial"/>
                <w:sz w:val="14"/>
                <w:szCs w:val="14"/>
                <w:color w:val="auto"/>
              </w:rPr>
              <w:t>31.8</w:t>
            </w: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140" w:hanging="132"/>
        <w:spacing w:after="0"/>
        <w:tabs>
          <w:tab w:leader="none" w:pos="140" w:val="left"/>
        </w:tabs>
        <w:numPr>
          <w:ilvl w:val="0"/>
          <w:numId w:val="30"/>
        </w:numPr>
        <w:rPr>
          <w:rFonts w:ascii="Arial" w:cs="Arial" w:eastAsia="Arial" w:hAnsi="Arial"/>
          <w:sz w:val="16"/>
          <w:szCs w:val="16"/>
          <w:color w:val="auto"/>
          <w:vertAlign w:val="superscript"/>
        </w:rPr>
      </w:pPr>
      <w:r>
        <w:rPr>
          <w:rFonts w:ascii="Arial" w:cs="Arial" w:eastAsia="Arial" w:hAnsi="Arial"/>
          <w:sz w:val="14"/>
          <w:szCs w:val="14"/>
          <w:color w:val="auto"/>
        </w:rPr>
        <w:t>Includes the impact of foreign currency exchange.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240"/>
          </w:cols>
          <w:pgMar w:left="320" w:top="1052" w:right="339" w:bottom="1440" w:gutter="0" w:footer="0" w:header="0"/>
        </w:sectPr>
      </w:pPr>
    </w:p>
    <w:bookmarkStart w:id="91" w:name="page92"/>
    <w:bookmarkEnd w:id="9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Subsidiaries of McCormick</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following is a listing of Subsidiaries of McCormick including the name under which they do business and their jurisdictions of incorporation. Certain subsidiaries are not listed since, considered in the aggregate as a single subsidiary, they would not constitute a significant subsidiary as of November 30, 2025.</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Borders>
              <w:top w:val="single" w:sz="8" w:color="auto"/>
            </w:tcBorders>
          </w:tcPr>
          <w:p>
            <w:pPr>
              <w:ind w:left="2340"/>
              <w:spacing w:after="0"/>
              <w:rPr>
                <w:sz w:val="20"/>
                <w:szCs w:val="20"/>
                <w:color w:val="auto"/>
              </w:rPr>
            </w:pPr>
            <w:r>
              <w:rPr>
                <w:rFonts w:ascii="Times New Roman" w:cs="Times New Roman" w:eastAsia="Times New Roman" w:hAnsi="Times New Roman"/>
                <w:sz w:val="13"/>
                <w:szCs w:val="13"/>
                <w:b w:val="1"/>
                <w:bCs w:val="1"/>
                <w:color w:val="auto"/>
              </w:rPr>
              <w:t>Company Name</w:t>
            </w:r>
          </w:p>
        </w:tc>
        <w:tc>
          <w:tcPr>
            <w:tcW w:w="6220" w:type="dxa"/>
            <w:vAlign w:val="bottom"/>
            <w:tcBorders>
              <w:top w:val="single" w:sz="8" w:color="auto"/>
            </w:tcBorders>
          </w:tcPr>
          <w:p>
            <w:pPr>
              <w:ind w:left="2580"/>
              <w:spacing w:after="0"/>
              <w:rPr>
                <w:sz w:val="20"/>
                <w:szCs w:val="20"/>
                <w:color w:val="auto"/>
              </w:rPr>
            </w:pPr>
            <w:r>
              <w:rPr>
                <w:rFonts w:ascii="Times New Roman" w:cs="Times New Roman" w:eastAsia="Times New Roman" w:hAnsi="Times New Roman"/>
                <w:sz w:val="13"/>
                <w:szCs w:val="13"/>
                <w:b w:val="1"/>
                <w:bCs w:val="1"/>
                <w:color w:val="auto"/>
              </w:rPr>
              <w:t>Jurisdiction of Incorporation</w:t>
            </w:r>
          </w:p>
        </w:tc>
      </w:tr>
      <w:tr>
        <w:trPr>
          <w:trHeight w:val="33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Billy Bee Honey Products Company</w:t>
            </w:r>
          </w:p>
        </w:tc>
        <w:tc>
          <w:tcPr>
            <w:tcW w:w="62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Canada</w:t>
            </w:r>
          </w:p>
        </w:tc>
      </w:tr>
      <w:tr>
        <w:trPr>
          <w:trHeight w:val="23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Botanical Food Company Pty. Ltd.</w:t>
            </w:r>
          </w:p>
        </w:tc>
        <w:tc>
          <w:tcPr>
            <w:tcW w:w="62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Australia</w:t>
            </w:r>
          </w:p>
        </w:tc>
      </w:tr>
      <w:tr>
        <w:trPr>
          <w:trHeight w:val="229"/>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Botanical Food Company, Inc.</w:t>
            </w:r>
          </w:p>
        </w:tc>
        <w:tc>
          <w:tcPr>
            <w:tcW w:w="62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Delaware, U.S.</w:t>
            </w:r>
          </w:p>
        </w:tc>
      </w:tr>
      <w:tr>
        <w:trPr>
          <w:trHeight w:val="229"/>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Brand Aromatics, Inc</w:t>
            </w:r>
          </w:p>
        </w:tc>
        <w:tc>
          <w:tcPr>
            <w:tcW w:w="62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New Jersey, U.S.</w:t>
            </w:r>
          </w:p>
        </w:tc>
      </w:tr>
      <w:tr>
        <w:trPr>
          <w:trHeight w:val="23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CFCFlavor Holdings SA DE C.V.</w:t>
            </w:r>
          </w:p>
        </w:tc>
        <w:tc>
          <w:tcPr>
            <w:tcW w:w="62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Mexico</w:t>
            </w:r>
          </w:p>
        </w:tc>
      </w:tr>
      <w:tr>
        <w:trPr>
          <w:trHeight w:val="229"/>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Cholula Food Company LLC</w:t>
            </w:r>
          </w:p>
        </w:tc>
        <w:tc>
          <w:tcPr>
            <w:tcW w:w="62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Delaware, U.S.</w:t>
            </w:r>
          </w:p>
        </w:tc>
      </w:tr>
      <w:tr>
        <w:trPr>
          <w:trHeight w:val="229"/>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Drogheria E Alimentari SPA</w:t>
            </w:r>
          </w:p>
        </w:tc>
        <w:tc>
          <w:tcPr>
            <w:tcW w:w="62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Italy</w:t>
            </w:r>
          </w:p>
        </w:tc>
      </w:tr>
      <w:tr>
        <w:trPr>
          <w:trHeight w:val="23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Enrico Giotti SPA</w:t>
            </w:r>
          </w:p>
        </w:tc>
        <w:tc>
          <w:tcPr>
            <w:tcW w:w="62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Italy</w:t>
            </w:r>
          </w:p>
        </w:tc>
      </w:tr>
      <w:tr>
        <w:trPr>
          <w:trHeight w:val="229"/>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FONA International, LLC</w:t>
            </w:r>
          </w:p>
        </w:tc>
        <w:tc>
          <w:tcPr>
            <w:tcW w:w="62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Illinois, U.S.</w:t>
            </w:r>
          </w:p>
        </w:tc>
      </w:tr>
      <w:tr>
        <w:trPr>
          <w:trHeight w:val="23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French's Food Company LLC</w:t>
            </w:r>
          </w:p>
        </w:tc>
        <w:tc>
          <w:tcPr>
            <w:tcW w:w="62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Delaware, U.S.</w:t>
            </w:r>
          </w:p>
        </w:tc>
      </w:tr>
      <w:tr>
        <w:trPr>
          <w:trHeight w:val="229"/>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French's Food Company, Inc.</w:t>
            </w:r>
          </w:p>
        </w:tc>
        <w:tc>
          <w:tcPr>
            <w:tcW w:w="62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Canada</w:t>
            </w:r>
          </w:p>
        </w:tc>
      </w:tr>
      <w:tr>
        <w:trPr>
          <w:trHeight w:val="229"/>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McCormick Foods India Private Limited</w:t>
            </w:r>
          </w:p>
        </w:tc>
        <w:tc>
          <w:tcPr>
            <w:tcW w:w="62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India</w:t>
            </w:r>
          </w:p>
        </w:tc>
      </w:tr>
      <w:tr>
        <w:trPr>
          <w:trHeight w:val="23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La Cie McCormick Canada Co.</w:t>
            </w:r>
          </w:p>
        </w:tc>
        <w:tc>
          <w:tcPr>
            <w:tcW w:w="62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Canada</w:t>
            </w:r>
          </w:p>
        </w:tc>
      </w:tr>
      <w:tr>
        <w:trPr>
          <w:trHeight w:val="229"/>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McCormick (Guangzhou) Food Company Limited</w:t>
            </w:r>
          </w:p>
        </w:tc>
        <w:tc>
          <w:tcPr>
            <w:tcW w:w="62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People’s Republic of China</w:t>
            </w:r>
          </w:p>
        </w:tc>
      </w:tr>
      <w:tr>
        <w:trPr>
          <w:trHeight w:val="229"/>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McCormick (U.K.) Ltd.</w:t>
            </w:r>
          </w:p>
        </w:tc>
        <w:tc>
          <w:tcPr>
            <w:tcW w:w="62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Scotland</w:t>
            </w:r>
          </w:p>
        </w:tc>
      </w:tr>
      <w:tr>
        <w:trPr>
          <w:trHeight w:val="23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McCormick Cyprus Limited</w:t>
            </w:r>
          </w:p>
        </w:tc>
        <w:tc>
          <w:tcPr>
            <w:tcW w:w="62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Cyprus</w:t>
            </w:r>
          </w:p>
        </w:tc>
      </w:tr>
      <w:tr>
        <w:trPr>
          <w:trHeight w:val="229"/>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McCormick de Centro America, S.A. de C.V.</w:t>
            </w:r>
          </w:p>
        </w:tc>
        <w:tc>
          <w:tcPr>
            <w:tcW w:w="62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El Salvador</w:t>
            </w:r>
          </w:p>
        </w:tc>
      </w:tr>
      <w:tr>
        <w:trPr>
          <w:trHeight w:val="23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McCormick EMEA Holdings Limited</w:t>
            </w:r>
          </w:p>
        </w:tc>
        <w:tc>
          <w:tcPr>
            <w:tcW w:w="62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McCormick Europe, Ltd.</w:t>
            </w:r>
          </w:p>
        </w:tc>
        <w:tc>
          <w:tcPr>
            <w:tcW w:w="62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McCormick Foods Australia Pty. Ltd.</w:t>
            </w:r>
          </w:p>
        </w:tc>
        <w:tc>
          <w:tcPr>
            <w:tcW w:w="62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Australia</w:t>
            </w:r>
          </w:p>
        </w:tc>
      </w:tr>
      <w:tr>
        <w:trPr>
          <w:trHeight w:val="23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McCormick France Holdings S.A.S.</w:t>
            </w:r>
          </w:p>
        </w:tc>
        <w:tc>
          <w:tcPr>
            <w:tcW w:w="62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France</w:t>
            </w:r>
          </w:p>
        </w:tc>
      </w:tr>
      <w:tr>
        <w:trPr>
          <w:trHeight w:val="229"/>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McCormick France, S.A.S.</w:t>
            </w:r>
          </w:p>
        </w:tc>
        <w:tc>
          <w:tcPr>
            <w:tcW w:w="62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France</w:t>
            </w:r>
          </w:p>
        </w:tc>
      </w:tr>
      <w:tr>
        <w:trPr>
          <w:trHeight w:val="23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McCormick Holding Company Inc.</w:t>
            </w:r>
          </w:p>
        </w:tc>
        <w:tc>
          <w:tcPr>
            <w:tcW w:w="62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Delaware, U.S.</w:t>
            </w:r>
          </w:p>
        </w:tc>
      </w:tr>
      <w:tr>
        <w:trPr>
          <w:trHeight w:val="23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McCormick Ingredients Southeast Asia Private Limited</w:t>
            </w:r>
          </w:p>
        </w:tc>
        <w:tc>
          <w:tcPr>
            <w:tcW w:w="62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Republic of Singapore</w:t>
            </w:r>
          </w:p>
        </w:tc>
      </w:tr>
      <w:tr>
        <w:trPr>
          <w:trHeight w:val="23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McCormick International Holdings Unlimited.</w:t>
            </w:r>
          </w:p>
        </w:tc>
        <w:tc>
          <w:tcPr>
            <w:tcW w:w="62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McCormick Italy Holdings S.R.L.</w:t>
            </w:r>
          </w:p>
        </w:tc>
        <w:tc>
          <w:tcPr>
            <w:tcW w:w="62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Italy</w:t>
            </w:r>
          </w:p>
        </w:tc>
      </w:tr>
      <w:tr>
        <w:trPr>
          <w:trHeight w:val="23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McCormick Pesa, S.A. de C.V.</w:t>
            </w:r>
          </w:p>
        </w:tc>
        <w:tc>
          <w:tcPr>
            <w:tcW w:w="62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Mexico</w:t>
            </w:r>
          </w:p>
        </w:tc>
      </w:tr>
      <w:tr>
        <w:trPr>
          <w:trHeight w:val="23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McCormick Polska S.A.</w:t>
            </w:r>
          </w:p>
        </w:tc>
        <w:tc>
          <w:tcPr>
            <w:tcW w:w="62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Poland</w:t>
            </w:r>
          </w:p>
        </w:tc>
      </w:tr>
      <w:tr>
        <w:trPr>
          <w:trHeight w:val="23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McCormick South Africa Pty Limited</w:t>
            </w:r>
          </w:p>
        </w:tc>
        <w:tc>
          <w:tcPr>
            <w:tcW w:w="62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South Africa</w:t>
            </w:r>
          </w:p>
        </w:tc>
      </w:tr>
      <w:tr>
        <w:trPr>
          <w:trHeight w:val="229"/>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McCormick Switzerland GmbH</w:t>
            </w:r>
          </w:p>
        </w:tc>
        <w:tc>
          <w:tcPr>
            <w:tcW w:w="62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Switzerland</w:t>
            </w:r>
          </w:p>
        </w:tc>
      </w:tr>
      <w:tr>
        <w:trPr>
          <w:trHeight w:val="23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McCormick (Wuhan) Food Company Limited</w:t>
            </w:r>
          </w:p>
        </w:tc>
        <w:tc>
          <w:tcPr>
            <w:tcW w:w="62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People’s Republic of China</w:t>
            </w:r>
          </w:p>
        </w:tc>
      </w:tr>
      <w:tr>
        <w:trPr>
          <w:trHeight w:val="23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Mojave Foods Corporation</w:t>
            </w:r>
          </w:p>
        </w:tc>
        <w:tc>
          <w:tcPr>
            <w:tcW w:w="62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Maryland, U.S.</w:t>
            </w:r>
          </w:p>
        </w:tc>
      </w:tr>
      <w:tr>
        <w:trPr>
          <w:trHeight w:val="23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Shanghai McCormick Foods Company Limited</w:t>
            </w:r>
          </w:p>
        </w:tc>
        <w:tc>
          <w:tcPr>
            <w:tcW w:w="62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People’s Republic of China</w:t>
            </w:r>
          </w:p>
        </w:tc>
      </w:tr>
      <w:tr>
        <w:trPr>
          <w:trHeight w:val="229"/>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Simply Asia Foods LLC.</w:t>
            </w:r>
          </w:p>
        </w:tc>
        <w:tc>
          <w:tcPr>
            <w:tcW w:w="62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Delaware, U.S.</w:t>
            </w:r>
          </w:p>
        </w:tc>
      </w:tr>
      <w:tr>
        <w:trPr>
          <w:trHeight w:val="23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One World Foods, Inc.</w:t>
            </w:r>
          </w:p>
        </w:tc>
        <w:tc>
          <w:tcPr>
            <w:tcW w:w="62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Delaware, U.S.</w:t>
            </w:r>
          </w:p>
        </w:tc>
      </w:tr>
      <w:tr>
        <w:trPr>
          <w:trHeight w:val="23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Wooden Cap, Inc.</w:t>
            </w:r>
          </w:p>
        </w:tc>
        <w:tc>
          <w:tcPr>
            <w:tcW w:w="62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Delaware, U.S.</w:t>
            </w:r>
          </w:p>
        </w:tc>
      </w:tr>
      <w:tr>
        <w:trPr>
          <w:trHeight w:val="234"/>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Zatarain’s Brands, Inc.</w:t>
            </w:r>
          </w:p>
        </w:tc>
        <w:tc>
          <w:tcPr>
            <w:tcW w:w="62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Delaware, U.S.</w:t>
            </w:r>
          </w:p>
        </w:tc>
      </w:tr>
    </w:tbl>
    <w:p>
      <w:pPr>
        <w:sectPr>
          <w:pgSz w:w="11900" w:h="16838" w:orient="portrait"/>
          <w:cols w:equalWidth="0" w:num="1">
            <w:col w:w="11200"/>
          </w:cols>
          <w:pgMar w:left="320" w:top="1224" w:right="379" w:bottom="1440" w:gutter="0" w:footer="0" w:header="0"/>
        </w:sectPr>
      </w:pPr>
    </w:p>
    <w:bookmarkStart w:id="92" w:name="page93"/>
    <w:bookmarkEnd w:id="9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 of McCormick &amp; Company, Incorporated: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w:t>
            </w:r>
          </w:p>
        </w:tc>
        <w:tc>
          <w:tcPr>
            <w:tcW w:w="418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Registration Number</w:t>
            </w:r>
          </w:p>
        </w:tc>
        <w:tc>
          <w:tcPr>
            <w:tcW w:w="48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Date Filed</w:t>
            </w:r>
          </w:p>
        </w:tc>
      </w:tr>
      <w:tr>
        <w:trPr>
          <w:trHeight w:val="27"/>
        </w:trPr>
        <w:tc>
          <w:tcPr>
            <w:tcW w:w="2200" w:type="dxa"/>
            <w:vAlign w:val="bottom"/>
            <w:tcBorders>
              <w:bottom w:val="single" w:sz="8" w:color="auto"/>
            </w:tcBorders>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r>
      <w:tr>
        <w:trPr>
          <w:trHeight w:val="277"/>
        </w:trPr>
        <w:tc>
          <w:tcPr>
            <w:tcW w:w="2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S-3ASR</w:t>
            </w:r>
          </w:p>
        </w:tc>
        <w:tc>
          <w:tcPr>
            <w:tcW w:w="418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333-271070</w:t>
            </w:r>
          </w:p>
        </w:tc>
        <w:tc>
          <w:tcPr>
            <w:tcW w:w="48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4/3/23</w:t>
            </w:r>
          </w:p>
        </w:tc>
      </w:tr>
      <w:tr>
        <w:trPr>
          <w:trHeight w:val="270"/>
        </w:trPr>
        <w:tc>
          <w:tcPr>
            <w:tcW w:w="2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S-8</w:t>
            </w:r>
          </w:p>
        </w:tc>
        <w:tc>
          <w:tcPr>
            <w:tcW w:w="418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333-263971</w:t>
            </w:r>
          </w:p>
        </w:tc>
        <w:tc>
          <w:tcPr>
            <w:tcW w:w="48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3/30/22</w:t>
            </w:r>
          </w:p>
        </w:tc>
      </w:tr>
      <w:tr>
        <w:trPr>
          <w:trHeight w:val="252"/>
        </w:trPr>
        <w:tc>
          <w:tcPr>
            <w:tcW w:w="2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S-8</w:t>
            </w:r>
          </w:p>
        </w:tc>
        <w:tc>
          <w:tcPr>
            <w:tcW w:w="418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333-230556</w:t>
            </w:r>
          </w:p>
        </w:tc>
        <w:tc>
          <w:tcPr>
            <w:tcW w:w="48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3/28/19</w:t>
            </w:r>
          </w:p>
        </w:tc>
      </w:tr>
      <w:tr>
        <w:trPr>
          <w:trHeight w:val="234"/>
        </w:trPr>
        <w:tc>
          <w:tcPr>
            <w:tcW w:w="2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S-8</w:t>
            </w:r>
          </w:p>
        </w:tc>
        <w:tc>
          <w:tcPr>
            <w:tcW w:w="418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333-220665</w:t>
            </w:r>
          </w:p>
        </w:tc>
        <w:tc>
          <w:tcPr>
            <w:tcW w:w="48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9/27/17</w:t>
            </w:r>
          </w:p>
        </w:tc>
      </w:tr>
      <w:tr>
        <w:trPr>
          <w:trHeight w:val="338"/>
        </w:trPr>
        <w:tc>
          <w:tcPr>
            <w:tcW w:w="2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S-8</w:t>
            </w:r>
          </w:p>
        </w:tc>
        <w:tc>
          <w:tcPr>
            <w:tcW w:w="418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333-187703</w:t>
            </w:r>
          </w:p>
        </w:tc>
        <w:tc>
          <w:tcPr>
            <w:tcW w:w="48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4/3/13</w:t>
            </w:r>
          </w:p>
        </w:tc>
      </w:tr>
      <w:tr>
        <w:trPr>
          <w:trHeight w:val="446"/>
        </w:trPr>
        <w:tc>
          <w:tcPr>
            <w:tcW w:w="2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S-8</w:t>
            </w:r>
          </w:p>
        </w:tc>
        <w:tc>
          <w:tcPr>
            <w:tcW w:w="418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333-186250</w:t>
            </w:r>
          </w:p>
        </w:tc>
        <w:tc>
          <w:tcPr>
            <w:tcW w:w="48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1/28/13</w:t>
            </w:r>
          </w:p>
        </w:tc>
      </w:tr>
      <w:tr>
        <w:trPr>
          <w:trHeight w:val="445"/>
        </w:trPr>
        <w:tc>
          <w:tcPr>
            <w:tcW w:w="2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S-8</w:t>
            </w:r>
          </w:p>
        </w:tc>
        <w:tc>
          <w:tcPr>
            <w:tcW w:w="418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333-158573</w:t>
            </w:r>
          </w:p>
        </w:tc>
        <w:tc>
          <w:tcPr>
            <w:tcW w:w="48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4/14/09</w:t>
            </w:r>
          </w:p>
        </w:tc>
      </w:tr>
      <w:tr>
        <w:trPr>
          <w:trHeight w:val="446"/>
        </w:trPr>
        <w:tc>
          <w:tcPr>
            <w:tcW w:w="2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S-8</w:t>
            </w:r>
          </w:p>
        </w:tc>
        <w:tc>
          <w:tcPr>
            <w:tcW w:w="418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333-155775</w:t>
            </w:r>
          </w:p>
        </w:tc>
        <w:tc>
          <w:tcPr>
            <w:tcW w:w="48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11/28/08</w:t>
            </w:r>
          </w:p>
        </w:tc>
      </w:tr>
      <w:tr>
        <w:trPr>
          <w:trHeight w:val="445"/>
        </w:trPr>
        <w:tc>
          <w:tcPr>
            <w:tcW w:w="2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S-8</w:t>
            </w:r>
          </w:p>
        </w:tc>
        <w:tc>
          <w:tcPr>
            <w:tcW w:w="418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333-150043</w:t>
            </w:r>
          </w:p>
        </w:tc>
        <w:tc>
          <w:tcPr>
            <w:tcW w:w="48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4/2/08</w:t>
            </w:r>
          </w:p>
        </w:tc>
      </w:tr>
      <w:tr>
        <w:trPr>
          <w:trHeight w:val="446"/>
        </w:trPr>
        <w:tc>
          <w:tcPr>
            <w:tcW w:w="2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S-8</w:t>
            </w:r>
          </w:p>
        </w:tc>
        <w:tc>
          <w:tcPr>
            <w:tcW w:w="418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333-114094</w:t>
            </w:r>
          </w:p>
        </w:tc>
        <w:tc>
          <w:tcPr>
            <w:tcW w:w="48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3/31/04</w:t>
            </w:r>
          </w:p>
        </w:tc>
      </w:tr>
      <w:tr>
        <w:trPr>
          <w:trHeight w:val="445"/>
        </w:trPr>
        <w:tc>
          <w:tcPr>
            <w:tcW w:w="2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S-8</w:t>
            </w:r>
          </w:p>
        </w:tc>
        <w:tc>
          <w:tcPr>
            <w:tcW w:w="418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333-93231</w:t>
            </w:r>
          </w:p>
        </w:tc>
        <w:tc>
          <w:tcPr>
            <w:tcW w:w="48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12/21/99</w:t>
            </w:r>
          </w:p>
        </w:tc>
      </w:tr>
    </w:tbl>
    <w:p>
      <w:pPr>
        <w:spacing w:after="0" w:line="18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of our reports dated January 22, 2026, with respect to the consolidated financial statements and schedule of McCormick &amp; Company, Incorporated and the effectiveness of internal control over financial reporting of McCormick &amp; Company, Incorporated, included in this Annual Report (Form 10-K) of McCormick &amp; Company, Incorporated for the year ended November 30, 2025.</w:t>
      </w:r>
    </w:p>
    <w:p>
      <w:pPr>
        <w:spacing w:after="0" w:line="200" w:lineRule="exact"/>
        <w:rPr>
          <w:sz w:val="20"/>
          <w:szCs w:val="20"/>
          <w:color w:val="auto"/>
        </w:rPr>
      </w:pPr>
    </w:p>
    <w:p>
      <w:pPr>
        <w:spacing w:after="0" w:line="273" w:lineRule="exact"/>
        <w:rPr>
          <w:sz w:val="20"/>
          <w:szCs w:val="20"/>
          <w:color w:val="auto"/>
        </w:rPr>
      </w:pPr>
    </w:p>
    <w:p>
      <w:pPr>
        <w:ind w:left="60"/>
        <w:spacing w:after="0"/>
        <w:tabs>
          <w:tab w:leader="none" w:pos="440" w:val="left"/>
        </w:tabs>
        <w:rPr>
          <w:sz w:val="20"/>
          <w:szCs w:val="20"/>
          <w:color w:val="auto"/>
        </w:rPr>
      </w:pPr>
      <w:r>
        <w:rPr>
          <w:rFonts w:ascii="Times New Roman" w:cs="Times New Roman" w:eastAsia="Times New Roman" w:hAnsi="Times New Roman"/>
          <w:sz w:val="18"/>
          <w:szCs w:val="18"/>
          <w:color w:val="auto"/>
        </w:rPr>
        <w:t>/s/</w:t>
        <w:tab/>
        <w:t>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300037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3">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Baltimore, Maryland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22, 2026</w:t>
      </w:r>
    </w:p>
    <w:p>
      <w:pPr>
        <w:sectPr>
          <w:pgSz w:w="11900" w:h="16838" w:orient="portrait"/>
          <w:cols w:equalWidth="0" w:num="1">
            <w:col w:w="11220"/>
          </w:cols>
          <w:pgMar w:left="320" w:top="1211" w:right="359" w:bottom="1440" w:gutter="0" w:footer="0" w:header="0"/>
        </w:sectPr>
      </w:pPr>
    </w:p>
    <w:bookmarkStart w:id="93" w:name="page94"/>
    <w:bookmarkEnd w:id="93"/>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13a-14(a)/15d-14(a)</w:t>
      </w:r>
    </w:p>
    <w:p>
      <w:pPr>
        <w:spacing w:after="0" w:line="175"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color w:val="auto"/>
        </w:rPr>
        <w:t>I, Brendan M. Foley, certify that:</w:t>
      </w:r>
    </w:p>
    <w:p>
      <w:pPr>
        <w:spacing w:after="0" w:line="171" w:lineRule="exact"/>
        <w:rPr>
          <w:sz w:val="20"/>
          <w:szCs w:val="20"/>
          <w:color w:val="auto"/>
        </w:rPr>
      </w:pPr>
    </w:p>
    <w:p>
      <w:pPr>
        <w:ind w:left="172" w:hanging="172"/>
        <w:spacing w:after="0"/>
        <w:tabs>
          <w:tab w:leader="none" w:pos="17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of McCormick &amp; Company, Incorporated (the “registrant”);</w:t>
      </w:r>
    </w:p>
    <w:p>
      <w:pPr>
        <w:spacing w:after="0" w:line="171" w:lineRule="exact"/>
        <w:rPr>
          <w:rFonts w:ascii="Times New Roman" w:cs="Times New Roman" w:eastAsia="Times New Roman" w:hAnsi="Times New Roman"/>
          <w:sz w:val="18"/>
          <w:szCs w:val="18"/>
          <w:color w:val="auto"/>
        </w:rPr>
      </w:pPr>
    </w:p>
    <w:p>
      <w:pPr>
        <w:ind w:left="-8" w:right="240" w:firstLine="8"/>
        <w:spacing w:after="0" w:line="282" w:lineRule="auto"/>
        <w:tabs>
          <w:tab w:leader="none" w:pos="17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left="-8" w:right="520" w:firstLine="8"/>
        <w:spacing w:after="0" w:line="282" w:lineRule="auto"/>
        <w:tabs>
          <w:tab w:leader="none" w:pos="17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8" w:firstLine="8"/>
        <w:spacing w:after="0" w:line="266" w:lineRule="auto"/>
        <w:tabs>
          <w:tab w:leader="none" w:pos="17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652" w:right="360" w:hanging="247"/>
        <w:spacing w:after="0" w:line="266" w:lineRule="auto"/>
        <w:tabs>
          <w:tab w:leader="none" w:pos="65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652" w:right="40" w:hanging="247"/>
        <w:spacing w:after="0" w:line="266" w:lineRule="auto"/>
        <w:tabs>
          <w:tab w:leader="none" w:pos="66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652" w:right="840" w:hanging="247"/>
        <w:spacing w:after="0" w:line="312" w:lineRule="auto"/>
        <w:tabs>
          <w:tab w:leader="none" w:pos="654"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652" w:right="60" w:hanging="247"/>
        <w:spacing w:after="0" w:line="266" w:lineRule="auto"/>
        <w:tabs>
          <w:tab w:leader="none" w:pos="66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8" w:right="460" w:firstLine="8"/>
        <w:spacing w:after="0" w:line="282" w:lineRule="auto"/>
        <w:tabs>
          <w:tab w:leader="none" w:pos="17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652" w:right="260" w:hanging="247"/>
        <w:spacing w:after="0" w:line="282" w:lineRule="auto"/>
        <w:tabs>
          <w:tab w:leader="none" w:pos="65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652" w:right="200" w:hanging="247"/>
        <w:spacing w:after="0" w:line="282" w:lineRule="auto"/>
        <w:tabs>
          <w:tab w:leader="none" w:pos="66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0" w:lineRule="exact"/>
        <w:rPr>
          <w:sz w:val="20"/>
          <w:szCs w:val="20"/>
          <w:color w:val="auto"/>
        </w:rPr>
      </w:pPr>
    </w:p>
    <w:tbl>
      <w:tblPr>
        <w:tblLayout w:type="fixed"/>
        <w:tblInd w:w="12"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22, 2026</w:t>
            </w: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Brendan M. Foley</w:t>
            </w:r>
          </w:p>
        </w:tc>
      </w:tr>
      <w:tr>
        <w:trPr>
          <w:trHeight w:val="218"/>
        </w:trPr>
        <w:tc>
          <w:tcPr>
            <w:tcW w:w="618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Brendan M. Foley</w:t>
            </w:r>
          </w:p>
        </w:tc>
      </w:tr>
      <w:tr>
        <w:trPr>
          <w:trHeight w:val="234"/>
        </w:trPr>
        <w:tc>
          <w:tcPr>
            <w:tcW w:w="618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Chairman, President &amp; Chief Executive Officer</w:t>
            </w:r>
          </w:p>
        </w:tc>
      </w:tr>
    </w:tbl>
    <w:p>
      <w:pPr>
        <w:sectPr>
          <w:pgSz w:w="11900" w:h="16838" w:orient="portrait"/>
          <w:cols w:equalWidth="0" w:num="1">
            <w:col w:w="11212"/>
          </w:cols>
          <w:pgMar w:left="328" w:top="887" w:right="359" w:bottom="1440" w:gutter="0" w:footer="0" w:header="0"/>
        </w:sectPr>
      </w:pPr>
    </w:p>
    <w:bookmarkStart w:id="94" w:name="page95"/>
    <w:bookmarkEnd w:id="94"/>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13a-14(a)/15d-14(a)</w:t>
      </w:r>
    </w:p>
    <w:p>
      <w:pPr>
        <w:spacing w:after="0" w:line="175"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color w:val="auto"/>
        </w:rPr>
        <w:t>I, Marcos M. Gabriel, certify that:</w:t>
      </w:r>
    </w:p>
    <w:p>
      <w:pPr>
        <w:spacing w:after="0" w:line="171" w:lineRule="exact"/>
        <w:rPr>
          <w:sz w:val="20"/>
          <w:szCs w:val="20"/>
          <w:color w:val="auto"/>
        </w:rPr>
      </w:pPr>
    </w:p>
    <w:p>
      <w:pPr>
        <w:ind w:left="172" w:hanging="172"/>
        <w:spacing w:after="0"/>
        <w:tabs>
          <w:tab w:leader="none" w:pos="17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of McCormick &amp; Company, Incorporated (the “registrant”);</w:t>
      </w:r>
    </w:p>
    <w:p>
      <w:pPr>
        <w:spacing w:after="0" w:line="171" w:lineRule="exact"/>
        <w:rPr>
          <w:rFonts w:ascii="Times New Roman" w:cs="Times New Roman" w:eastAsia="Times New Roman" w:hAnsi="Times New Roman"/>
          <w:sz w:val="18"/>
          <w:szCs w:val="18"/>
          <w:color w:val="auto"/>
        </w:rPr>
      </w:pPr>
    </w:p>
    <w:p>
      <w:pPr>
        <w:ind w:left="-8" w:right="240" w:firstLine="8"/>
        <w:spacing w:after="0" w:line="282" w:lineRule="auto"/>
        <w:tabs>
          <w:tab w:leader="none" w:pos="17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left="-8" w:right="520" w:firstLine="8"/>
        <w:spacing w:after="0" w:line="282" w:lineRule="auto"/>
        <w:tabs>
          <w:tab w:leader="none" w:pos="17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8" w:firstLine="8"/>
        <w:spacing w:after="0" w:line="266" w:lineRule="auto"/>
        <w:tabs>
          <w:tab w:leader="none" w:pos="17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652" w:right="360" w:hanging="247"/>
        <w:spacing w:after="0" w:line="266" w:lineRule="auto"/>
        <w:tabs>
          <w:tab w:leader="none" w:pos="65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652" w:right="40" w:hanging="247"/>
        <w:spacing w:after="0" w:line="266" w:lineRule="auto"/>
        <w:tabs>
          <w:tab w:leader="none" w:pos="66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652" w:right="840" w:hanging="247"/>
        <w:spacing w:after="0" w:line="312" w:lineRule="auto"/>
        <w:tabs>
          <w:tab w:leader="none" w:pos="654"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652" w:right="60" w:hanging="247"/>
        <w:spacing w:after="0" w:line="266" w:lineRule="auto"/>
        <w:tabs>
          <w:tab w:leader="none" w:pos="66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8" w:right="460" w:firstLine="8"/>
        <w:spacing w:after="0" w:line="282" w:lineRule="auto"/>
        <w:tabs>
          <w:tab w:leader="none" w:pos="17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652" w:right="260" w:hanging="247"/>
        <w:spacing w:after="0" w:line="282" w:lineRule="auto"/>
        <w:tabs>
          <w:tab w:leader="none" w:pos="65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652" w:right="200" w:hanging="247"/>
        <w:spacing w:after="0" w:line="282" w:lineRule="auto"/>
        <w:tabs>
          <w:tab w:leader="none" w:pos="66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432"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22, 2026</w:t>
            </w:r>
          </w:p>
        </w:tc>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Marcos M. Gabriel</w:t>
            </w:r>
          </w:p>
        </w:tc>
      </w:tr>
      <w:tr>
        <w:trPr>
          <w:trHeight w:val="218"/>
        </w:trPr>
        <w:tc>
          <w:tcPr>
            <w:tcW w:w="5460" w:type="dxa"/>
            <w:vAlign w:val="bottom"/>
          </w:tcPr>
          <w:p>
            <w:pPr>
              <w:spacing w:after="0"/>
              <w:rPr>
                <w:sz w:val="18"/>
                <w:szCs w:val="18"/>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Marcos M. Gabriel</w:t>
            </w:r>
          </w:p>
        </w:tc>
      </w:tr>
      <w:tr>
        <w:trPr>
          <w:trHeight w:val="234"/>
        </w:trPr>
        <w:tc>
          <w:tcPr>
            <w:tcW w:w="5460" w:type="dxa"/>
            <w:vAlign w:val="bottom"/>
          </w:tcPr>
          <w:p>
            <w:pPr>
              <w:spacing w:after="0"/>
              <w:rPr>
                <w:sz w:val="20"/>
                <w:szCs w:val="20"/>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&amp; Chief Financial Officer</w:t>
            </w:r>
          </w:p>
        </w:tc>
      </w:tr>
    </w:tbl>
    <w:p>
      <w:pPr>
        <w:sectPr>
          <w:pgSz w:w="11900" w:h="16838" w:orient="portrait"/>
          <w:cols w:equalWidth="0" w:num="1">
            <w:col w:w="11212"/>
          </w:cols>
          <w:pgMar w:left="328" w:top="887" w:right="359" w:bottom="1440" w:gutter="0" w:footer="0" w:header="0"/>
        </w:sectPr>
      </w:pPr>
    </w:p>
    <w:bookmarkStart w:id="95" w:name="page96"/>
    <w:bookmarkEnd w:id="95"/>
    <w:p>
      <w:pPr>
        <w:ind w:left="50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0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McCormick &amp; Company, Incorporated (the “Company”) on Form 10-K for the period ending November 30, 2025, as filed with the Securities and Exchange Commission on the date hereof (the “Report”), I, Brendan M. Foley, Chairman, President &amp; Chief Executive Officer of the Company, certify, pursuant to 18 U.S.C. section 1350, as adopted pursuant to section 906 of the Sarbanes-Oxley Act of 2002, that:</w:t>
      </w:r>
    </w:p>
    <w:p>
      <w:pPr>
        <w:spacing w:after="0" w:line="122" w:lineRule="exact"/>
        <w:rPr>
          <w:sz w:val="20"/>
          <w:szCs w:val="20"/>
          <w:color w:val="auto"/>
        </w:rPr>
      </w:pPr>
    </w:p>
    <w:p>
      <w:pPr>
        <w:ind w:left="660" w:hanging="247"/>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50" w:lineRule="exact"/>
        <w:rPr>
          <w:sz w:val="20"/>
          <w:szCs w:val="20"/>
          <w:color w:val="auto"/>
        </w:rPr>
      </w:pPr>
    </w:p>
    <w:p>
      <w:pPr>
        <w:ind w:left="6240"/>
        <w:spacing w:after="0"/>
        <w:tabs>
          <w:tab w:leader="none" w:pos="6580" w:val="left"/>
        </w:tabs>
        <w:rPr>
          <w:sz w:val="20"/>
          <w:szCs w:val="20"/>
          <w:color w:val="auto"/>
        </w:rPr>
      </w:pPr>
      <w:r>
        <w:rPr>
          <w:rFonts w:ascii="Times New Roman" w:cs="Times New Roman" w:eastAsia="Times New Roman" w:hAnsi="Times New Roman"/>
          <w:sz w:val="18"/>
          <w:szCs w:val="18"/>
          <w:color w:val="auto"/>
        </w:rPr>
        <w:t>/s/</w:t>
        <w:tab/>
        <w:t>Brendan M. Foley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17145</wp:posOffset>
            </wp:positionV>
            <wp:extent cx="31800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4">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16"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Brendan M. Foley</w:t>
      </w:r>
    </w:p>
    <w:p>
      <w:pPr>
        <w:spacing w:after="0" w:line="2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Chairman, President &amp; Chief Executive Officer</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January 22, 2026</w:t>
      </w:r>
    </w:p>
    <w:p>
      <w:pPr>
        <w:sectPr>
          <w:pgSz w:w="11900" w:h="16838" w:orient="portrait"/>
          <w:cols w:equalWidth="0" w:num="1">
            <w:col w:w="11220"/>
          </w:cols>
          <w:pgMar w:left="320" w:top="887" w:right="359" w:bottom="1440" w:gutter="0" w:footer="0" w:header="0"/>
        </w:sectPr>
      </w:pPr>
    </w:p>
    <w:bookmarkStart w:id="96" w:name="page97"/>
    <w:bookmarkEnd w:id="96"/>
    <w:p>
      <w:pPr>
        <w:ind w:left="506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0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McCormick &amp; Company, Incorporated (the “Company”) on Form 10-K for the period ending November 30, 2025, as filed with the Securities and Exchange Commission on the date hereof (the “Report”), I, Marcos M. Gabriel, Executive Vice President &amp; Chief Financial Officer of the Company, certify, pursuant to 18 U.S.C. section 1350, as adopted pursuant to section 906 of the Sarbanes-Oxley Act of 2002, that:</w:t>
      </w:r>
    </w:p>
    <w:p>
      <w:pPr>
        <w:spacing w:after="0" w:line="122" w:lineRule="exact"/>
        <w:rPr>
          <w:sz w:val="20"/>
          <w:szCs w:val="20"/>
          <w:color w:val="auto"/>
        </w:rPr>
      </w:pPr>
    </w:p>
    <w:p>
      <w:pPr>
        <w:ind w:left="660" w:hanging="247"/>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50" w:lineRule="exact"/>
        <w:rPr>
          <w:sz w:val="20"/>
          <w:szCs w:val="20"/>
          <w:color w:val="auto"/>
        </w:rPr>
      </w:pPr>
    </w:p>
    <w:p>
      <w:pPr>
        <w:ind w:left="6240"/>
        <w:spacing w:after="0"/>
        <w:tabs>
          <w:tab w:leader="none" w:pos="6620" w:val="left"/>
        </w:tabs>
        <w:rPr>
          <w:sz w:val="20"/>
          <w:szCs w:val="20"/>
          <w:color w:val="auto"/>
        </w:rPr>
      </w:pPr>
      <w:r>
        <w:rPr>
          <w:rFonts w:ascii="Times New Roman" w:cs="Times New Roman" w:eastAsia="Times New Roman" w:hAnsi="Times New Roman"/>
          <w:sz w:val="18"/>
          <w:szCs w:val="18"/>
          <w:color w:val="auto"/>
        </w:rPr>
        <w:t>/s/</w:t>
        <w:tab/>
        <w:t>Marcos M. Gabriel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17145</wp:posOffset>
            </wp:positionV>
            <wp:extent cx="31800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5">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16"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Marcos M. Gabriel</w:t>
      </w:r>
    </w:p>
    <w:p>
      <w:pPr>
        <w:spacing w:after="0" w:line="2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Executive Vice President &amp; Chief Financial Officer</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January 22, 2026</w:t>
      </w:r>
    </w:p>
    <w:sectPr>
      <w:pgSz w:w="11900" w:h="16838" w:orient="portrait"/>
      <w:cols w:equalWidth="0" w:num="1">
        <w:col w:w="11220"/>
      </w:cols>
      <w:pgMar w:left="320" w:top="88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1)"/>
      <w:numFmt w:val="decimal"/>
      <w:start w:val="1"/>
    </w:lvl>
  </w:abstractNum>
  <w:abstractNum w:abstractNumId="9">
    <w:nsid w:val="721DA317"/>
    <w:multiLevelType w:val="hybridMultilevel"/>
    <w:lvl w:ilvl="0">
      <w:lvlJc w:val="left"/>
      <w:lvlText w:val="(%1)"/>
      <w:numFmt w:val="lowerLetter"/>
      <w:start w:val="1"/>
    </w:lvl>
  </w:abstractNum>
  <w:abstractNum w:abstractNumId="10">
    <w:nsid w:val="2443A858"/>
    <w:multiLevelType w:val="hybridMultilevel"/>
    <w:lvl w:ilvl="0">
      <w:lvlJc w:val="left"/>
      <w:lvlText w:val="(%1)"/>
      <w:numFmt w:val="lowerRoman"/>
      <w:start w:val="2"/>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1)"/>
      <w:numFmt w:val="decimal"/>
      <w:start w:val="1"/>
    </w:lvl>
  </w:abstractNum>
  <w:abstractNum w:abstractNumId="13">
    <w:nsid w:val="75A2A8D4"/>
    <w:multiLevelType w:val="hybridMultilevel"/>
    <w:lvl w:ilvl="0">
      <w:lvlJc w:val="left"/>
      <w:lvlText w:val="(%1)"/>
      <w:numFmt w:val="decimal"/>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1)"/>
      <w:numFmt w:val="decimal"/>
      <w:start w:val="1"/>
    </w:lvl>
  </w:abstractNum>
  <w:abstractNum w:abstractNumId="16">
    <w:nsid w:val="4353D0CD"/>
    <w:multiLevelType w:val="hybridMultilevel"/>
    <w:lvl w:ilvl="0">
      <w:lvlJc w:val="left"/>
      <w:lvlText w:val="(%1)"/>
      <w:numFmt w:val="decimal"/>
      <w:start w:val="1"/>
    </w:lvl>
  </w:abstractNum>
  <w:abstractNum w:abstractNumId="17">
    <w:nsid w:val="B03E0C6"/>
    <w:multiLevelType w:val="hybridMultilevel"/>
    <w:lvl w:ilvl="0">
      <w:lvlJc w:val="left"/>
      <w:lvlText w:val="(%1)"/>
      <w:numFmt w:val="lowerLetter"/>
      <w:start w:val="1"/>
    </w:lvl>
  </w:abstractNum>
  <w:abstractNum w:abstractNumId="18">
    <w:nsid w:val="189A769B"/>
    <w:multiLevelType w:val="hybridMultilevel"/>
    <w:lvl w:ilvl="0">
      <w:lvlJc w:val="left"/>
      <w:lvlText w:val="(%1)"/>
      <w:numFmt w:val="decimal"/>
      <w:start w:val="4"/>
    </w:lvl>
  </w:abstractNum>
  <w:abstractNum w:abstractNumId="19">
    <w:nsid w:val="54E49EB4"/>
    <w:multiLevelType w:val="hybridMultilevel"/>
    <w:lvl w:ilvl="0">
      <w:lvlJc w:val="left"/>
      <w:lvlText w:val="%1"/>
      <w:numFmt w:val="decimal"/>
      <w:start w:val="1"/>
    </w:lvl>
    <w:lvl w:ilvl="1">
      <w:lvlJc w:val="left"/>
      <w:lvlText w:val="(%2)"/>
      <w:numFmt w:val="lowerRoman"/>
      <w:start w:val="1"/>
    </w:lvl>
  </w:abstractNum>
  <w:abstractNum w:abstractNumId="20">
    <w:nsid w:val="71F32454"/>
    <w:multiLevelType w:val="hybridMultilevel"/>
    <w:lvl w:ilvl="0">
      <w:lvlJc w:val="left"/>
      <w:lvlText w:val="(%1)"/>
      <w:numFmt w:val="decimal"/>
      <w:start w:val="10"/>
    </w:lvl>
    <w:lvl w:ilvl="1">
      <w:lvlJc w:val="left"/>
      <w:lvlText w:val="(%2)"/>
      <w:numFmt w:val="lowerRoman"/>
      <w:start w:val="1"/>
    </w:lvl>
  </w:abstractNum>
  <w:abstractNum w:abstractNumId="21">
    <w:nsid w:val="2CA88611"/>
    <w:multiLevelType w:val="hybridMultilevel"/>
    <w:lvl w:ilvl="0">
      <w:lvlJc w:val="left"/>
      <w:lvlText w:val="(%1)"/>
      <w:numFmt w:val="lowerRoman"/>
      <w:start w:val="4"/>
    </w:lvl>
  </w:abstractNum>
  <w:abstractNum w:abstractNumId="22">
    <w:nsid w:val="836C40E"/>
    <w:multiLevelType w:val="hybridMultilevel"/>
    <w:lvl w:ilvl="0">
      <w:lvlJc w:val="left"/>
      <w:lvlText w:val="%1"/>
      <w:numFmt w:val="decimal"/>
      <w:start w:val="1"/>
    </w:lvl>
    <w:lvl w:ilvl="1">
      <w:lvlJc w:val="left"/>
      <w:lvlText w:val="(%2)"/>
      <w:numFmt w:val="lowerRoman"/>
      <w:start w:val="17"/>
    </w:lvl>
  </w:abstractNum>
  <w:abstractNum w:abstractNumId="23">
    <w:nsid w:val="2901D82"/>
    <w:multiLevelType w:val="hybridMultilevel"/>
    <w:lvl w:ilvl="0">
      <w:lvlJc w:val="left"/>
      <w:lvlText w:val="(%1)"/>
      <w:numFmt w:val="decimal"/>
      <w:start w:val="19"/>
    </w:lvl>
    <w:lvl w:ilvl="1">
      <w:lvlJc w:val="left"/>
      <w:lvlText w:val="%2"/>
      <w:numFmt w:val="lowerRoman"/>
      <w:start w:val="1"/>
    </w:lvl>
  </w:abstractNum>
  <w:abstractNum w:abstractNumId="24">
    <w:nsid w:val="3A95F874"/>
    <w:multiLevelType w:val="hybridMultilevel"/>
    <w:lvl w:ilvl="0">
      <w:lvlJc w:val="left"/>
      <w:lvlText w:val="(%1)"/>
      <w:numFmt w:val="lowerRoman"/>
      <w:start w:val="1"/>
    </w:lvl>
  </w:abstractNum>
  <w:abstractNum w:abstractNumId="25">
    <w:nsid w:val="8138641"/>
    <w:multiLevelType w:val="hybridMultilevel"/>
    <w:lvl w:ilvl="0">
      <w:lvlJc w:val="left"/>
      <w:lvlText w:val="%1"/>
      <w:numFmt w:val="decimal"/>
      <w:start w:val="1"/>
    </w:lvl>
    <w:lvl w:ilvl="1">
      <w:lvlJc w:val="left"/>
      <w:lvlText w:val="(%2)"/>
      <w:numFmt w:val="lowerRoman"/>
      <w:start w:val="1"/>
    </w:lvl>
  </w:abstractNum>
  <w:abstractNum w:abstractNumId="26">
    <w:nsid w:val="1E7FF521"/>
    <w:multiLevelType w:val="hybridMultilevel"/>
    <w:lvl w:ilvl="0">
      <w:lvlJc w:val="left"/>
      <w:lvlText w:val="(%1)"/>
      <w:numFmt w:val="decimal"/>
      <w:start w:val="97"/>
    </w:lvl>
    <w:lvl w:ilvl="1">
      <w:lvlJc w:val="left"/>
      <w:lvlText w:val="%2"/>
      <w:numFmt w:val="lowerRoman"/>
      <w:start w:val="1"/>
    </w:lvl>
  </w:abstractNum>
  <w:abstractNum w:abstractNumId="27">
    <w:nsid w:val="7C3DBD3D"/>
    <w:multiLevelType w:val="hybridMultilevel"/>
    <w:lvl w:ilvl="0">
      <w:lvlJc w:val="left"/>
      <w:lvlText w:val="(%1)"/>
      <w:numFmt w:val="decimal"/>
      <w:start w:val="101"/>
    </w:lvl>
  </w:abstractNum>
  <w:abstractNum w:abstractNumId="28">
    <w:nsid w:val="737B8DDC"/>
    <w:multiLevelType w:val="hybridMultilevel"/>
    <w:lvl w:ilvl="0">
      <w:lvlJc w:val="left"/>
      <w:lvlText w:val="(%1)"/>
      <w:numFmt w:val="decimal"/>
      <w:start w:val="104"/>
    </w:lvl>
    <w:lvl w:ilvl="1">
      <w:lvlJc w:val="left"/>
      <w:lvlText w:val="*"/>
      <w:numFmt w:val="bullet"/>
      <w:start w:val="1"/>
    </w:lvl>
  </w:abstractNum>
  <w:abstractNum w:abstractNumId="29">
    <w:nsid w:val="6CEAF087"/>
    <w:multiLevelType w:val="hybridMultilevel"/>
    <w:lvl w:ilvl="0">
      <w:lvlJc w:val="left"/>
      <w:lvlText w:val="(%1)"/>
      <w:numFmt w:val="decimal"/>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4" Type="http://schemas.openxmlformats.org/officeDocument/2006/relationships/image" Target="media/image133.png"/><Relationship Id="rId145" Type="http://schemas.openxmlformats.org/officeDocument/2006/relationships/image" Target="media/image134.png"/><Relationship Id="rId159" Type="http://schemas.openxmlformats.org/officeDocument/2006/relationships/image" Target="media/image135.png"/><Relationship Id="rId160" Type="http://schemas.openxmlformats.org/officeDocument/2006/relationships/image" Target="media/image136.png"/><Relationship Id="rId175" Type="http://schemas.openxmlformats.org/officeDocument/2006/relationships/image" Target="media/image137.png"/><Relationship Id="rId176" Type="http://schemas.openxmlformats.org/officeDocument/2006/relationships/image" Target="media/image138.png"/><Relationship Id="rId180" Type="http://schemas.openxmlformats.org/officeDocument/2006/relationships/image" Target="media/image139.png"/><Relationship Id="rId181" Type="http://schemas.openxmlformats.org/officeDocument/2006/relationships/image" Target="media/image140.png"/><Relationship Id="rId182" Type="http://schemas.openxmlformats.org/officeDocument/2006/relationships/image" Target="media/image141.png"/><Relationship Id="rId183" Type="http://schemas.openxmlformats.org/officeDocument/2006/relationships/image" Target="media/image142.png"/><Relationship Id="rId184" Type="http://schemas.openxmlformats.org/officeDocument/2006/relationships/image" Target="media/image143.png"/><Relationship Id="rId185" Type="http://schemas.openxmlformats.org/officeDocument/2006/relationships/image" Target="media/image144.png"/><Relationship Id="rId140" Type="http://schemas.openxmlformats.org/officeDocument/2006/relationships/hyperlink" Target="https://www.sec.gov/Archives/edgar/data/63754/000104746903010744/a2106508zex-4.htm" TargetMode="External"/><Relationship Id="rId141" Type="http://schemas.openxmlformats.org/officeDocument/2006/relationships/hyperlink" Target="https://www.sec.gov/Archives/edgar/data/63754/000006375421000120/mkc-5312021xexhibit3i.htm" TargetMode="External"/><Relationship Id="rId142" Type="http://schemas.openxmlformats.org/officeDocument/2006/relationships/hyperlink" Target="https://www.sec.gov/ix?doc=/Archives/edgar/data/63754/000006375419000197/mkc-8xkx11x26x2019.htm" TargetMode="External"/><Relationship Id="rId143" Type="http://schemas.openxmlformats.org/officeDocument/2006/relationships/hyperlink" Target="https://www.sec.gov/Archives/edgar/data/63754/000006375419000197/by-lawsxamendment11262.htm" TargetMode="External"/><Relationship Id="rId146" Type="http://schemas.openxmlformats.org/officeDocument/2006/relationships/hyperlink" Target="https://www.sec.gov/Archives/edgar/data/63754/000091205701535224/a2060832zex-4_1.txt" TargetMode="External"/><Relationship Id="rId147" Type="http://schemas.openxmlformats.org/officeDocument/2006/relationships/hyperlink" Target="https://www.sec.gov/Archives/edgar/data/63754/000119312511185096/dex41.htm" TargetMode="External"/><Relationship Id="rId148" Type="http://schemas.openxmlformats.org/officeDocument/2006/relationships/hyperlink" Target="https://www.sec.gov/Archives/edgar/data/63754/000119312517255976/d438862dex44.htm" TargetMode="External"/><Relationship Id="rId149" Type="http://schemas.openxmlformats.org/officeDocument/2006/relationships/hyperlink" Target="https://www.sec.gov/Archives/edgar/data/63754/000119312517255976/d438862dex45.htm" TargetMode="External"/><Relationship Id="rId150" Type="http://schemas.openxmlformats.org/officeDocument/2006/relationships/hyperlink" Target="https://www.sec.gov/Archives/edgar/data/63754/000119312520109283/d914567dex42.htm" TargetMode="External"/><Relationship Id="rId151" Type="http://schemas.openxmlformats.org/officeDocument/2006/relationships/hyperlink" Target="https://www.sec.gov/Archives/edgar/data/63754/000119312521038393/d126576dex42.htm" TargetMode="External"/><Relationship Id="rId152" Type="http://schemas.openxmlformats.org/officeDocument/2006/relationships/hyperlink" Target="https://www.sec.gov/Archives/edgar/data/63754/000119312521038393/d126576dex43.htm" TargetMode="External"/><Relationship Id="rId153" Type="http://schemas.openxmlformats.org/officeDocument/2006/relationships/hyperlink" Target="https://www.sec.gov/Archives/edgar/data/63754/000119312523094010/d490179dex11.htm" TargetMode="External"/><Relationship Id="rId154" Type="http://schemas.openxmlformats.org/officeDocument/2006/relationships/hyperlink" Target="https://www.sec.gov/Archives/edgar/data/63754/000119312524234390/d869386dex42.htm" TargetMode="External"/><Relationship Id="rId155" Type="http://schemas.openxmlformats.org/officeDocument/2006/relationships/hyperlink" Target="https://www.sec.gov/Archives/edgar/data/63754/000006375422000005/mkc-11302021xex4xiiidescri.htm" TargetMode="External"/><Relationship Id="rId156" Type="http://schemas.openxmlformats.org/officeDocument/2006/relationships/hyperlink" Target="https://www.sec.gov/Archives/edgar/data/63754/000110465903022728/a03-3846_1ex10dviii.htm" TargetMode="External"/><Relationship Id="rId157" Type="http://schemas.openxmlformats.org/officeDocument/2006/relationships/hyperlink" Target="https://www.sec.gov/Archives/edgar/data/63754/000110465904004446/a04-2106_1def14a.htm" TargetMode="External"/><Relationship Id="rId158" Type="http://schemas.openxmlformats.org/officeDocument/2006/relationships/hyperlink" Target="https://www.sec.gov/Archives/edgar/data/63754/000006375417000020/mkc-2282017xex10.htm" TargetMode="External"/><Relationship Id="rId161" Type="http://schemas.openxmlformats.org/officeDocument/2006/relationships/hyperlink" Target="https://www.sec.gov/Archives/edgar/data/63754/000120677408000339/exhibit99-a.htm" TargetMode="External"/><Relationship Id="rId162" Type="http://schemas.openxmlformats.org/officeDocument/2006/relationships/hyperlink" Target="https://www.sec.gov/Archives/edgar/data/63754/000119312509013251/dex10xi.htm" TargetMode="External"/><Relationship Id="rId163" Type="http://schemas.openxmlformats.org/officeDocument/2006/relationships/hyperlink" Target="https://www.sec.gov/Archives/edgar/data/63754/000130817919000003/lmkc2019_def14a.htm" TargetMode="External"/><Relationship Id="rId164" Type="http://schemas.openxmlformats.org/officeDocument/2006/relationships/hyperlink" Target="https://www.sec.gov/Archives/edgar/data/63754/000130817922000010/lmkc2022_def14a.htm" TargetMode="External"/><Relationship Id="rId165" Type="http://schemas.openxmlformats.org/officeDocument/2006/relationships/hyperlink" Target="https://www.sec.gov/Archives/edgar/data/63754/000006375422000038/exhibit10vii-2022omnibuspl.htm" TargetMode="External"/><Relationship Id="rId166" Type="http://schemas.openxmlformats.org/officeDocument/2006/relationships/hyperlink" Target="https://www.sec.gov/Archives/edgar/data/63754/000006375422000026/ltppformawardagreementfo.htm" TargetMode="External"/><Relationship Id="rId167" Type="http://schemas.openxmlformats.org/officeDocument/2006/relationships/hyperlink" Target="https://www.sec.gov/Archives/edgar/data/63754/000006375422000026/a2022rsuagreementforexec.htm" TargetMode="External"/><Relationship Id="rId168" Type="http://schemas.openxmlformats.org/officeDocument/2006/relationships/hyperlink" Target="https://www.sec.gov/Archives/edgar/data/63754/000006375422000026/a2022rsuagreementfordire.htm" TargetMode="External"/><Relationship Id="rId169" Type="http://schemas.openxmlformats.org/officeDocument/2006/relationships/hyperlink" Target="https://www.sec.gov/Archives/edgar/data/63754/000006375422000026/a2022nqsoagreementforexe.htm" TargetMode="External"/><Relationship Id="rId170" Type="http://schemas.openxmlformats.org/officeDocument/2006/relationships/hyperlink" Target="https://www.sec.gov/Archives/edgar/data/63754/000006375422000026/a2022nqsoagreementfordir.htm" TargetMode="External"/><Relationship Id="rId171" Type="http://schemas.openxmlformats.org/officeDocument/2006/relationships/hyperlink" Target="https://www.sec.gov/Archives/edgar/data/63754/000006375424000057/mkc-05312024xex1012.htm" TargetMode="External"/><Relationship Id="rId172" Type="http://schemas.openxmlformats.org/officeDocument/2006/relationships/hyperlink" Target="https://www.sec.gov/Archives/edgar/data/63754/000006375424000057/mkc-05312024xex1014.htm" TargetMode="External"/><Relationship Id="rId173" Type="http://schemas.openxmlformats.org/officeDocument/2006/relationships/hyperlink" Target="https://www.sec.gov/Archives/edgar/data/63754/000006375420000211/a2020vcapnqsoagreement.htm" TargetMode="External"/><Relationship Id="rId174" Type="http://schemas.openxmlformats.org/officeDocument/2006/relationships/hyperlink" Target="https://www.sec.gov/Archives/edgar/data/63754/000006375414000013/mkc-2282014xex1015.htm" TargetMode="External"/><Relationship Id="rId177" Type="http://schemas.openxmlformats.org/officeDocument/2006/relationships/hyperlink" Target="https://www.sec.gov/Archives/edgar/data/63754/000006375415000030/mkc-2282015xex10xix.htm" TargetMode="External"/><Relationship Id="rId178" Type="http://schemas.openxmlformats.org/officeDocument/2006/relationships/hyperlink" Target="https://www.sec.gov/Archives/edgar/data/63754/000006375425000005/mkc-11302024xex19.htm" TargetMode="External"/><Relationship Id="rId179" Type="http://schemas.openxmlformats.org/officeDocument/2006/relationships/hyperlink" Target="https://www.sec.gov/Archives/edgar/data/63754/000006375424000027/mkc-11302023x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2026-01-22T15:41:22Z</dcterms:created>
  <dcterms:modified xsi:type="dcterms:W3CDTF">2026-01-22T15:41:22Z</dcterms:modified>
</cp:coreProperties>
</file>